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（一）技术谱系与中医药适配对象</w:t>
      </w:r>
    </w:p>
    <w:p>
      <w:pPr>
        <w:jc w:val="both"/>
        <w:ind w:firstLineChars="200" w:firstLine="480"/>
        <w:spacing w:after="80" w:line="360" w:lineRule="auto"/>
      </w:pPr>
      <w:r>
        <w:rPr>
          <w:rFonts w:ascii="Times New Roman" w:hAnsi="Times New Roman" w:eastAsia="宋体"/>
          <w:b w:val="0"/>
          <w:sz w:val="24"/>
        </w:rPr>
        <w:t>生成式大模型包括以文本生成和推理为核心的大语言模型，以图像、文本、语音、波形等联合理解为核心的多模态大模型，以及面向分子、蛋白、网络、知识图谱等科学对象的生成式模型。中医药研究中的适配对象具有明显的领域特征：其一，语义层面存在“证、候、病、方、药、法、机”等多级概念，且古今术语、不同流派术语并存；其二，临床层面强调四诊合参、辨证论治、因人因时因地制宜；其三，证据层面包含经典文献、名老中医经验、临床试验、真实世界研究、药理实验和组学证据等不同来源；其四，安全层面涉及用药禁忌、配伍禁忌、妊娠与儿童用药、肝肾功能异常等约束。</w:t>
      </w:r>
    </w:p>
    <w:p>
      <w:pPr>
        <w:jc w:val="both"/>
        <w:ind w:firstLineChars="200" w:firstLine="480"/>
        <w:spacing w:after="80" w:line="360" w:lineRule="auto"/>
      </w:pPr>
      <w:r>
        <w:rPr>
          <w:rFonts w:ascii="Times New Roman" w:hAnsi="Times New Roman" w:eastAsia="宋体"/>
          <w:b w:val="0"/>
          <w:sz w:val="24"/>
        </w:rPr>
        <w:t>因此，中医药生成式大模型不能仅以“能否生成流畅文本”作为评价标准。对研究生而言，更重要的训练目标是理解“领域适配”这一概念：领域适配不是把通用模型简单用于中医药问答，而是把中医药知识、数据、临床逻辑、证据等级、安全边界和伦理要求逐层转化为模型能够学习、调用、约束和接受评价的形式。</w:t>
      </w:r>
    </w:p>
    <w:p>
      <w:pPr>
        <w:jc w:val="center"/>
        <w:spacing w:after="80"/>
      </w:pPr>
      <w:r>
        <w:rPr>
          <w:rFonts w:ascii="Times New Roman" w:hAnsi="Times New Roman" w:eastAsia="黑体"/>
          <w:b/>
          <w:sz w:val="21"/>
        </w:rPr>
        <w:t>表10-1　生成式大模型在中医药中的主要适配路径</w:t>
      </w:r>
    </w:p>
    <w:p>
      <w:pPr>
        <w:jc w:val="both"/>
        <w:ind w:firstLineChars="200" w:firstLine="480"/>
        <w:spacing w:after="80" w:line="360" w:lineRule="auto"/>
      </w:pPr>
      <w:r>
        <w:rPr>
          <w:rFonts w:ascii="Times New Roman" w:hAnsi="Times New Roman" w:eastAsia="宋体"/>
          <w:b w:val="0"/>
          <w:sz w:val="24"/>
        </w:rPr>
        <w:t>第一列为“适配路径”，包括继续预训练、监督微调与对齐、参数高效微调、检索增强生成、知识图谱约束、智能体编排。第二列为“所需资源”，包括高质量语料、专家标注样本、低秩适配器、结构化知识库、术语本体、工具接口和安全规则。第三列为“适用任务”，包括古籍理解、医案结构化、辨证问答、方药推荐、临床决策支持、教学模拟、真实世界研究辅助。第四列为“主要风险”，包括灾难性遗忘、过度自信、幻觉、检索偏差、知识冲突、自动化偏见与责任边界不清。</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（二）继续预训练：从领域语料注入转向中医药知识基座建设</w:t>
      </w:r>
    </w:p>
    <w:p>
      <w:pPr>
        <w:jc w:val="both"/>
        <w:ind w:firstLineChars="200" w:firstLine="480"/>
        <w:spacing w:after="80" w:line="360" w:lineRule="auto"/>
      </w:pPr>
      <w:r>
        <w:rPr>
          <w:rFonts w:ascii="Times New Roman" w:hAnsi="Times New Roman" w:eastAsia="宋体"/>
          <w:b w:val="0"/>
          <w:sz w:val="24"/>
        </w:rPr>
        <w:t>继续预训练是指在通用大模型基础上，使用领域语料继续训练模型，使其更好地掌握领域语言分布、概念共现关系与表达习惯。中医药领域已有研究围绕中医经典、教材、医案、方剂、药物说明、临床指南和问答数据构建专用语料，并训练出若干面向中医药任务的大模型。此类工作证明，领域语料能够提升模型对中医药术语、方药知识和诊疗表达的适应性。</w:t>
      </w:r>
    </w:p>
    <w:p>
      <w:pPr>
        <w:jc w:val="both"/>
        <w:ind w:firstLineChars="200" w:firstLine="480"/>
        <w:spacing w:after="80" w:line="360" w:lineRule="auto"/>
      </w:pPr>
      <w:r>
        <w:rPr>
          <w:rFonts w:ascii="Times New Roman" w:hAnsi="Times New Roman" w:eastAsia="宋体"/>
          <w:b w:val="0"/>
          <w:sz w:val="24"/>
        </w:rPr>
        <w:t>下一阶段的关键任务不是单纯扩大语料规模，而是建设可治理、可追溯、可分级的中医药知识基座。知识基座至少包括三层。第一层是语料层，记录文本来源、版本、年代、流派、适用范围和版权状态。第二层是术语层，建立病名、证候、症状、治法、方剂、中药、穴位、炮制、剂量等概念的规范表示及同义词映射。第三层是证据层，对经典记载、专家经验、观察性研究、随机对照试验、系统评价、药理实验等不同证据赋予来源标签与证据等级。</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80" w:line="360" w:lineRule="auto"/>
      </w:pPr>
      <w:r>
        <w:rPr>
          <w:rFonts w:ascii="Times New Roman" w:hAnsi="Times New Roman" w:eastAsia="宋体"/>
          <w:b w:val="0"/>
          <w:sz w:val="24"/>
        </w:rPr>
        <w:t>继续预训练面临三项技术难题。第一，灾难性遗忘，即模型吸收中医药语料后损害通用语言理解和通用推理能力。该问题要求研究者比较不同训练配比、学习率、参数冻结策略和混合语料策略。第二，古籍语义的高密度与多义性。古籍文本短小、含义丰富、语境依赖强，单纯依赖下一个词预测难以学习完整的辨证逻辑，因而需要实体识别、关系抽取、语义对齐和专家校验共同参与。第三，语料代表性与偏倚治理。若语料过度集中于某一地域、某一流派或某一专病，模型将固化局部经验，降低跨场景适用性。</w:t>
      </w:r>
    </w:p>
    <w:p>
      <w:pPr>
        <w:jc w:val="both"/>
        <w:ind w:firstLineChars="200" w:firstLine="480"/>
        <w:spacing w:after="80" w:line="360" w:lineRule="auto"/>
      </w:pPr>
      <w:r>
        <w:rPr>
          <w:rFonts w:ascii="Times New Roman" w:hAnsi="Times New Roman" w:eastAsia="宋体"/>
          <w:b w:val="0"/>
          <w:sz w:val="24"/>
        </w:rPr>
        <w:t xml:space="preserve">针对灾难性遗忘，教材给出一种可操作的语料配比表述。设领域语料规模为 \(D_t\)，通用语料规模为 \(D_g\)，继续预训练时的混合比例定义为 \(r=D_t/(D_t+D_g)\)。当 \(r\) 趋近于 1 时，模型快速吸收中医药知识，但通用语言理解与通用推理能力下降明显；当 \(r\) 过小时，领域知识注入不足。实践中应将 \(r\) 设为可调超参数，在保留一定比例通用语料（即复习样本）的前提下，依据验证集上的通用能力指标与领域能力指标共同确定取值，而非单纯追求领域语料占比最大化。复习样本以梯度层面持续约束模型，使其在学习新分布的同时保留旧分布，这一策略与参数冻结、低秩适配相互补充，共同构成缓解灾难性遗忘的工程手段。</w:t>
      </w:r>
    </w:p>
    <w:p>
      <w:pPr>
        <w:jc w:val="both"/>
        <w:ind w:firstLineChars="200" w:firstLine="480"/>
        <w:spacing w:after="80" w:line="360" w:lineRule="auto"/>
      </w:pPr>
      <w:r>
        <w:rPr>
          <w:rFonts w:ascii="Times New Roman" w:hAnsi="Times New Roman" w:eastAsia="宋体"/>
          <w:b w:val="0"/>
          <w:sz w:val="24"/>
        </w:rPr>
        <w:t xml:space="preserve">灾难性遗忘的评价不应只观察领域任务准确率，而应建立“领域能力—通用能力”双轴评价：一轴记录中医药术语识别、医案结构化、辨证问答等领域指标，另一轴记录通用语言理解、常识推理与数学推理等通用指标。只有当领域指标提升而通用指标无显著下降时，继续预训练才被判定为有效。该评价方式要求在训练前预先固定通用能力基线，并在每个训练检查点同步测量两轴指标。</w:t>
      </w:r>
    </w:p>
    <w:p>
      <w:pPr>
        <w:pStyle w:val="Heading4"/>
        <w:jc w:val="left"/>
        <w:ind w:firstLineChars="200" w:firstLine="480"/>
        <w:spacing w:after="120"/>
      </w:pPr>
      <w:r>
        <w:rPr>
          <w:rFonts w:ascii="Times New Roman" w:hAnsi="Times New Roman" w:eastAsia="黑体"/>
          <w:b/>
          <w:sz w:val="30"/>
        </w:rPr>
        <w:t>（三）对齐技术：从模仿专家回答转向对齐辨证论治过程</w:t>
      </w:r>
    </w:p>
    <w:p>
      <w:pPr>
        <w:jc w:val="both"/>
        <w:ind w:firstLineChars="200" w:firstLine="480"/>
        <w:spacing w:after="80" w:line="360" w:lineRule="auto"/>
      </w:pPr>
      <w:r>
        <w:rPr>
          <w:rFonts w:ascii="Times New Roman" w:hAnsi="Times New Roman" w:eastAsia="宋体"/>
          <w:b w:val="0"/>
          <w:sz w:val="24"/>
        </w:rPr>
        <w:t>监督微调使模型学习专家示范答案；基于反馈的强化学习使模型输出更符合人类偏好；基于AI反馈的强化学习在专家反馈不足时提供辅助信号。中医药领域使用这些方法时，应当把对齐目标从“语言形式相似”提升到“诊疗逻辑相符”。一个中医药问答答案即使语言规范，也仍需接受辨证依据、治法选择、方药配伍、剂量禁忌和转诊建议的检查。</w:t>
      </w:r>
    </w:p>
    <w:p>
      <w:pPr>
        <w:jc w:val="both"/>
        <w:ind w:firstLineChars="200" w:firstLine="480"/>
        <w:spacing w:after="80" w:line="360" w:lineRule="auto"/>
      </w:pPr>
      <w:r>
        <w:rPr>
          <w:rFonts w:ascii="Times New Roman" w:hAnsi="Times New Roman" w:eastAsia="宋体"/>
          <w:b w:val="0"/>
          <w:sz w:val="24"/>
        </w:rPr>
        <w:t>对齐辨证论治过程需要建立过程监督。过程监督不是只判断最终答案是否正确，而是把模型生成过程拆分为若干可评价环节：主诉与症状抽取、四诊信息补全、病位病性分析、证候判断、治法确定、方药或针灸方案生成、安全禁忌核查、解释与随访建议。每一环节均可设置专家评分、规则核查或知识图谱约束。</w:t>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80" w:line="360" w:lineRule="auto"/>
      </w:pPr>
      <w:r>
        <w:rPr>
          <w:rFonts w:ascii="Times New Roman" w:hAnsi="Times New Roman" w:eastAsia="宋体"/>
          <w:b w:val="0"/>
          <w:sz w:val="24"/>
        </w:rPr>
        <w:t>过程监督还涉及争议。第一种观点强调专家经验，认为应以高水平中医师的辨证路径作为金标准；第二种观点强调群体共识，认为中医辨证存在主观性，应通过多专家标注、共识会议和一致性统计获得更稳健标签；第三种观点强调证据约束，认为模型输出必须接受现代循证证据与安全规则检查。三种观点并不互相排斥。教材建议的研究设计是：以专家经验形成高质量示范，以群体共识降低个体偏倚，以证据约束和安全规则形成最终边界。</w:t>
      </w:r>
    </w:p>
    <w:p>
      <w:pPr>
        <w:pStyle w:val="Heading4"/>
        <w:jc w:val="left"/>
        <w:ind w:firstLineChars="200" w:firstLine="480"/>
        <w:spacing w:after="120"/>
      </w:pPr>
      <w:r>
        <w:rPr>
          <w:rFonts w:ascii="Times New Roman" w:hAnsi="Times New Roman" w:eastAsia="黑体"/>
          <w:b/>
          <w:sz w:val="30"/>
        </w:rPr>
        <w:t>（四）参数高效微调：从低成本训练转向可组合知识模块</w:t>
      </w:r>
    </w:p>
    <w:p>
      <w:pPr>
        <w:jc w:val="both"/>
        <w:ind w:firstLineChars="200" w:firstLine="480"/>
        <w:spacing w:after="80" w:line="360" w:lineRule="auto"/>
      </w:pPr>
      <w:r>
        <w:rPr>
          <w:rFonts w:ascii="Times New Roman" w:hAnsi="Times New Roman" w:eastAsia="宋体"/>
          <w:b w:val="0"/>
          <w:sz w:val="24"/>
        </w:rPr>
        <w:t>参数高效微调通过调整少量参数实现领域适配，常见方法包括低秩适配、提示调优、前缀调优和适配器模块。对中医药研究者而言，该技术的重要价值在于降低训练成本，使实验室、医院科室和研究团队能够围绕专病、专科、流派或特定任务构建轻量化模型模块。</w:t>
      </w:r>
    </w:p>
    <w:p>
      <w:pPr>
        <w:jc w:val="both"/>
        <w:ind w:firstLineChars="200" w:firstLine="480"/>
        <w:spacing w:after="80" w:line="360" w:lineRule="auto"/>
      </w:pPr>
      <w:r>
        <w:rPr>
          <w:rFonts w:ascii="Times New Roman" w:hAnsi="Times New Roman" w:eastAsia="宋体"/>
          <w:b w:val="0"/>
          <w:sz w:val="24"/>
        </w:rPr>
        <w:t>未来的关键方向是可组合适配。可以将脾胃病、肿瘤、针灸、妇科、儿科、中药安全、古籍理解等知识分别训练为适配器模块。临床或科研任务启动时，系统根据问题类型加载相应模块，并通过冲突检测机制处理多个模块之间的不一致。例如，某一患者同时涉及消化系统症状、妊娠状态和中药相互作用风险，系统需要同时调用“脾胃病辨证模块”“妊娠用药安全模块”和“中西药相互作用模块”，并在安全模块与治疗模块出现冲突时优先执行安全规则。</w:t>
      </w:r>
    </w:p>
    <w:p>
      <w:pPr>
        <w:jc w:val="both"/>
        <w:ind w:firstLineChars="200" w:firstLine="480"/>
        <w:spacing w:after="80" w:line="360" w:lineRule="auto"/>
      </w:pPr>
      <w:r>
        <w:rPr>
          <w:rFonts w:ascii="Times New Roman" w:hAnsi="Times New Roman" w:eastAsia="宋体"/>
          <w:b w:val="0"/>
          <w:sz w:val="24"/>
        </w:rPr>
        <w:t>可组合适配面临两类研究问题。第一，适配器融合后的性能评价不能只看单任务准确率，还要评价模块之间是否产生知识冲突。第二，适配器的版本管理、来源追溯和适用边界需要制度化，否则不同团队训练的模块难以进入临床或教学场景。</w:t>
      </w:r>
    </w:p>
    <w:p>
      <w:pPr>
        <w:pStyle w:val="Heading4"/>
        <w:jc w:val="left"/>
        <w:ind w:firstLineChars="200" w:firstLine="480"/>
        <w:spacing w:after="120"/>
      </w:pPr>
      <w:r>
        <w:rPr>
          <w:rFonts w:ascii="Times New Roman" w:hAnsi="Times New Roman" w:eastAsia="黑体"/>
          <w:b/>
          <w:sz w:val="30"/>
        </w:rPr>
        <w:t>（五）检索增强生成与知识图谱：构建可查证、可审计的中医药推理</w:t>
      </w:r>
    </w:p>
    <w:p>
      <w:pPr>
        <w:jc w:val="both"/>
        <w:ind w:firstLineChars="200" w:firstLine="480"/>
        <w:spacing w:after="80" w:line="360" w:lineRule="auto"/>
      </w:pPr>
      <w:r>
        <w:rPr>
          <w:rFonts w:ascii="Times New Roman" w:hAnsi="Times New Roman" w:eastAsia="宋体"/>
          <w:b w:val="0"/>
          <w:sz w:val="24"/>
        </w:rPr>
        <w:t>检索增强生成通过在模型回答前检索外部文献、指南、医案或知识库，减少无依据生成。知识图谱则把实体与关系结构化，使模型在生成时接受“症状—证候—治法—方药—禁忌”的显式约束。中医药场景中，二者结合具有突出的必要性：中医药知识体系来源多样、术语复杂、证据等级差异明显，仅依赖模型内部参数记忆无法满足临床安全与教学可追溯要求。</w:t>
      </w:r>
    </w:p>
    <w:p>
      <w:pPr>
        <w:jc w:val="both"/>
        <w:ind w:firstLineChars="200" w:firstLine="480"/>
        <w:spacing w:after="80" w:line="360" w:lineRule="auto"/>
      </w:pPr>
      <w:r>
        <w:rPr>
          <w:rFonts w:ascii="Times New Roman" w:hAnsi="Times New Roman" w:eastAsia="宋体"/>
          <w:b w:val="0"/>
          <w:sz w:val="24"/>
        </w:rPr>
        <w:t>RAG与知识图谱结合的基本流程如下。第一，用户输入被结构化为症状、体征、舌脉、既往史、用药史等字段。第二，系统检索与问题相关的教材条目、指南、药典、医案、临床研究和知识图谱路径。第三，模型基于检索结果生成初步辨证和解释。第四，知识图谱对证候—治法—方药路径进行一致性检查。第五，安全规则库检查禁忌、剂量、相互作用和转诊提示。第六，系统输出答案并列出关键依据来源。</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80" w:line="360" w:lineRule="auto"/>
      </w:pPr>
      <w:r>
        <w:rPr>
          <w:rFonts w:ascii="Times New Roman" w:hAnsi="Times New Roman" w:eastAsia="宋体"/>
          <w:b w:val="0"/>
          <w:sz w:val="24"/>
        </w:rPr>
        <w:t>RAG并不能自动消除幻觉。其效果取决于检索库质量、检索召回率、证据排序、生成模型是否忠实于检索内容，以及系统是否能识别检索结果冲突。研究生在设计RAG系统时，应报告至少四类指标：检索召回率、回答正确率、依据忠实度、禁忌漏检率。对于高风险任务，还应记录低置信触发人工复核的比例。</w:t>
      </w:r>
    </w:p>
    <w:p>
      <w:pPr>
        <w:jc w:val="both"/>
        <w:ind w:firstLineChars="200" w:firstLine="480"/>
        <w:spacing w:after="80" w:line="360" w:lineRule="auto"/>
      </w:pPr>
      <w:r>
        <w:rPr>
          <w:rFonts w:ascii="Times New Roman" w:hAnsi="Times New Roman" w:eastAsia="宋体"/>
          <w:b w:val="0"/>
          <w:sz w:val="24"/>
        </w:rPr>
        <w:t xml:space="preserve">为使检索增强生成的评价指标可计算，教材给出形式化定义。设某次问答检索返回的依据集合为 \(R\)，人工标注的相关依据全集为 \(G\)，则检索召回率定义为 \(|R\cap G|/|G|\)，用于衡量系统是否找全了应当依据的证据。依据忠实度定义为生成答案中可由 \(R\) 直接支持的论断数占答案全部论断数的比例，用于衡量模型是否“按检索结果作答”而非凭参数记忆杜撰。禁忌漏检率定义为应当触发禁忌警示却未触发的病例数占全部含禁忌病例数的比例，在高风险任务中权重最高。回答正确率则由专家依据辨证依据、治法、方药与安全性综合判定。</w:t>
      </w:r>
    </w:p>
    <w:p>
      <w:pPr>
        <w:jc w:val="both"/>
        <w:ind w:firstLineChars="200" w:firstLine="480"/>
        <w:spacing w:after="80" w:line="360" w:lineRule="auto"/>
      </w:pPr>
      <w:r>
        <w:rPr>
          <w:rFonts w:ascii="Times New Roman" w:hAnsi="Times New Roman" w:eastAsia="宋体"/>
          <w:b w:val="0"/>
          <w:sz w:val="24"/>
        </w:rPr>
        <w:t xml:space="preserve">四类指标之间存在制约关系。提高检索召回率会引入更多噪声依据，可能降低依据忠实度；为压低禁忌漏检率而扩大警示范围，会提高误报率并干扰正常输出。教材建议在高风险任务中以禁忌漏检率为首要约束，在其约束下优化其余指标，并对低置信病例设置人工复核触发线，记录触发比例作为系统安全性的过程指标。</w:t>
      </w:r>
    </w:p>
    <w:p>
      <w:pPr>
        <w:pStyle w:val="Heading4"/>
        <w:jc w:val="left"/>
        <w:ind w:firstLineChars="200" w:firstLine="480"/>
        <w:spacing w:after="120"/>
      </w:pPr>
      <w:r>
        <w:rPr>
          <w:rFonts w:ascii="Times New Roman" w:hAnsi="Times New Roman" w:eastAsia="黑体"/>
          <w:b/>
          <w:sz w:val="30"/>
        </w:rPr>
        <w:t>（六）智能体与多智能体协作：从问答系统转向临床与科研工作流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适合模拟中医药复杂任务。一个中医药临床决策支持系统可包含问诊智能体、辨证智能体、方药智能体、针灸智能体、安全审查智能体、循证检索智能体和解释智能体。不同智能体分工协作，并通过争议仲裁机制处理冲突。该架构既能体现中医辨证论治的层次性，又能为临床安全设置多重把关。</w:t>
      </w:r>
    </w:p>
    <w:p>
      <w:pPr>
        <w:jc w:val="both"/>
        <w:ind w:firstLineChars="200" w:firstLine="480"/>
        <w:spacing w:after="80" w:line="360" w:lineRule="auto"/>
      </w:pPr>
      <w:r>
        <w:rPr>
          <w:rFonts w:ascii="Times New Roman" w:hAnsi="Times New Roman" w:eastAsia="宋体"/>
          <w:b w:val="0"/>
          <w:sz w:val="24"/>
        </w:rPr>
        <w:t>多智能体系统的研究重点包括三方面。第一，任务分解是否合理，即每个智能体的输入、输出、权限和责任边界是否清楚。第二，智能体之间的通信协议是否可审计，特别是检索依据、工具调用记录和决策变化过程是否保存。第三，系统整体性能是否优于单一模型，并且是否在安全性、鲁棒性和人机协同体验方面取得实质提升。</w:t>
      </w:r>
    </w:p>
    <w:p>
      <w:pPr>
        <w:pStyle w:val="Heading4"/>
        <w:jc w:val="left"/>
        <w:ind w:firstLineChars="200" w:firstLine="480"/>
        <w:spacing w:after="120"/>
      </w:pPr>
      <w:r>
        <w:rPr>
          <w:rFonts w:ascii="Times New Roman" w:hAnsi="Times New Roman" w:eastAsia="黑体"/>
          <w:b/>
          <w:sz w:val="30"/>
        </w:rPr>
        <w:t>（七）多模态大模型与四诊合参：从单模态识别转向证候表征融合</w:t>
      </w:r>
    </w:p>
    <w:p>
      <w:pPr>
        <w:jc w:val="both"/>
        <w:ind w:firstLineChars="200" w:firstLine="480"/>
        <w:spacing w:after="80" w:line="360" w:lineRule="auto"/>
      </w:pPr>
      <w:r>
        <w:rPr>
          <w:rFonts w:ascii="Times New Roman" w:hAnsi="Times New Roman" w:eastAsia="宋体"/>
          <w:b w:val="0"/>
          <w:sz w:val="24"/>
        </w:rPr>
        <w:t>四诊合参是中医诊断的核心，也是多模态大模型在中医药中的代表性场景。望诊与舌诊对应图像，闻诊涉及声音和气味信息，问诊对应自然语言文本，切诊对应脉象波形、压力传感信号和其他生物信号。多模态大模型的任务不是把四类数据简单拼接，而是建立跨模态证候表征，使“舌红少苔”“脉细数”“五心烦热”“口干咽燥”等信息能够在同一证候空间中被联合解释。</w:t>
      </w:r>
    </w:p>
    <w:p>
      <w:pPr>
        <w:jc w:val="both"/>
        <w:ind w:firstLineChars="200" w:firstLine="480"/>
        <w:spacing w:after="80" w:line="360" w:lineRule="auto"/>
      </w:pPr>
      <w:r>
        <w:rPr>
          <w:rFonts w:ascii="Times New Roman" w:hAnsi="Times New Roman" w:eastAsia="宋体"/>
          <w:b w:val="0"/>
          <w:sz w:val="24"/>
        </w:rPr>
        <w:t>多模态四诊合参面临三项关键技术。第一，时空对齐，即不同模态采集时间、采集设备和采集条件差异需要被记录并校正。第二，语义对齐，即图像颜色、脉象波形和文本症状需要映射到共同的证候概念。第三，模态缺失处理，即临床真实场景中并非每次均能获得完整四诊数据，模型应在缺失模态下给出置信度下降提示，而不是生成虚假的完整信息。</w:t>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pStyle w:val="Heading4"/>
        <w:jc w:val="left"/>
        <w:ind w:firstLineChars="200" w:firstLine="480"/>
        <w:spacing w:after="120"/>
      </w:pPr>
      <w:r>
        <w:rPr>
          <w:rFonts w:ascii="Times New Roman" w:hAnsi="Times New Roman" w:eastAsia="黑体"/>
          <w:b/>
          <w:sz w:val="30"/>
        </w:rPr>
        <w:t>（八）科学发现AI、隐私计算与边缘部署：支撑中医药科研新范式</w:t>
      </w:r>
    </w:p>
    <w:p>
      <w:pPr>
        <w:jc w:val="both"/>
        <w:ind w:firstLineChars="200" w:firstLine="480"/>
        <w:spacing w:after="80" w:line="360" w:lineRule="auto"/>
      </w:pPr>
      <w:r>
        <w:rPr>
          <w:rFonts w:ascii="Times New Roman" w:hAnsi="Times New Roman" w:eastAsia="宋体"/>
          <w:b w:val="0"/>
          <w:sz w:val="24"/>
        </w:rPr>
        <w:t>生成式模型已从文本生成扩展到分子生成、网络生成和机制假说生成。在中药研究中，AI可用于中药—成分—靶点—疾病关系挖掘、中西药相互作用预测、复方作用机制假说构建、候选分子筛选和药效物质基础研究。该方向的定位应当明确：AI是科研假说生成与证据整合工具，不是实验结论的替代者。所有由模型生成的候选成分、靶点和机制链条，均需通过药理实验、组学验证或临床研究进一步确认。</w:t>
      </w:r>
    </w:p>
    <w:p>
      <w:pPr>
        <w:jc w:val="both"/>
        <w:ind w:firstLineChars="200" w:firstLine="480"/>
        <w:spacing w:after="80" w:line="360" w:lineRule="auto"/>
      </w:pPr>
      <w:r>
        <w:rPr>
          <w:rFonts w:ascii="Times New Roman" w:hAnsi="Times New Roman" w:eastAsia="宋体"/>
          <w:b w:val="0"/>
          <w:sz w:val="24"/>
        </w:rPr>
        <w:t>中医药数据普遍具有隐私敏感、样本分散、机构间标准不一等特点。联邦学习、隐私计算和边缘部署可为多中心协作提供技术基础。联邦学习允许各机构在数据不出域的条件下共同训练模型；隐私计算用于降低敏感信息泄露风险；边缘部署使基层医疗机构能够在本地使用小而专的模型。三者结合后，可形成“中心知识基座—机构本地模型—安全参数更新—持续评测监测”的协作网络。</w:t>
      </w:r>
    </w:p>
    <w:p>
      <w:pPr>
        <w:pStyle w:val="Heading4"/>
        <w:jc w:val="left"/>
        <w:ind w:firstLineChars="200" w:firstLine="480"/>
        <w:spacing w:after="120"/>
      </w:pPr>
      <w:r>
        <w:rPr>
          <w:rFonts w:ascii="Times New Roman" w:hAnsi="Times New Roman" w:eastAsia="黑体"/>
          <w:b/>
          <w:sz w:val="30"/>
        </w:rPr>
        <w:t>（九）生成式仿真与真实世界证据：方法学工具的新角色</w:t>
      </w:r>
    </w:p>
    <w:p>
      <w:pPr>
        <w:jc w:val="both"/>
        <w:ind w:firstLineChars="200" w:firstLine="480"/>
        <w:spacing w:after="80" w:line="360" w:lineRule="auto"/>
      </w:pPr>
      <w:r>
        <w:rPr>
          <w:rFonts w:ascii="Times New Roman" w:hAnsi="Times New Roman" w:eastAsia="宋体"/>
          <w:b w:val="0"/>
          <w:sz w:val="24"/>
        </w:rPr>
        <w:t>生成式大模型还可作为研究方法工具，用于构建虚拟病例、模拟医患对话、辅助研究方案设计和真实世界研究预演。与第九章真实世界证据相衔接，生成式仿真可用于训练模型、测试问诊策略、补充低风险教学场景和检验研究流程。需要严格区分仿真数据与真实证据：仿真数据可用于教学、系统测试和方法预演，不能直接替代临床真实世界数据形成疗效结论。</w:t>
      </w:r>
    </w:p>
    <w:p>
      <w:pPr>
        <w:jc w:val="both"/>
        <w:ind w:firstLineChars="200" w:firstLine="480"/>
        <w:spacing w:after="80" w:line="360" w:lineRule="auto"/>
      </w:pPr>
      <w:r>
        <w:rPr>
          <w:rFonts w:ascii="Times New Roman" w:hAnsi="Times New Roman" w:eastAsia="宋体"/>
          <w:b w:val="0"/>
          <w:sz w:val="24"/>
        </w:rPr>
        <w:t>这一方向的规范要求包括：标明合成数据来源与生成方法；防止合成病例进入真实病例库；评估仿真数据与真实数据之间的分布差异；禁止用同一模型生成数据并评价自身能力；在论文和报告中单独披露合成数据占比。上述要求体现了研究诚信，也是生成式AI进入中医药研究方法学的底线。</w:t>
      </w:r>
    </w:p>
    <w:p>
      <w:pPr>
        <w:pStyle w:val="Heading3"/>
        <w:jc w:val="left"/>
        <w:ind w:firstLineChars="200" w:firstLine="480"/>
        <w:spacing w:after="160"/>
      </w:pPr>
      <w:r>
        <w:rPr>
          <w:rFonts w:ascii="Times New Roman" w:hAnsi="Times New Roman" w:eastAsia="黑体"/>
          <w:b/>
          <w:sz w:val="32"/>
        </w:rPr>
        <w:t>二、下一代AI技术在中医药中的应用展望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