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C6EC5">
        <w:t>Oct</w:t>
      </w:r>
      <w:r>
        <w:t xml:space="preserve">  2017</w:t>
      </w:r>
    </w:p>
    <w:p w:rsidR="00CC6EC5" w:rsidRDefault="00CC6EC5" w:rsidP="000D47EF">
      <w:pPr>
        <w:jc w:val="center"/>
      </w:pPr>
    </w:p>
    <w:p w:rsidR="00CC6EC5" w:rsidRDefault="00CC6EC5" w:rsidP="00CC6EC5">
      <w:pPr>
        <w:pStyle w:val="1"/>
        <w:rPr>
          <w:rFonts w:eastAsiaTheme="minorHAnsi"/>
        </w:rPr>
      </w:pPr>
      <w:bookmarkStart w:id="0" w:name="_Toc494801848"/>
      <w:r w:rsidRPr="00CC6EC5">
        <w:rPr>
          <w:rFonts w:eastAsiaTheme="minorHAnsi"/>
        </w:rPr>
        <w:t>Abstract</w:t>
      </w:r>
      <w:bookmarkEnd w:id="0"/>
    </w:p>
    <w:p w:rsidR="00CC6EC5" w:rsidRDefault="00CC6EC5" w:rsidP="00E242E9">
      <w:pPr>
        <w:jc w:val="both"/>
      </w:pPr>
      <w:r>
        <w:t>This is a paper report for the purpose of MSC graduation resear</w:t>
      </w:r>
      <w:r w:rsidR="00871250">
        <w:t xml:space="preserve">ch work, in the course of </w:t>
      </w:r>
      <w:hyperlink r:id="rId8" w:history="1">
        <w:r w:rsidR="00871250" w:rsidRPr="00163A6E">
          <w:rPr>
            <w:rStyle w:val="Hyperlink"/>
          </w:rPr>
          <w:t>TASP</w:t>
        </w:r>
      </w:hyperlink>
      <w:r w:rsidR="00871250">
        <w:t xml:space="preserve"> (</w:t>
      </w:r>
      <w:proofErr w:type="spellStart"/>
      <w:r w:rsidR="00163A6E" w:rsidRPr="00163A6E">
        <w:t>Technion</w:t>
      </w:r>
      <w:proofErr w:type="spellEnd"/>
      <w:r w:rsidR="00163A6E" w:rsidRPr="00163A6E">
        <w:t xml:space="preserve"> Autonomous Systems Program</w:t>
      </w:r>
      <w:r w:rsidR="00871250">
        <w:t xml:space="preserve">). </w:t>
      </w:r>
    </w:p>
    <w:p w:rsidR="002C1B47" w:rsidRDefault="002C1B47" w:rsidP="00E242E9">
      <w:pPr>
        <w:jc w:val="both"/>
      </w:pPr>
      <w:r>
        <w:t>In this research work I am investigating the problem of payload carried by 2 quadrotors ‘array’ and its stability</w:t>
      </w:r>
      <w:r w:rsidR="00E242E9">
        <w:t>, under certain conditions</w:t>
      </w:r>
      <w:r>
        <w:t xml:space="preserve">. This </w:t>
      </w:r>
      <w:r w:rsidR="00E242E9">
        <w:t>case is in interes</w:t>
      </w:r>
      <w:r>
        <w:t xml:space="preserve">t </w:t>
      </w:r>
      <w:r w:rsidR="00E242E9">
        <w:t>because of possible payload delivery mission required by companies such ‘Amazon’ and others, to deliver relatively big-size and heavy payloads.</w:t>
      </w:r>
    </w:p>
    <w:p w:rsidR="00CC6EC5" w:rsidRPr="00CC6EC5" w:rsidRDefault="00E242E9" w:rsidP="00CC6EC5">
      <w:r>
        <w:t xml:space="preserve">I’ll show the model equations of motion, analytical investigation and a numerical investigation results for comparison. </w:t>
      </w:r>
    </w:p>
    <w:p w:rsidR="00CC6EC5" w:rsidRDefault="00CC6EC5" w:rsidP="000D47E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CC6EC5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1848" w:history="1">
            <w:r w:rsidR="00CC6EC5" w:rsidRPr="003E2644">
              <w:rPr>
                <w:rStyle w:val="Hyperlink"/>
                <w:noProof/>
              </w:rPr>
              <w:t>Abstract</w:t>
            </w:r>
            <w:r w:rsidR="00CC6EC5">
              <w:rPr>
                <w:noProof/>
                <w:webHidden/>
              </w:rPr>
              <w:tab/>
            </w:r>
            <w:r w:rsidR="00CC6EC5">
              <w:rPr>
                <w:noProof/>
                <w:webHidden/>
              </w:rPr>
              <w:fldChar w:fldCharType="begin"/>
            </w:r>
            <w:r w:rsidR="00CC6EC5">
              <w:rPr>
                <w:noProof/>
                <w:webHidden/>
              </w:rPr>
              <w:instrText xml:space="preserve"> PAGEREF _Toc494801848 \h </w:instrText>
            </w:r>
            <w:r w:rsidR="00CC6EC5">
              <w:rPr>
                <w:noProof/>
                <w:webHidden/>
              </w:rPr>
            </w:r>
            <w:r w:rsidR="00CC6EC5">
              <w:rPr>
                <w:noProof/>
                <w:webHidden/>
              </w:rPr>
              <w:fldChar w:fldCharType="separate"/>
            </w:r>
            <w:r w:rsidR="00CC6EC5">
              <w:rPr>
                <w:noProof/>
                <w:webHidden/>
              </w:rPr>
              <w:t>1</w:t>
            </w:r>
            <w:r w:rsidR="00CC6EC5"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49" w:history="1">
            <w:r w:rsidRPr="003E264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NZ" w:eastAsia="en-NZ"/>
              </w:rPr>
              <w:tab/>
            </w:r>
            <w:r w:rsidRPr="003E26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0" w:history="1">
            <w:r w:rsidRPr="003E26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NZ" w:eastAsia="en-NZ"/>
              </w:rPr>
              <w:tab/>
            </w:r>
            <w:r w:rsidRPr="003E2644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1" w:history="1">
            <w:r w:rsidRPr="003E264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NZ" w:eastAsia="en-NZ"/>
              </w:rPr>
              <w:tab/>
            </w:r>
            <w:r w:rsidRPr="003E2644">
              <w:rPr>
                <w:rStyle w:val="Hyperlink"/>
                <w:noProof/>
              </w:rPr>
              <w:t>The system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2" w:history="1">
            <w:r w:rsidRPr="003E2644">
              <w:rPr>
                <w:rStyle w:val="Hyperlink"/>
                <w:noProof/>
              </w:rPr>
              <w:t>Test for limiting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3" w:history="1">
            <w:r w:rsidRPr="003E2644">
              <w:rPr>
                <w:rStyle w:val="Hyperlink"/>
                <w:noProof/>
              </w:rPr>
              <w:t>Non-dimensional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4" w:history="1">
            <w:r w:rsidRPr="003E2644">
              <w:rPr>
                <w:rStyle w:val="Hyperlink"/>
                <w:noProof/>
              </w:rPr>
              <w:t>Equilibrium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5" w:history="1">
            <w:r w:rsidRPr="003E2644">
              <w:rPr>
                <w:rStyle w:val="Hyperlink"/>
                <w:noProof/>
              </w:rPr>
              <w:t>Non-conservative general forces of the problem can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6" w:history="1">
            <w:r w:rsidRPr="003E2644">
              <w:rPr>
                <w:rStyle w:val="Hyperlink"/>
                <w:noProof/>
              </w:rPr>
              <w:t>Treated maneuvers in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7" w:history="1">
            <w:r w:rsidRPr="003E2644">
              <w:rPr>
                <w:rStyle w:val="Hyperlink"/>
                <w:noProof/>
              </w:rPr>
              <w:t>equilibrium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8" w:history="1">
            <w:r w:rsidRPr="003E2644">
              <w:rPr>
                <w:rStyle w:val="Hyperlink"/>
                <w:noProof/>
              </w:rPr>
              <w:t>4 asymptotic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59" w:history="1">
            <w:r w:rsidRPr="003E2644">
              <w:rPr>
                <w:rStyle w:val="Hyperlink"/>
                <w:noProof/>
              </w:rPr>
              <w:t>5 numerical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60" w:history="1">
            <w:r w:rsidRPr="003E2644">
              <w:rPr>
                <w:rStyle w:val="Hyperlink"/>
                <w:noProof/>
              </w:rPr>
              <w:t>6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61" w:history="1">
            <w:r w:rsidRPr="003E264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62" w:history="1">
            <w:r w:rsidRPr="003E264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63" w:history="1">
            <w:r w:rsidRPr="003E2644">
              <w:rPr>
                <w:rStyle w:val="Hyperlink"/>
                <w:noProof/>
              </w:rPr>
              <w:t>Appendix 1 –Limiting case dynamics – elastic pendulum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EC5" w:rsidRDefault="00CC6EC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4801864" w:history="1">
            <w:r w:rsidRPr="003E2644">
              <w:rPr>
                <w:rStyle w:val="Hyperlink"/>
                <w:noProof/>
              </w:rPr>
              <w:t>Linearization around the equilibrium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1" w:name="_Toc494801849"/>
      <w:r w:rsidRPr="002445AB">
        <w:rPr>
          <w:u w:val="single"/>
        </w:rPr>
        <w:lastRenderedPageBreak/>
        <w:t>Introduction</w:t>
      </w:r>
      <w:bookmarkEnd w:id="1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bookmarkStart w:id="2" w:name="_GoBack"/>
      <w:bookmarkEnd w:id="2"/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5E" w:rsidRPr="00870B58" w:rsidRDefault="000D47EF" w:rsidP="00870B58">
      <w:pPr>
        <w:pStyle w:val="a6"/>
        <w:jc w:val="center"/>
      </w:pPr>
      <w:r>
        <w:t xml:space="preserve">Figure </w:t>
      </w:r>
      <w:r w:rsidR="00CC6EC5">
        <w:fldChar w:fldCharType="begin"/>
      </w:r>
      <w:r w:rsidR="00CC6EC5">
        <w:instrText xml:space="preserve"> SEQ Figure \* ARABIC </w:instrText>
      </w:r>
      <w:r w:rsidR="00CC6EC5">
        <w:fldChar w:fldCharType="separate"/>
      </w:r>
      <w:r w:rsidR="00A3568B">
        <w:rPr>
          <w:noProof/>
        </w:rPr>
        <w:t>1</w:t>
      </w:r>
      <w:r w:rsidR="00CC6EC5">
        <w:rPr>
          <w:noProof/>
        </w:rPr>
        <w:fldChar w:fldCharType="end"/>
      </w:r>
      <w:r>
        <w:t xml:space="preserve"> - system view</w:t>
      </w:r>
      <w:r w:rsidR="007C755E"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3" w:name="_Toc494801850"/>
      <w:r w:rsidRPr="00487F1A">
        <w:rPr>
          <w:u w:val="single"/>
        </w:rPr>
        <w:lastRenderedPageBreak/>
        <w:t>Nomenclature</w:t>
      </w:r>
      <w:bookmarkEnd w:id="3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CC6EC5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CC6EC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CC6EC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CC6EC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CC6EC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CC6EC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CC6EC5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CC6EC5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CC6EC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CC6EC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870B58">
      <w:pPr>
        <w:pStyle w:val="1"/>
        <w:numPr>
          <w:ilvl w:val="0"/>
          <w:numId w:val="22"/>
        </w:numPr>
        <w:rPr>
          <w:u w:val="single"/>
        </w:rPr>
      </w:pPr>
      <w:bookmarkStart w:id="4" w:name="_Toc494801851"/>
      <w:r>
        <w:rPr>
          <w:u w:val="single"/>
        </w:rPr>
        <w:lastRenderedPageBreak/>
        <w:t>The system dynamics</w:t>
      </w:r>
      <w:bookmarkEnd w:id="4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870B58" w:rsidRDefault="001C2C0B" w:rsidP="00870B58">
      <w:pPr>
        <w:pStyle w:val="a7"/>
        <w:ind w:left="252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 w:rsidR="00870B58">
        <w:rPr>
          <w:rFonts w:eastAsiaTheme="minorEastAsia"/>
        </w:rPr>
        <w:t xml:space="preserve"> </w:t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  <w:t>(1)</w:t>
      </w:r>
    </w:p>
    <w:p w:rsidR="00870B58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>Which refers to 9 D.O.F system.</w:t>
      </w:r>
    </w:p>
    <w:p w:rsidR="00E467B7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 xml:space="preserve">We limit ourselves to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because this is a ‘Research project’.</w:t>
      </w:r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</w:t>
      </w:r>
      <w:r w:rsidR="00870B58">
        <w:rPr>
          <w:rFonts w:eastAsiaTheme="minorEastAsia"/>
        </w:rPr>
        <w:t xml:space="preserve">eaning the problem we deal with is </w:t>
      </w:r>
      <w:r>
        <w:rPr>
          <w:rFonts w:eastAsiaTheme="minorEastAsia"/>
        </w:rPr>
        <w:t>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r w:rsidR="00CC6EC5">
        <w:fldChar w:fldCharType="begin"/>
      </w:r>
      <w:r w:rsidR="00CC6EC5">
        <w:instrText xml:space="preserve"> SEQ Figure \* ARABIC </w:instrText>
      </w:r>
      <w:r w:rsidR="00CC6EC5">
        <w:fldChar w:fldCharType="separate"/>
      </w:r>
      <w:r w:rsidR="00A3568B">
        <w:rPr>
          <w:noProof/>
        </w:rPr>
        <w:t>5</w:t>
      </w:r>
      <w:r w:rsidR="00CC6EC5">
        <w:rPr>
          <w:noProof/>
        </w:rPr>
        <w:fldChar w:fldCharType="end"/>
      </w:r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70B58" w:rsidRDefault="00870B58" w:rsidP="001C2C0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870B58" w:rsidRPr="00870B58" w:rsidRDefault="00CC6EC5" w:rsidP="001C2C0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870B58" w:rsidRPr="00870B58" w:rsidRDefault="00CC6EC5" w:rsidP="001C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5" w:name="_Toc494801852"/>
      <w:r w:rsidRPr="00957055">
        <w:rPr>
          <w:rFonts w:eastAsiaTheme="minorEastAsia"/>
        </w:rPr>
        <w:t>Test for limiting case</w:t>
      </w:r>
      <w:bookmarkEnd w:id="5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6" w:name="_Toc494801853"/>
      <w:r>
        <w:rPr>
          <w:rFonts w:eastAsiaTheme="minorEastAsia"/>
        </w:rPr>
        <w:lastRenderedPageBreak/>
        <w:t>Non-dimensional equations</w:t>
      </w:r>
      <w:bookmarkEnd w:id="6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7" w:name="_Toc494801854"/>
      <w:r>
        <w:rPr>
          <w:rFonts w:eastAsiaTheme="minorEastAsia"/>
        </w:rPr>
        <w:t>Equilibrium check</w:t>
      </w:r>
      <w:bookmarkEnd w:id="7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CC6EC5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Pr="00AA4183" w:rsidRDefault="00792270" w:rsidP="000B4BB4">
      <w:pPr>
        <w:rPr>
          <w:rFonts w:eastAsiaTheme="minorEastAsia"/>
          <w:strike/>
        </w:rPr>
      </w:pPr>
      <w:r w:rsidRPr="00AA4183">
        <w:rPr>
          <w:rFonts w:eastAsiaTheme="minorEastAsia"/>
          <w:strike/>
        </w:rPr>
        <w:t xml:space="preserve">But it’s hard to </w:t>
      </w:r>
      <w:r w:rsidR="00FF6177" w:rsidRPr="00AA4183">
        <w:rPr>
          <w:rFonts w:eastAsiaTheme="minorEastAsia"/>
          <w:strike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8" w:name="_Toc494801855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8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9" w:name="_Toc494801856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9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10" w:name="_Toc494801857"/>
      <w:r w:rsidRPr="00C76A2E">
        <w:t>equilibrium analysis</w:t>
      </w:r>
      <w:bookmarkEnd w:id="10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11" w:name="_Toc494801858"/>
      <w:r w:rsidRPr="00C76A2E">
        <w:t>4 asymptotic analysis</w:t>
      </w:r>
      <w:bookmarkEnd w:id="11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2" w:name="_Toc494801859"/>
      <w:r w:rsidRPr="00C76A2E">
        <w:t>5 numerical analysis</w:t>
      </w:r>
      <w:bookmarkEnd w:id="12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3" w:name="_Toc494801860"/>
      <w:r w:rsidRPr="00C76A2E">
        <w:t>6 discussion</w:t>
      </w:r>
      <w:bookmarkEnd w:id="13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4" w:name="_Toc494801861"/>
      <w:r>
        <w:rPr>
          <w:u w:val="single"/>
        </w:rPr>
        <w:lastRenderedPageBreak/>
        <w:t>Summary</w:t>
      </w:r>
      <w:bookmarkEnd w:id="14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5" w:name="_Toc494801862"/>
      <w:r>
        <w:rPr>
          <w:u w:val="single"/>
        </w:rPr>
        <w:t>References</w:t>
      </w:r>
      <w:bookmarkEnd w:id="15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CC6EC5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1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2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3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4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CC6EC5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0962CB" w:rsidRPr="00A30027">
          <w:rPr>
            <w:rStyle w:val="Hyperlink"/>
            <w:rFonts w:eastAsiaTheme="minorEastAsia"/>
          </w:rPr>
          <w:t>http://lib.physcon.ru/file?id=bee776e3b376</w:t>
        </w:r>
      </w:hyperlink>
      <w:r w:rsidR="000962CB">
        <w:rPr>
          <w:rFonts w:eastAsiaTheme="minorEastAsia"/>
        </w:rPr>
        <w:t xml:space="preserve"> </w:t>
      </w:r>
    </w:p>
    <w:p w:rsidR="000962CB" w:rsidRDefault="00CC6EC5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6" w:history="1">
        <w:r w:rsidR="000962CB" w:rsidRPr="00A30027">
          <w:rPr>
            <w:rStyle w:val="Hyperlink"/>
            <w:rFonts w:eastAsiaTheme="minorEastAsia"/>
          </w:rPr>
          <w:t>http://www.cmi.ac.in/~ravitej/lab/param_res.pdf</w:t>
        </w:r>
      </w:hyperlink>
      <w:r w:rsidR="000962CB"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6" w:name="_Toc494801863"/>
      <w:r>
        <w:rPr>
          <w:rFonts w:eastAsiaTheme="minorEastAsia"/>
        </w:rPr>
        <w:lastRenderedPageBreak/>
        <w:t>Appendix 1 –Limiting case dynamics – elastic pendulum</w:t>
      </w:r>
      <w:bookmarkEnd w:id="16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CC6EC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CC6EC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201D1" w:rsidRPr="00D201D1" w:rsidRDefault="001D0F06" w:rsidP="007F1562">
      <w:pPr>
        <w:rPr>
          <w:rFonts w:eastAsiaTheme="minorEastAsia"/>
        </w:rPr>
      </w:pPr>
      <w:r w:rsidRPr="001D0F06">
        <w:t xml:space="preserve">assumption is </w:t>
      </w:r>
      <w:proofErr w:type="spellStart"/>
      <w:r w:rsidRPr="001D0F06">
        <w:t>y</w:t>
      </w:r>
      <w:r w:rsidRPr="001D0F06">
        <w:rPr>
          <w:vertAlign w:val="subscript"/>
        </w:rPr>
        <w:t>p</w:t>
      </w:r>
      <w:proofErr w:type="spellEnd"/>
      <w:r w:rsidRPr="001D0F06">
        <w:t>&gt;0</w:t>
      </w:r>
      <w:r>
        <w:t xml:space="preserve"> </w:t>
      </w:r>
      <w:r w:rsidR="00D201D1" w:rsidRPr="00D201D1">
        <w:rPr>
          <w:rFonts w:eastAsiaTheme="minorEastAsia"/>
        </w:rPr>
        <w:t>fits to</w:t>
      </w:r>
      <w:r w:rsidR="00D201D1" w:rsidRPr="007F1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]→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  ,  so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otherwise it means the spring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201D1" w:rsidRPr="007F1562">
        <w:rPr>
          <w:rFonts w:eastAsiaTheme="minorEastAsia"/>
        </w:rPr>
        <w:t xml:space="preserve"> is to small and weak.</w:t>
      </w:r>
    </w:p>
    <w:p w:rsidR="00D201D1" w:rsidRDefault="00D201D1" w:rsidP="00D201D1">
      <w:pPr>
        <w:rPr>
          <w:rFonts w:eastAsiaTheme="minorEastAsia"/>
        </w:rPr>
      </w:pPr>
      <w:r w:rsidRPr="007F1562">
        <w:rPr>
          <w:rFonts w:eastAsiaTheme="minorEastAsia"/>
        </w:rPr>
        <w:t xml:space="preserve">assumption is </w:t>
      </w:r>
      <w:proofErr w:type="spellStart"/>
      <w:r w:rsidR="001D0F06" w:rsidRPr="001D0F06">
        <w:t>y</w:t>
      </w:r>
      <w:r w:rsidR="001D0F06" w:rsidRPr="001D0F06">
        <w:rPr>
          <w:vertAlign w:val="subscript"/>
        </w:rPr>
        <w:t>p</w:t>
      </w:r>
      <w:proofErr w:type="spellEnd"/>
      <w:r w:rsidR="001D0F06">
        <w:t>&lt;</w:t>
      </w:r>
      <w:r w:rsidR="001D0F06" w:rsidRPr="001D0F06">
        <w:t>0</w:t>
      </w:r>
      <w:r w:rsidR="001D0F06">
        <w:t xml:space="preserve"> </w:t>
      </w:r>
      <w:r w:rsidRPr="007F1562">
        <w:rPr>
          <w:rFonts w:eastAsiaTheme="minorEastAsia"/>
        </w:rPr>
        <w:t xml:space="preserve">fits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[t]→-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bookmarkStart w:id="17" w:name="_Toc494801864"/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7"/>
    </w:p>
    <w:p w:rsidR="005553E8" w:rsidRDefault="00E867C0" w:rsidP="005553E8">
      <w:r>
        <w:t>Get dimensionless variables</w:t>
      </w:r>
      <w:r w:rsidR="00BB52AB">
        <w:t xml:space="preserve"> </w:t>
      </w:r>
      <w:r w:rsidR="005553E8">
        <w:t xml:space="preserve">by </w:t>
      </w:r>
      <w:r w:rsidR="00BB52AB">
        <w:t>the relations</w:t>
      </w:r>
      <w:r w:rsidR="005553E8">
        <w:t>:</w:t>
      </w:r>
    </w:p>
    <w:p w:rsidR="005553E8" w:rsidRPr="005553E8" w:rsidRDefault="00CC6EC5" w:rsidP="005553E8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t=τ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4D6A97" w:rsidRDefault="008A737B" w:rsidP="004D6A97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A37136">
      <w:pPr>
        <w:rPr>
          <w:rFonts w:eastAsiaTheme="minorEastAsia"/>
          <w:rtl/>
        </w:rPr>
      </w:pPr>
      <w:r w:rsidRPr="00C21435">
        <w:rPr>
          <w:rFonts w:eastAsiaTheme="minorEastAsia"/>
          <w:b/>
          <w:bCs/>
        </w:rPr>
        <w:t>1</w:t>
      </w:r>
      <w:r w:rsidRPr="00C21435">
        <w:rPr>
          <w:rFonts w:eastAsiaTheme="minorEastAsia"/>
          <w:b/>
          <w:bCs/>
          <w:vertAlign w:val="superscript"/>
        </w:rPr>
        <w:t>st</w:t>
      </w:r>
      <w:r w:rsidRPr="00C21435">
        <w:rPr>
          <w:rFonts w:eastAsiaTheme="minorEastAsia"/>
          <w:b/>
          <w:bCs/>
        </w:rPr>
        <w:t xml:space="preserve"> order linearization</w:t>
      </w:r>
      <w:r>
        <w:rPr>
          <w:rFonts w:eastAsiaTheme="minorEastAsia"/>
        </w:rPr>
        <w:t xml:space="preserve">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f[x,y]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 w:rsidRPr="00C21435">
        <w:rPr>
          <w:rFonts w:eastAsiaTheme="minorEastAsia"/>
          <w:i/>
          <w:iCs/>
        </w:rPr>
        <w:t>Near equilibrium</w:t>
      </w:r>
      <w:r>
        <w:rPr>
          <w:rFonts w:eastAsiaTheme="minorEastAsia"/>
        </w:rPr>
        <w:t>:</w:t>
      </w:r>
    </w:p>
    <w:p w:rsidR="003B2375" w:rsidRDefault="00CC6EC5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CC6EC5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 xml:space="preserve">Testing for the </w:t>
      </w:r>
      <w:r w:rsidR="00E867C0">
        <w:rPr>
          <w:rFonts w:eastAsiaTheme="minorEastAsia"/>
        </w:rPr>
        <w:t>1</w:t>
      </w:r>
      <w:r w:rsidR="00E867C0" w:rsidRPr="00E867C0">
        <w:rPr>
          <w:rFonts w:eastAsiaTheme="minorEastAsia"/>
          <w:vertAlign w:val="superscript"/>
        </w:rPr>
        <w:t>st</w:t>
      </w:r>
      <w:r w:rsidR="00E867C0">
        <w:rPr>
          <w:rFonts w:eastAsiaTheme="minorEastAsia"/>
        </w:rPr>
        <w:t xml:space="preserve"> </w:t>
      </w:r>
      <w:r>
        <w:rPr>
          <w:rFonts w:eastAsiaTheme="minorEastAsia"/>
        </w:rPr>
        <w:t>equilibrium point of:</w:t>
      </w:r>
    </w:p>
    <w:p w:rsidR="00B739B8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1+G</m:t>
            </m:r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FE63EF" w:rsidRPr="000279E0" w:rsidRDefault="00FE63EF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setting  :   </w:t>
      </w:r>
      <m:oMath>
        <m:r>
          <w:rPr>
            <w:rFonts w:ascii="Cambria Math" w:eastAsiaTheme="minorEastAsia" w:hAnsi="Cambria Math"/>
          </w:rPr>
          <m:t>G→</m:t>
        </m:r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</w:t>
      </w:r>
      <w:r w:rsidR="00835B0F">
        <w:rPr>
          <w:rFonts w:eastAsiaTheme="minorEastAsia"/>
        </w:rPr>
        <w:t>, for the 1</w:t>
      </w:r>
      <w:r w:rsidR="00835B0F" w:rsidRPr="00835B0F">
        <w:rPr>
          <w:rFonts w:eastAsiaTheme="minorEastAsia"/>
          <w:vertAlign w:val="superscript"/>
        </w:rPr>
        <w:t>st</w:t>
      </w:r>
      <w:r w:rsidR="00835B0F">
        <w:rPr>
          <w:rFonts w:eastAsiaTheme="minorEastAsia"/>
        </w:rPr>
        <w:t xml:space="preserve"> </w:t>
      </w:r>
      <w:proofErr w:type="spellStart"/>
      <w:r w:rsidR="00835B0F">
        <w:rPr>
          <w:rFonts w:eastAsiaTheme="minorEastAsia"/>
        </w:rPr>
        <w:t>equib</w:t>
      </w:r>
      <w:proofErr w:type="spellEnd"/>
      <w:r w:rsidR="00835B0F">
        <w:rPr>
          <w:rFonts w:eastAsiaTheme="minorEastAsia"/>
        </w:rPr>
        <w:t xml:space="preserve">. point, </w:t>
      </w:r>
      <w:r>
        <w:rPr>
          <w:rFonts w:eastAsiaTheme="minorEastAsia"/>
        </w:rPr>
        <w:t xml:space="preserve">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0E67F6" w:rsidRPr="000E67F6" w:rsidRDefault="000E67F6" w:rsidP="000E67F6">
      <w:pPr>
        <w:ind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E67F6" w:rsidRPr="000E67F6" w:rsidRDefault="000E67F6" w:rsidP="000E67F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E67F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+G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D554BA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relation from equilibrium above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±1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 xml:space="preserve"> to eliminate o(1) terms</w:t>
      </w:r>
    </w:p>
    <w:p w:rsidR="002A36BA" w:rsidRPr="000E67F6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EB635C" w:rsidRDefault="00A90B33" w:rsidP="00A90B33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1+G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:rsidR="00E42E30" w:rsidRDefault="00E42E30" w:rsidP="00E42E30">
      <w:pPr>
        <w:rPr>
          <w:rFonts w:eastAsiaTheme="minorEastAsia"/>
        </w:rPr>
      </w:pPr>
    </w:p>
    <w:p w:rsidR="00D71113" w:rsidRDefault="00A90B33" w:rsidP="00E42E30">
      <w:pPr>
        <w:rPr>
          <w:rFonts w:eastAsiaTheme="minorEastAsia"/>
        </w:rPr>
      </w:pPr>
      <w:r>
        <w:rPr>
          <w:rFonts w:eastAsiaTheme="minorEastAsia"/>
        </w:rPr>
        <w:t>It is equivalent to the</w:t>
      </w:r>
      <w:r w:rsidR="007A32AB">
        <w:rPr>
          <w:rFonts w:eastAsiaTheme="minorEastAsia"/>
        </w:rPr>
        <w:t xml:space="preserve"> matrix notation : </w:t>
      </w:r>
    </w:p>
    <w:p w:rsidR="007A32AB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M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+C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+Kx==F</m:t>
        </m:r>
        <m:r>
          <w:rPr>
            <w:rFonts w:ascii="Cambria Math" w:eastAsiaTheme="minorEastAsia"/>
          </w:rPr>
          <m:t xml:space="preserve"> </m:t>
        </m:r>
      </m:oMath>
    </w:p>
    <w:p w:rsidR="007A32AB" w:rsidRDefault="007A32AB" w:rsidP="000E67F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1+G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C44EFF" w:rsidRDefault="00A90B33" w:rsidP="003A2025">
      <w:pPr>
        <w:rPr>
          <w:rFonts w:eastAsiaTheme="minorEastAsia"/>
        </w:rPr>
      </w:pPr>
      <w:r>
        <w:rPr>
          <w:rFonts w:eastAsiaTheme="minorEastAsia"/>
        </w:rPr>
        <w:t>Where we know to find the natural frequencies by the requirement</w:t>
      </w:r>
      <w:r w:rsidR="007A32AB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="007A32AB">
        <w:rPr>
          <w:rFonts w:eastAsiaTheme="minorEastAsia"/>
        </w:rPr>
        <w:t xml:space="preserve">: </w:t>
      </w:r>
    </w:p>
    <w:p w:rsidR="00C44EFF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2025" w:rsidRDefault="00C44EFF" w:rsidP="003A2025">
      <w:pPr>
        <w:rPr>
          <w:rFonts w:eastAsiaTheme="minorEastAsia"/>
        </w:rPr>
      </w:pPr>
      <w:r>
        <w:rPr>
          <w:rFonts w:eastAsiaTheme="minorEastAsia"/>
        </w:rPr>
        <w:t>It is an equation of 4</w:t>
      </w:r>
      <w:r w:rsidRPr="00C44EF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for </w:t>
      </w:r>
      <m:oMath>
        <m:r>
          <w:rPr>
            <w:rFonts w:ascii="Cambria Math" w:eastAsiaTheme="minorEastAsia" w:hAnsi="Cambria Math"/>
          </w:rPr>
          <m:t>ω</m:t>
        </m:r>
      </m:oMath>
      <w:r w:rsidR="004248A0">
        <w:rPr>
          <w:rFonts w:eastAsiaTheme="minorEastAsia"/>
        </w:rPr>
        <w:t xml:space="preserve"> ,  the </w:t>
      </w:r>
      <w:r>
        <w:rPr>
          <w:rFonts w:eastAsiaTheme="minorEastAsia"/>
        </w:rPr>
        <w:t>relevant solution</w:t>
      </w:r>
      <w:r w:rsidR="004248A0">
        <w:rPr>
          <w:rFonts w:eastAsiaTheme="minorEastAsia"/>
        </w:rPr>
        <w:t>s are</w:t>
      </w:r>
      <w:r>
        <w:rPr>
          <w:rFonts w:eastAsiaTheme="minorEastAsia"/>
        </w:rPr>
        <w:t>:</w:t>
      </w:r>
    </w:p>
    <w:p w:rsidR="009616C3" w:rsidRPr="00171F16" w:rsidRDefault="00171F16" w:rsidP="00171F1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1+G</m:t>
            </m:r>
          </m:den>
        </m:f>
        <m:r>
          <w:rPr>
            <w:rFonts w:ascii="Cambria Math" w:eastAsiaTheme="minorEastAsia" w:hAnsi="Cambria Math"/>
          </w:rPr>
          <m:t xml:space="preserve">&lt;1   ;     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  </m:t>
        </m:r>
      </m:oMath>
    </w:p>
    <w:p w:rsidR="009616C3" w:rsidRPr="009616C3" w:rsidRDefault="009616C3" w:rsidP="00424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r</m:t>
          </m:r>
          <m:r>
            <w:rPr>
              <w:rFonts w:ascii="Cambria Math" w:eastAsiaTheme="minorEastAsia" w:hAnsi="Cambria Math"/>
            </w:rPr>
            <m:t>escaling result for comparison to literature :</m:t>
          </m:r>
        </m:oMath>
      </m:oMathPara>
    </w:p>
    <w:p w:rsidR="004248A0" w:rsidRPr="009616C3" w:rsidRDefault="00CC6EC5" w:rsidP="004248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9616C3" w:rsidRDefault="00CC6EC5" w:rsidP="004248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1+G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, where </w:t>
      </w:r>
      <w:r w:rsidR="0059572E" w:rsidRPr="0059572E">
        <w:rPr>
          <w:rFonts w:eastAsiaTheme="minorEastAsia"/>
          <w:b/>
          <w:bCs/>
        </w:rPr>
        <w:t>expecting</w:t>
      </w:r>
      <w:r w:rsidR="00595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</w:t>
      </w:r>
    </w:p>
    <w:p w:rsidR="001E528E" w:rsidRPr="009616C3" w:rsidRDefault="001E528E" w:rsidP="001E528E">
      <w:pPr>
        <w:tabs>
          <w:tab w:val="center" w:pos="4320"/>
        </w:tabs>
        <w:rPr>
          <w:rFonts w:eastAsiaTheme="minorEastAsia"/>
        </w:rPr>
      </w:pPr>
      <w:r>
        <w:rPr>
          <w:rFonts w:eastAsiaTheme="minorEastAsia"/>
        </w:rPr>
        <w:t xml:space="preserve">If reformatting the above to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den>
            </m:f>
          </m:e>
        </m:rad>
      </m:oMath>
      <w:r>
        <w:rPr>
          <w:rFonts w:eastAsiaTheme="minorEastAsia"/>
        </w:rPr>
        <w:t xml:space="preserve">  it is equivalent to the natural frequency of simple pendulum with a constant length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!</w:t>
      </w:r>
    </w:p>
    <w:p w:rsidR="001277A3" w:rsidRPr="003A7491" w:rsidRDefault="005816C2" w:rsidP="00C44EF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Extra </w:t>
      </w:r>
      <w:r w:rsidR="001277A3" w:rsidRPr="003A7491">
        <w:rPr>
          <w:rFonts w:eastAsiaTheme="minorEastAsia"/>
          <w:i/>
          <w:iCs/>
        </w:rPr>
        <w:t>Limiting cases:</w:t>
      </w:r>
    </w:p>
    <w:p w:rsidR="00E10349" w:rsidRDefault="00E10349" w:rsidP="00C44EFF">
      <w:pPr>
        <w:rPr>
          <w:rFonts w:eastAsiaTheme="minorEastAsia"/>
        </w:rPr>
      </w:pPr>
    </w:p>
    <w:p w:rsidR="00FB2004" w:rsidRDefault="00FB2004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r w:rsidR="002F5B13">
        <w:rPr>
          <w:rFonts w:eastAsiaTheme="minorEastAsia"/>
        </w:rPr>
        <w:t xml:space="preserve">it affects </w:t>
      </w:r>
      <m:oMath>
        <m:r>
          <w:rPr>
            <w:rFonts w:ascii="Cambria Math" w:eastAsiaTheme="minorEastAsia" w:hAnsi="Cambria Math"/>
          </w:rPr>
          <m:t xml:space="preserve">G→0 and </m:t>
        </m:r>
      </m:oMath>
      <w:r>
        <w:rPr>
          <w:rFonts w:eastAsiaTheme="minorEastAsia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27281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which </w:t>
      </w:r>
      <w:r w:rsidR="003702DC">
        <w:rPr>
          <w:rFonts w:eastAsiaTheme="minorEastAsia"/>
        </w:rPr>
        <w:t xml:space="preserve">is similar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simple_pendulum</m:t>
            </m:r>
          </m:sub>
        </m:sSub>
      </m:oMath>
    </w:p>
    <w:p w:rsidR="00171F16" w:rsidRPr="00171F16" w:rsidRDefault="00171F16" w:rsidP="0067082D">
      <w:pPr>
        <w:rPr>
          <w:rFonts w:eastAsiaTheme="minorEastAsia"/>
          <w:u w:val="single"/>
        </w:rPr>
      </w:pPr>
      <w:r w:rsidRPr="00171F16">
        <w:rPr>
          <w:rFonts w:eastAsiaTheme="minorEastAsia"/>
          <w:u w:val="single"/>
        </w:rPr>
        <w:t xml:space="preserve">Stability </w:t>
      </w:r>
    </w:p>
    <w:p w:rsidR="006E27AE" w:rsidRPr="006E27AE" w:rsidRDefault="00171F16" w:rsidP="0067082D">
      <w:pPr>
        <w:rPr>
          <w:rFonts w:eastAsiaTheme="minorEastAsia"/>
        </w:rPr>
      </w:pPr>
      <w:r>
        <w:rPr>
          <w:rFonts w:eastAsiaTheme="minorEastAsia"/>
        </w:rPr>
        <w:t>From other references in literature we can note that (15) is relevant to a stable dynamic behavior.</w:t>
      </w:r>
    </w:p>
    <w:sectPr w:rsidR="006E27AE" w:rsidRPr="006E27AE" w:rsidSect="00766038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DB8" w:rsidRDefault="00E76DB8" w:rsidP="00344A70">
      <w:pPr>
        <w:spacing w:after="0" w:line="240" w:lineRule="auto"/>
      </w:pPr>
      <w:r>
        <w:separator/>
      </w:r>
    </w:p>
  </w:endnote>
  <w:endnote w:type="continuationSeparator" w:id="0">
    <w:p w:rsidR="00E76DB8" w:rsidRDefault="00E76DB8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CC6EC5" w:rsidRDefault="00CC6EC5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C6EC5" w:rsidRDefault="00CC6EC5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0A6457" w:rsidRPr="000A6457">
          <w:rPr>
            <w:rFonts w:cs="Calibri"/>
            <w:noProof/>
            <w:lang w:val="he-IL"/>
          </w:rPr>
          <w:t>4</w:t>
        </w:r>
        <w:r>
          <w:fldChar w:fldCharType="end"/>
        </w:r>
      </w:p>
    </w:sdtContent>
  </w:sdt>
  <w:p w:rsidR="00CC6EC5" w:rsidRDefault="00CC6EC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DB8" w:rsidRDefault="00E76DB8" w:rsidP="00344A70">
      <w:pPr>
        <w:spacing w:after="0" w:line="240" w:lineRule="auto"/>
      </w:pPr>
      <w:r>
        <w:separator/>
      </w:r>
    </w:p>
  </w:footnote>
  <w:footnote w:type="continuationSeparator" w:id="0">
    <w:p w:rsidR="00E76DB8" w:rsidRDefault="00E76DB8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54C3F"/>
    <w:rsid w:val="00061A1A"/>
    <w:rsid w:val="00065935"/>
    <w:rsid w:val="00083315"/>
    <w:rsid w:val="00091E93"/>
    <w:rsid w:val="000962CB"/>
    <w:rsid w:val="000A04F2"/>
    <w:rsid w:val="000A6457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3A6E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1B47"/>
    <w:rsid w:val="002C3F5E"/>
    <w:rsid w:val="002D0CCA"/>
    <w:rsid w:val="002E2240"/>
    <w:rsid w:val="002E456D"/>
    <w:rsid w:val="002F0EDB"/>
    <w:rsid w:val="002F5B13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D6A97"/>
    <w:rsid w:val="004E626A"/>
    <w:rsid w:val="0050399F"/>
    <w:rsid w:val="00503DE5"/>
    <w:rsid w:val="00505F4B"/>
    <w:rsid w:val="00524B63"/>
    <w:rsid w:val="0052596F"/>
    <w:rsid w:val="00543ED2"/>
    <w:rsid w:val="005478DE"/>
    <w:rsid w:val="00554C84"/>
    <w:rsid w:val="005553E8"/>
    <w:rsid w:val="0056079E"/>
    <w:rsid w:val="0056147F"/>
    <w:rsid w:val="00562ADD"/>
    <w:rsid w:val="00565D90"/>
    <w:rsid w:val="00570ED5"/>
    <w:rsid w:val="00571E39"/>
    <w:rsid w:val="0057526B"/>
    <w:rsid w:val="00580325"/>
    <w:rsid w:val="005816C2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5035"/>
    <w:rsid w:val="007C755E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1250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183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C6EC5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42E9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76DB8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4F09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9465E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E3129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p.technion.ac.il/" TargetMode="External"/><Relationship Id="rId13" Type="http://schemas.openxmlformats.org/officeDocument/2006/relationships/hyperlink" Target="https://training.ti.com/webinar-how-extend-flight-time-and-battery-life-quadcopters-and-industrial-dron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lyingmachinearena.org/research/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http://www.cmi.ac.in/~ravitej/lab/param_re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73139367_Dynamics_Modeling_and_Control_of_a_Quadrotor_with_Swing_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physcon.ru/file?id=bee776e3b376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ursera.org/learn/robotics-fligh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3641-67E5-4275-879D-8B460CC89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38053</TotalTime>
  <Pages>1</Pages>
  <Words>2685</Words>
  <Characters>15309</Characters>
  <Application>Microsoft Office Word</Application>
  <DocSecurity>0</DocSecurity>
  <Lines>127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137</cp:revision>
  <cp:lastPrinted>2017-09-14T04:55:00Z</cp:lastPrinted>
  <dcterms:created xsi:type="dcterms:W3CDTF">2014-12-16T02:42:00Z</dcterms:created>
  <dcterms:modified xsi:type="dcterms:W3CDTF">2017-10-03T11:52:00Z</dcterms:modified>
</cp:coreProperties>
</file>