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BARRED Hackathon Judge Readiness</w:t>
      </w:r>
    </w:p>
    <w:p>
      <w:pPr>
        <w:spacing w:after="240"/>
      </w:pPr>
      <w:r>
        <w:rPr>
          <w:i/>
          <w:color w:val="4B5563"/>
          <w:sz w:val="22"/>
        </w:rPr>
        <w:t>A hard judge assessment of the deliverable, current evidence, and the shortest credible route to submission</w:t>
      </w:r>
    </w:p>
    <w:p>
      <w:pPr>
        <w:spacing w:after="120"/>
      </w:pPr>
      <w:r>
        <w:t>Decision: BARRED is a viable Push the Frontier submission only if the team ships a visibly new, Meta-model-powered evidence-gated security review workflow and demonstrates it end to end. The existing debate and receipt work is a credible foundation, not the submission by itself.</w:t>
      </w:r>
    </w:p>
    <w:p>
      <w:pPr>
        <w:spacing w:after="120"/>
      </w:pPr>
      <w:r>
        <w:t>This document is intentionally severe. A judge will not award points for a sophisticated repository, benchmark history, or model commentary unless the new product behavior is obvious, reproducible, and compelling inside three minutes.</w:t>
      </w:r>
    </w:p>
    <w:p>
      <w:pPr>
        <w:pStyle w:val="Heading1"/>
        <w:spacing w:before="220" w:after="100"/>
      </w:pPr>
      <w:r>
        <w:t>Judge verdict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7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Rubric lens</w:t>
            </w:r>
          </w:p>
        </w:tc>
        <w:tc>
          <w:tcPr>
            <w:tcW w:type="dxa" w:w="31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a skeptical judge needs to see</w:t>
            </w:r>
          </w:p>
        </w:tc>
        <w:tc>
          <w:tcPr>
            <w:tcW w:type="dxa" w:w="360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evidence</w:t>
            </w:r>
          </w:p>
        </w:tc>
        <w:tc>
          <w:tcPr>
            <w:tcW w:type="dxa" w:w="100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16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Eligibility and novelty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clear boundary between pre-event foundation and hackathon-built functionality.</w:t>
            </w:r>
          </w:p>
        </w:tc>
        <w:tc>
          <w:tcPr>
            <w:tcW w:type="dxa" w:w="3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Uncommitted Con-receipt, replay, gate-seed, and test work is present; provenance presentation is not yet prepared.</w:t>
            </w:r>
          </w:p>
        </w:tc>
        <w:tc>
          <w:tcPr>
            <w:tcW w:type="dxa" w:w="1008"/>
            <w:shd w:fill="FDE9E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167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Meta AI tooling</w:t>
            </w:r>
          </w:p>
        </w:tc>
        <w:tc>
          <w:tcPr>
            <w:tcW w:type="dxa" w:w="316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Meta model or eligible open-weight model performing an essential product step, with visible output.</w:t>
            </w:r>
          </w:p>
        </w:tc>
        <w:tc>
          <w:tcPr>
            <w:tcW w:type="dxa" w:w="360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Muse-Glimmer stack scripts exist. No verified model call or product trace is documented.</w:t>
            </w:r>
          </w:p>
        </w:tc>
        <w:tc>
          <w:tcPr>
            <w:tcW w:type="dxa" w:w="1008"/>
            <w:shd w:fill="FDE9E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16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Impact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real developer decision improved by evidence, not another chatbot verdict.</w:t>
            </w:r>
          </w:p>
        </w:tc>
        <w:tc>
          <w:tcPr>
            <w:tcW w:type="dxa" w:w="3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Strong thesis: reject unsupported security claims and patches rather than reward confidence.</w:t>
            </w:r>
          </w:p>
        </w:tc>
        <w:tc>
          <w:tcPr>
            <w:tcW w:type="dxa" w:w="100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PROMISING</w:t>
            </w:r>
          </w:p>
        </w:tc>
      </w:tr>
      <w:tr>
        <w:trPr>
          <w:cantSplit/>
        </w:trPr>
        <w:tc>
          <w:tcPr>
            <w:tcW w:type="dxa" w:w="167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Technical depth</w:t>
            </w:r>
          </w:p>
        </w:tc>
        <w:tc>
          <w:tcPr>
            <w:tcW w:type="dxa" w:w="316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local deterministic gate that can overturn or constrain model judgment.</w:t>
            </w:r>
          </w:p>
        </w:tc>
        <w:tc>
          <w:tcPr>
            <w:tcW w:type="dxa" w:w="360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Candidate extraction, validation, replay tests, and explicit unresolved outcomes are underway.</w:t>
            </w:r>
          </w:p>
        </w:tc>
        <w:tc>
          <w:tcPr>
            <w:tcW w:type="dxa" w:w="1008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CONDITIONAL</w:t>
            </w:r>
          </w:p>
        </w:tc>
      </w:tr>
      <w:tr>
        <w:trPr>
          <w:cantSplit/>
        </w:trPr>
        <w:tc>
          <w:tcPr>
            <w:tcW w:type="dxa" w:w="16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Demo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working case that surprises a reviewer and explains itself without repository archaeology.</w:t>
            </w:r>
          </w:p>
        </w:tc>
        <w:tc>
          <w:tcPr>
            <w:tcW w:type="dxa" w:w="3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 live UI, demo script, recording, or public runbook verified.</w:t>
            </w:r>
          </w:p>
        </w:tc>
        <w:tc>
          <w:tcPr>
            <w:tcW w:type="dxa" w:w="1008"/>
            <w:shd w:fill="FDE9E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BLOCKER</w:t>
            </w:r>
          </w:p>
        </w:tc>
      </w:tr>
    </w:tbl>
    <w:p>
      <w:pPr>
        <w:spacing w:after="60"/>
      </w:pPr>
    </w:p>
    <w:p>
      <w:pPr>
        <w:pStyle w:val="Heading1"/>
        <w:spacing w:before="220" w:after="100"/>
      </w:pPr>
      <w:r>
        <w:t>The product to ship</w:t>
      </w:r>
    </w:p>
    <w:p>
      <w:pPr>
        <w:spacing w:after="120"/>
      </w:pPr>
      <w:r>
        <w:t>Position the submission as Evidence Gated Security Fix Review. A developer submits a vulnerable snippet and a proposed fix or security claim. A Meta model identifies the claim and possible bypass. BARRED then attaches deterministic checks to the specific claim and returns one of three visible outcomes: PASS with a named evidence trace, FAIL with a falsifying check, or UNRESOLVED with an explicit reason and no safety claim.</w:t>
      </w:r>
    </w:p>
    <w:p>
      <w:pPr>
        <w:spacing w:after="120"/>
      </w:pPr>
      <w:r>
        <w:t>The demo must make the distinction between a model opinion and a verifiable result legible in seconds. The winning idea is not “multi-agent security debate.” It is “an AI security reviewer that knows when it lacks proof and shows the evidence behind every decision.”</w:t>
      </w:r>
    </w:p>
    <w:p>
      <w:pPr>
        <w:pStyle w:val="Heading1"/>
        <w:spacing w:before="220" w:after="100"/>
      </w:pPr>
      <w:r>
        <w:t>The one workflow a judge should remember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1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468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appears on screen</w:t>
            </w:r>
          </w:p>
        </w:tc>
        <w:tc>
          <w:tcPr>
            <w:tcW w:type="dxa" w:w="315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earns credit</w:t>
            </w:r>
          </w:p>
        </w:tc>
      </w:tr>
      <w:tr>
        <w:trPr>
          <w:cantSplit/>
        </w:trPr>
        <w:tc>
          <w:tcPr>
            <w:tcW w:type="dxa" w:w="161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  Submit</w:t>
            </w:r>
          </w:p>
        </w:tc>
        <w:tc>
          <w:tcPr>
            <w:tcW w:type="dxa" w:w="46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Small C vulnerability case plus proposed guard or patch.</w:t>
            </w:r>
          </w:p>
        </w:tc>
        <w:tc>
          <w:tcPr>
            <w:tcW w:type="dxa" w:w="31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Concrete, familiar developer task.</w:t>
            </w:r>
          </w:p>
        </w:tc>
      </w:tr>
      <w:tr>
        <w:trPr>
          <w:cantSplit/>
        </w:trP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  Meta analysis</w:t>
            </w:r>
          </w:p>
        </w:tc>
        <w:tc>
          <w:tcPr>
            <w:tcW w:type="dxa" w:w="468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Model identifies the security claim, evidence needed, and candidate defense.</w:t>
            </w:r>
          </w:p>
        </w:tc>
        <w:tc>
          <w:tcPr>
            <w:tcW w:type="dxa" w:w="315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Meta model is central rather than decorative.</w:t>
            </w:r>
          </w:p>
        </w:tc>
      </w:tr>
      <w:tr>
        <w:trPr>
          <w:cantSplit/>
        </w:trPr>
        <w:tc>
          <w:tcPr>
            <w:tcW w:type="dxa" w:w="161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  Evidence gate</w:t>
            </w:r>
          </w:p>
        </w:tc>
        <w:tc>
          <w:tcPr>
            <w:tcW w:type="dxa" w:w="46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Extractor identifies C1; deterministic validator checks guard, value flow, operation, and control flow.</w:t>
            </w:r>
          </w:p>
        </w:tc>
        <w:tc>
          <w:tcPr>
            <w:tcW w:type="dxa" w:w="31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Shows technical craft and a real constraint on model output.</w:t>
            </w:r>
          </w:p>
        </w:tc>
      </w:tr>
      <w:tr>
        <w:trPr>
          <w:cantSplit/>
        </w:trP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  Decision</w:t>
            </w:r>
          </w:p>
        </w:tc>
        <w:tc>
          <w:tcPr>
            <w:tcW w:type="dxa" w:w="468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PASS, FAIL, or UNRESOLVED, with the exact reason and code anchors.</w:t>
            </w:r>
          </w:p>
        </w:tc>
        <w:tc>
          <w:tcPr>
            <w:tcW w:type="dxa" w:w="315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Honest product semantics; no overclaim.</w:t>
            </w:r>
          </w:p>
        </w:tc>
      </w:tr>
      <w:tr>
        <w:trPr>
          <w:cantSplit/>
        </w:trPr>
        <w:tc>
          <w:tcPr>
            <w:tcW w:type="dxa" w:w="161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  Contrast</w:t>
            </w:r>
          </w:p>
        </w:tc>
        <w:tc>
          <w:tcPr>
            <w:tcW w:type="dxa" w:w="46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 the model’s plausible assertion and the evidence-gated result diverging on one case.</w:t>
            </w:r>
          </w:p>
        </w:tc>
        <w:tc>
          <w:tcPr>
            <w:tcW w:type="dxa" w:w="31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The memorable proof that BARRED matters.</w:t>
            </w:r>
          </w:p>
        </w:tc>
      </w:tr>
    </w:tbl>
    <w:p>
      <w:pPr>
        <w:spacing w:after="60"/>
      </w:pPr>
    </w:p>
    <w:p>
      <w:pPr>
        <w:pStyle w:val="Heading1"/>
        <w:spacing w:before="220" w:after="100"/>
      </w:pPr>
      <w:r>
        <w:t>Current engineering position</w:t>
      </w:r>
    </w:p>
    <w:p>
      <w:pPr>
        <w:spacing w:after="120"/>
      </w:pPr>
      <w:r>
        <w:t>The working tree shows real progress toward an evidence-gated Con path: judge and validator changes, an extractor, a dedicated gate seed file, replay tests, end-to-end receipt tests, and a v2 quality plan. Focused checks currently pass: 34 receipt, extractor, fixture, and failure-mode replay tests in the project environment.</w:t>
      </w:r>
    </w:p>
    <w:p>
      <w:pPr>
        <w:spacing w:after="120"/>
      </w:pPr>
      <w:r>
        <w:t>The repository is nevertheless not submission-ready. The tracked diff is broad and mixed with research-data, seed, stack, reporting, and documentation changes. Git diff check also reports line-ending whitespace in the canonical ledger. A judge needs a small, reviewable hackathon surface, not a moving experimental worktree.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381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it can contribute to the submission</w:t>
            </w:r>
          </w:p>
        </w:tc>
        <w:tc>
          <w:tcPr>
            <w:tcW w:type="dxa" w:w="368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must still be proven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Candidate receipt path</w:t>
            </w:r>
          </w:p>
        </w:tc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model can choose a candidate ID; the runtime can reconstruct receipt evidence locally.</w:t>
            </w:r>
          </w:p>
        </w:tc>
        <w:tc>
          <w:tcPr>
            <w:tcW w:type="dxa" w:w="36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Fresh controlled smoke must show C1 selected, locally validated, and safely halted.</w:t>
            </w:r>
          </w:p>
        </w:tc>
      </w:tr>
      <w:tr>
        <w:trPr>
          <w:cantSplit/>
        </w:trPr>
        <w:tc>
          <w:tcPr>
            <w:tcW w:type="dxa" w:w="194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Replay and TDD</w:t>
            </w:r>
          </w:p>
        </w:tc>
        <w:tc>
          <w:tcPr>
            <w:tcW w:type="dxa" w:w="381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Failure responses can be replayed without spending inference budget; fixtures specify expected gates.</w:t>
            </w:r>
          </w:p>
        </w:tc>
        <w:tc>
          <w:tcPr>
            <w:tcW w:type="dxa" w:w="368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concise test command and a recorded before/after failure narrative.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Muse Glimmer stack</w:t>
            </w:r>
          </w:p>
        </w:tc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Evidence that the product can use an eligible Meta open-weight model.</w:t>
            </w:r>
          </w:p>
        </w:tc>
        <w:tc>
          <w:tcPr>
            <w:tcW w:type="dxa" w:w="36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successful, recorded Meta-model run and model provenance in the product.</w:t>
            </w:r>
          </w:p>
        </w:tc>
      </w:tr>
      <w:tr>
        <w:trPr>
          <w:cantSplit/>
        </w:trPr>
        <w:tc>
          <w:tcPr>
            <w:tcW w:type="dxa" w:w="194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Track 1 ledger</w:t>
            </w:r>
          </w:p>
        </w:tc>
        <w:tc>
          <w:tcPr>
            <w:tcW w:type="dxa" w:w="381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Research motivation and case-selection resource.</w:t>
            </w:r>
          </w:p>
        </w:tc>
        <w:tc>
          <w:tcPr>
            <w:tcW w:type="dxa" w:w="368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Keep it as background; do not market provisional labels as independent proof.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Existing benchmark stack</w:t>
            </w:r>
          </w:p>
        </w:tc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Provides implementation foundation and security domain credibility.</w:t>
            </w:r>
          </w:p>
        </w:tc>
        <w:tc>
          <w:tcPr>
            <w:tcW w:type="dxa" w:w="36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Clearly separate pre-event foundation from new hackathon features.</w:t>
            </w:r>
          </w:p>
        </w:tc>
      </w:tr>
    </w:tbl>
    <w:p>
      <w:pPr>
        <w:spacing w:after="60"/>
      </w:pPr>
    </w:p>
    <w:p>
      <w:pPr>
        <w:pStyle w:val="Heading1"/>
        <w:spacing w:before="220" w:after="100"/>
      </w:pPr>
      <w:r>
        <w:t>Non negotiable finish line</w:t>
      </w:r>
    </w:p>
    <w:p>
      <w:pPr>
        <w:spacing w:after="120"/>
      </w:pPr>
      <w:r>
        <w:t>The team should not broaden BARRED into a dashboard, full benchmark platform, or generic agent framework. The finish line is a narrow proof-bearing workflow with three deliverables: a public repository, a reliable live or recorded demo, and an evidence pack that makes the new work easy to audit.</w:t>
      </w:r>
    </w:p>
    <w:p>
      <w:pPr>
        <w:pStyle w:val="ListBullet"/>
        <w:spacing w:after="60"/>
      </w:pPr>
      <w:r>
        <w:t>A clean hackathon directory or clearly labelled new feature area containing the demo UI or CLI, Meta integration, deterministic gate, fixtures, and a one-command runbook.</w:t>
      </w:r>
    </w:p>
    <w:p>
      <w:pPr>
        <w:pStyle w:val="ListBullet"/>
        <w:spacing w:after="60"/>
      </w:pPr>
      <w:r>
        <w:t>One supported case: an upper-bound guard protecting a recognized operation such as memcpy. The system must expose C1, select it, locally verify it, and produce validated_con_counter_evidence.</w:t>
      </w:r>
    </w:p>
    <w:p>
      <w:pPr>
        <w:pStyle w:val="ListBullet"/>
        <w:spacing w:after="60"/>
      </w:pPr>
      <w:r>
        <w:t>One unsupported case: an unknown wrapper operation. The system must return UNRESOLVED with unsupported proof-domain context, not an invented Con win or an automatic Pro win.</w:t>
      </w:r>
    </w:p>
    <w:p>
      <w:pPr>
        <w:pStyle w:val="ListBullet"/>
        <w:spacing w:after="60"/>
      </w:pPr>
      <w:r>
        <w:t>One failure contrast: a plausible model assertion that is blocked because the deterministic evidence does not support it.</w:t>
      </w:r>
    </w:p>
    <w:p>
      <w:pPr>
        <w:pStyle w:val="ListBullet"/>
        <w:spacing w:after="60"/>
      </w:pPr>
      <w:r>
        <w:t>A three-minute video that shows the workflow, decision trace, model provenance, and why the outcome changes a developer action.</w:t>
      </w:r>
    </w:p>
    <w:p>
      <w:pPr>
        <w:pStyle w:val="Heading1"/>
        <w:spacing w:before="220" w:after="100"/>
      </w:pPr>
      <w:r>
        <w:t>Critical path in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9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396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 of done</w:t>
            </w:r>
          </w:p>
        </w:tc>
        <w:tc>
          <w:tcPr>
            <w:tcW w:type="dxa" w:w="256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 not spend time on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Freeze product contract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Only PASS, FAIL, UNRESOLVED; define what each means and what it never claims.</w:t>
            </w:r>
          </w:p>
        </w:tc>
        <w:tc>
          <w:tcPr>
            <w:tcW w:type="dxa" w:w="256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More debate roles, broader taxonomies, aggregate benchmark claims.</w:t>
            </w:r>
          </w:p>
        </w:tc>
      </w:tr>
      <w:tr>
        <w:trPr>
          <w:cantSplit/>
        </w:trPr>
        <w:tc>
          <w:tcPr>
            <w:tcW w:type="dxa" w:w="691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23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Lock the two fixtures</w:t>
            </w:r>
          </w:p>
        </w:tc>
        <w:tc>
          <w:tcPr>
            <w:tcW w:type="dxa" w:w="396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Supported memcpy case and unsupported wrapper case are deterministic and versioned.</w:t>
            </w:r>
          </w:p>
        </w:tc>
        <w:tc>
          <w:tcPr>
            <w:tcW w:type="dxa" w:w="256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Ten-seed smoke runs before the two fixtures pass.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Prove Meta integration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real Muse API or eligible Muse open-weight call is captured in the product log and demo.</w:t>
            </w:r>
          </w:p>
        </w:tc>
        <w:tc>
          <w:tcPr>
            <w:tcW w:type="dxa" w:w="256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Treating a shell script as integration evidence.</w:t>
            </w:r>
          </w:p>
        </w:tc>
      </w:tr>
      <w:tr>
        <w:trPr>
          <w:cantSplit/>
        </w:trPr>
        <w:tc>
          <w:tcPr>
            <w:tcW w:type="dxa" w:w="691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23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Build the smallest presentation layer</w:t>
            </w:r>
          </w:p>
        </w:tc>
        <w:tc>
          <w:tcPr>
            <w:tcW w:type="dxa" w:w="396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CLI or minimal web page displays source, claim, model output, evidence, and final state.</w:t>
            </w:r>
          </w:p>
        </w:tc>
        <w:tc>
          <w:tcPr>
            <w:tcW w:type="dxa" w:w="256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broad analytics dashboard.</w:t>
            </w:r>
          </w:p>
        </w:tc>
      </w:tr>
      <w:tr>
        <w:trPr>
          <w:cantSplit/>
        </w:trPr>
        <w:tc>
          <w:tcPr>
            <w:tcW w:type="dxa" w:w="69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Run acceptance gate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C1 confirms and halts; unsupported case becomes unresolved; no free-text receipt is accepted.</w:t>
            </w:r>
          </w:p>
        </w:tc>
        <w:tc>
          <w:tcPr>
            <w:tcW w:type="dxa" w:w="256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Optimizing benchmark pass rate.</w:t>
            </w:r>
          </w:p>
        </w:tc>
      </w:tr>
      <w:tr>
        <w:trPr>
          <w:cantSplit/>
        </w:trPr>
        <w:tc>
          <w:tcPr>
            <w:tcW w:type="dxa" w:w="691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23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Package and rehearse</w:t>
            </w:r>
          </w:p>
        </w:tc>
        <w:tc>
          <w:tcPr>
            <w:tcW w:type="dxa" w:w="396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Public repo, exact setup instructions, video, and new-work manifest are independently reviewable.</w:t>
            </w:r>
          </w:p>
        </w:tc>
        <w:tc>
          <w:tcPr>
            <w:tcW w:type="dxa" w:w="256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Late architecture rewrites.</w:t>
            </w:r>
          </w:p>
        </w:tc>
      </w:tr>
    </w:tbl>
    <w:p>
      <w:pPr>
        <w:spacing w:after="60"/>
      </w:pPr>
    </w:p>
    <w:p>
      <w:pPr>
        <w:pStyle w:val="Heading1"/>
        <w:spacing w:before="220" w:after="100"/>
      </w:pPr>
      <w:r>
        <w:t>Acceptance gate before a broad smoke</w:t>
      </w:r>
    </w:p>
    <w:p>
      <w:pPr>
        <w:spacing w:after="120"/>
      </w:pPr>
      <w:r>
        <w:t>Run this as a release gate, not as an exploratory experiment. The TDD fixtures prove deterministic behavior; the fresh two-seed smoke tests whether the Meta model follows the candidate-selection contract.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2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313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 and model expectation</w:t>
            </w:r>
          </w:p>
        </w:tc>
        <w:tc>
          <w:tcPr>
            <w:tcW w:type="dxa" w:w="36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recorded evidence</w:t>
            </w:r>
          </w:p>
        </w:tc>
        <w:tc>
          <w:tcPr>
            <w:tcW w:type="dxa" w:w="151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</w:tr>
      <w:tr>
        <w:trPr>
          <w:cantSplit/>
        </w:trPr>
        <w:tc>
          <w:tcPr>
            <w:tcW w:type="dxa" w:w="1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 Supported</w:t>
            </w:r>
          </w:p>
        </w:tc>
        <w:tc>
          <w:tcPr>
            <w:tcW w:type="dxa" w:w="31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Reviewed upper bound plus memcpy. Model may select C1.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Prompt contract version; candidates; selected ID; resolved receipt; validator trace; model identity.</w:t>
            </w:r>
          </w:p>
        </w:tc>
        <w:tc>
          <w:tcPr>
            <w:tcW w:type="dxa" w:w="151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C1 becomes deterministically_confirmed and halt records con_win_defended.</w:t>
            </w:r>
          </w:p>
        </w:tc>
      </w:tr>
      <w:tr>
        <w:trPr>
          <w:cantSplit/>
        </w:trPr>
        <w:tc>
          <w:tcPr>
            <w:tcW w:type="dxa" w:w="112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  Unsupported</w:t>
            </w:r>
          </w:p>
        </w:tc>
        <w:tc>
          <w:tcPr>
            <w:tcW w:type="dxa" w:w="3139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Unknown wrapper operation. Model should return unresolved.</w:t>
            </w:r>
          </w:p>
        </w:tc>
        <w:tc>
          <w:tcPr>
            <w:tcW w:type="dxa" w:w="367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 eligible candidates; unresolved reason; no verifier; no training export.</w:t>
            </w:r>
          </w:p>
        </w:tc>
        <w:tc>
          <w:tcPr>
            <w:tcW w:type="dxa" w:w="151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unresolved_no_valid_receipt; no invented receipt or Pro fallback.</w:t>
            </w:r>
          </w:p>
        </w:tc>
      </w:tr>
      <w:tr>
        <w:trPr>
          <w:cantSplit/>
        </w:trPr>
        <w:tc>
          <w:tcPr>
            <w:tcW w:type="dxa" w:w="1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  Safety regression</w:t>
            </w:r>
          </w:p>
        </w:tc>
        <w:tc>
          <w:tcPr>
            <w:tcW w:type="dxa" w:w="31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Model sends C1 plus fabricated free-text receipt.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Both raw model output and resolved receipt.</w:t>
            </w:r>
          </w:p>
        </w:tc>
        <w:tc>
          <w:tcPr>
            <w:tcW w:type="dxa" w:w="151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Only C1-derived evidence is used.</w:t>
            </w:r>
          </w:p>
        </w:tc>
      </w:tr>
    </w:tbl>
    <w:p>
      <w:pPr>
        <w:spacing w:after="60"/>
      </w:pPr>
    </w:p>
    <w:p>
      <w:pPr>
        <w:spacing w:after="120"/>
      </w:pPr>
      <w:r>
        <w:t>A fresh model smoke is not allowed to “manufacture” success. If Qwen fails to select C1, record prompt-compliance failure; do not change the validator to make the chart look better.</w:t>
      </w:r>
    </w:p>
    <w:p>
      <w:pPr>
        <w:pStyle w:val="Heading1"/>
        <w:spacing w:before="220" w:after="100"/>
      </w:pPr>
      <w:r>
        <w:t>What a hard meta judge will penalize</w:t>
      </w:r>
    </w:p>
    <w:p>
      <w:pPr>
        <w:pStyle w:val="ListBullet"/>
        <w:spacing w:after="60"/>
      </w:pPr>
      <w:r>
        <w:t>A Meta model named in a README but absent from the product-critical path and demo trace.</w:t>
      </w:r>
    </w:p>
    <w:p>
      <w:pPr>
        <w:pStyle w:val="ListBullet"/>
        <w:spacing w:after="60"/>
      </w:pPr>
      <w:r>
        <w:t>A benchmark or ledger used as proof when its labels are provisional, context-deficient, or unrelated to the shown demo case.</w:t>
      </w:r>
    </w:p>
    <w:p>
      <w:pPr>
        <w:pStyle w:val="ListBullet"/>
        <w:spacing w:after="60"/>
      </w:pPr>
      <w:r>
        <w:t>An “AI security verdict” without a clearly scoped evidence boundary, especially any claim of universal safety.</w:t>
      </w:r>
    </w:p>
    <w:p>
      <w:pPr>
        <w:pStyle w:val="ListBullet"/>
        <w:spacing w:after="60"/>
      </w:pPr>
      <w:r>
        <w:t>A sprawling repository whose new event work cannot be distinguished from pre-existing research.</w:t>
      </w:r>
    </w:p>
    <w:p>
      <w:pPr>
        <w:pStyle w:val="ListBullet"/>
        <w:spacing w:after="60"/>
      </w:pPr>
      <w:r>
        <w:t>A demo that explains architecture instead of showing a decision change a developer would care about.</w:t>
      </w:r>
    </w:p>
    <w:p>
      <w:pPr>
        <w:pStyle w:val="ListBullet"/>
        <w:spacing w:after="60"/>
      </w:pPr>
      <w:r>
        <w:t>A system that turns unsupported evidence into a confident PASS or FAIL rather than UNRESOLVED.</w:t>
      </w:r>
    </w:p>
    <w:p>
      <w:pPr>
        <w:pStyle w:val="Heading1"/>
        <w:spacing w:before="220" w:after="100"/>
      </w:pPr>
      <w:r>
        <w:t>Submission evidence pack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446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82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 check before submit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README quickstart</w:t>
            </w:r>
          </w:p>
        </w:tc>
        <w:tc>
          <w:tcPr>
            <w:tcW w:type="dxa" w:w="446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command to run the demo and one command to run the gate tests.</w:t>
            </w:r>
          </w:p>
        </w:tc>
        <w:tc>
          <w:tcPr>
            <w:tcW w:type="dxa" w:w="282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Fresh clone or clean environment succeeds.</w:t>
            </w:r>
          </w:p>
        </w:tc>
      </w:tr>
      <w:tr>
        <w:trPr>
          <w:cantSplit/>
        </w:trPr>
        <w:tc>
          <w:tcPr>
            <w:tcW w:type="dxa" w:w="208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NEW_WORK.md</w:t>
            </w:r>
          </w:p>
        </w:tc>
        <w:tc>
          <w:tcPr>
            <w:tcW w:type="dxa" w:w="446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Names every hackathon-built file, feature, demo case, and date-bound contribution.</w:t>
            </w:r>
          </w:p>
        </w:tc>
        <w:tc>
          <w:tcPr>
            <w:tcW w:type="dxa" w:w="282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 ambiguity with existing BARRED research.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Model provenance log</w:t>
            </w:r>
          </w:p>
        </w:tc>
        <w:tc>
          <w:tcPr>
            <w:tcW w:type="dxa" w:w="446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Shows model ID, endpoint class, timestamp, prompt contract version, and evidence result.</w:t>
            </w:r>
          </w:p>
        </w:tc>
        <w:tc>
          <w:tcPr>
            <w:tcW w:type="dxa" w:w="282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Meta model is demonstrably essential.</w:t>
            </w:r>
          </w:p>
        </w:tc>
      </w:tr>
      <w:tr>
        <w:trPr>
          <w:cantSplit/>
        </w:trPr>
        <w:tc>
          <w:tcPr>
            <w:tcW w:type="dxa" w:w="208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Demo fixtures</w:t>
            </w:r>
          </w:p>
        </w:tc>
        <w:tc>
          <w:tcPr>
            <w:tcW w:type="dxa" w:w="446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Allows judges to replay supported and unsupported cases.</w:t>
            </w:r>
          </w:p>
        </w:tc>
        <w:tc>
          <w:tcPr>
            <w:tcW w:type="dxa" w:w="282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Inputs, expected outcomes, and deterministic checks are committed.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Three minute video</w:t>
            </w:r>
          </w:p>
        </w:tc>
        <w:tc>
          <w:tcPr>
            <w:tcW w:type="dxa" w:w="446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Carries the story when a judge cannot run the stack.</w:t>
            </w:r>
          </w:p>
        </w:tc>
        <w:tc>
          <w:tcPr>
            <w:tcW w:type="dxa" w:w="282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Opens with the developer problem; shows one contrast and final evidence.</w:t>
            </w:r>
          </w:p>
        </w:tc>
      </w:tr>
      <w:tr>
        <w:trPr>
          <w:cantSplit/>
        </w:trPr>
        <w:tc>
          <w:tcPr>
            <w:tcW w:type="dxa" w:w="2088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Public repository</w:t>
            </w:r>
          </w:p>
        </w:tc>
        <w:tc>
          <w:tcPr>
            <w:tcW w:type="dxa" w:w="446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Meets eligibility and lets judges inspect the new feature.</w:t>
            </w:r>
          </w:p>
        </w:tc>
        <w:tc>
          <w:tcPr>
            <w:tcW w:type="dxa" w:w="282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Accessible without private credentials or unpublished data.</w:t>
            </w:r>
          </w:p>
        </w:tc>
      </w:tr>
    </w:tbl>
    <w:p>
      <w:pPr>
        <w:spacing w:after="60"/>
      </w:pPr>
    </w:p>
    <w:p>
      <w:pPr>
        <w:pStyle w:val="Heading1"/>
        <w:spacing w:before="220" w:after="100"/>
      </w:pPr>
      <w:r>
        <w:t>Three minute demo beat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2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486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Beat</w:t>
            </w:r>
          </w:p>
        </w:tc>
        <w:tc>
          <w:tcPr>
            <w:tcW w:type="dxa" w:w="33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Judge takeaway</w:t>
            </w:r>
          </w:p>
        </w:tc>
      </w:tr>
      <w:tr>
        <w:trPr>
          <w:cantSplit/>
        </w:trPr>
        <w:tc>
          <w:tcPr>
            <w:tcW w:type="dxa" w:w="1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0:00–0:20</w:t>
            </w:r>
          </w:p>
        </w:tc>
        <w:tc>
          <w:tcPr>
            <w:tcW w:type="dxa" w:w="48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 a proposed security fix that looks convincing.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This is a real developer risk.</w:t>
            </w:r>
          </w:p>
        </w:tc>
      </w:tr>
      <w:tr>
        <w:trPr>
          <w:cantSplit/>
        </w:trPr>
        <w:tc>
          <w:tcPr>
            <w:tcW w:type="dxa" w:w="112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0:20–0:55</w:t>
            </w:r>
          </w:p>
        </w:tc>
        <w:tc>
          <w:tcPr>
            <w:tcW w:type="dxa" w:w="4867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Meta model identifies the claim and selects or declines a candidate defense.</w:t>
            </w:r>
          </w:p>
        </w:tc>
        <w:tc>
          <w:tcPr>
            <w:tcW w:type="dxa" w:w="338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The model is performing meaningful analysis.</w:t>
            </w:r>
          </w:p>
        </w:tc>
      </w:tr>
      <w:tr>
        <w:trPr>
          <w:cantSplit/>
        </w:trPr>
        <w:tc>
          <w:tcPr>
            <w:tcW w:type="dxa" w:w="1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0:55–1:45</w:t>
            </w:r>
          </w:p>
        </w:tc>
        <w:tc>
          <w:tcPr>
            <w:tcW w:type="dxa" w:w="48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Expose C1, anchors, and deterministic check trace.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The product does more than chat.</w:t>
            </w:r>
          </w:p>
        </w:tc>
      </w:tr>
      <w:tr>
        <w:trPr>
          <w:cantSplit/>
        </w:trPr>
        <w:tc>
          <w:tcPr>
            <w:tcW w:type="dxa" w:w="112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1:45–2:20</w:t>
            </w:r>
          </w:p>
        </w:tc>
        <w:tc>
          <w:tcPr>
            <w:tcW w:type="dxa" w:w="4867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 PASS or FAIL on the supported case.</w:t>
            </w:r>
          </w:p>
        </w:tc>
        <w:tc>
          <w:tcPr>
            <w:tcW w:type="dxa" w:w="338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Evidence, not rhetoric, drives the result.</w:t>
            </w:r>
          </w:p>
        </w:tc>
      </w:tr>
      <w:tr>
        <w:trPr>
          <w:cantSplit/>
        </w:trPr>
        <w:tc>
          <w:tcPr>
            <w:tcW w:type="dxa" w:w="1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2:20–2:45</w:t>
            </w:r>
          </w:p>
        </w:tc>
        <w:tc>
          <w:tcPr>
            <w:tcW w:type="dxa" w:w="48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 UNRESOLVED on the unsupported wrapper.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The system is honest about its limits.</w:t>
            </w:r>
          </w:p>
        </w:tc>
      </w:tr>
      <w:tr>
        <w:trPr>
          <w:cantSplit/>
        </w:trPr>
        <w:tc>
          <w:tcPr>
            <w:tcW w:type="dxa" w:w="112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2:45–3:00</w:t>
            </w:r>
          </w:p>
        </w:tc>
        <w:tc>
          <w:tcPr>
            <w:tcW w:type="dxa" w:w="4867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State who benefits and what the new workflow changes.</w:t>
            </w:r>
          </w:p>
        </w:tc>
        <w:tc>
          <w:tcPr>
            <w:tcW w:type="dxa" w:w="3384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This can become a useful developer tool.</w:t>
            </w:r>
          </w:p>
        </w:tc>
      </w:tr>
    </w:tbl>
    <w:p>
      <w:pPr>
        <w:spacing w:after="60"/>
      </w:pPr>
    </w:p>
    <w:p>
      <w:pPr>
        <w:pStyle w:val="Heading1"/>
        <w:spacing w:before="220" w:after="100"/>
      </w:pPr>
      <w:r>
        <w:t>Final go no go checklist</w:t>
      </w:r>
    </w:p>
    <w:p>
      <w:pPr>
        <w:spacing w:after="80"/>
      </w:pPr>
      <w:r>
        <w:rPr>
          <w:sz w:val="19"/>
        </w:rPr>
        <w:t>☐  Meta integration verified with a real model call and visible model provenance.</w:t>
      </w:r>
    </w:p>
    <w:p>
      <w:pPr>
        <w:spacing w:after="80"/>
      </w:pPr>
      <w:r>
        <w:rPr>
          <w:sz w:val="19"/>
        </w:rPr>
        <w:t>☐  Two-seed acceptance gate passes and artifacts are saved.</w:t>
      </w:r>
    </w:p>
    <w:p>
      <w:pPr>
        <w:spacing w:after="80"/>
      </w:pPr>
      <w:r>
        <w:rPr>
          <w:sz w:val="19"/>
        </w:rPr>
        <w:t>☐  No unsupported scenario is marketed as deterministically solved.</w:t>
      </w:r>
    </w:p>
    <w:p>
      <w:pPr>
        <w:spacing w:after="80"/>
      </w:pPr>
      <w:r>
        <w:rPr>
          <w:sz w:val="19"/>
        </w:rPr>
        <w:t>☐  Demo is usable without explaining the entire research system.</w:t>
      </w:r>
    </w:p>
    <w:p>
      <w:pPr>
        <w:spacing w:after="80"/>
      </w:pPr>
      <w:r>
        <w:rPr>
          <w:sz w:val="19"/>
        </w:rPr>
        <w:t>☐  New hackathon work is explicitly separated from existing foundation code.</w:t>
      </w:r>
    </w:p>
    <w:p>
      <w:pPr>
        <w:spacing w:after="80"/>
      </w:pPr>
      <w:r>
        <w:rPr>
          <w:sz w:val="19"/>
        </w:rPr>
        <w:t>☐  Repository is public, setup is reproducible, and test/demo commands are current.</w:t>
      </w:r>
    </w:p>
    <w:p>
      <w:pPr>
        <w:spacing w:after="80"/>
      </w:pPr>
      <w:r>
        <w:rPr>
          <w:sz w:val="19"/>
        </w:rPr>
        <w:t>☐  Video, repository, and submission form use the same project name and story.</w:t>
      </w:r>
    </w:p>
    <w:p>
      <w:pPr>
        <w:spacing w:after="120"/>
      </w:pPr>
      <w:r>
        <w:t>Bottom line: BARRED can clear the bar if it is presented as a small, rigorous product that turns uncertain model security judgments into scoped, inspectable evidence decisions. Its most persuasive feature is not more agents. It is the refusal to pretend that a model-generated explanation is proof.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5"/>
        <w:sz w:val="16"/>
      </w:rPr>
      <w:t>Internal working document  •  Evidence over confidence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775"/>
        <w:sz w:val="16"/>
      </w:rPr>
      <w:t>BARRED  |  HACKATHON JUDGE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BARRED Hackathon Judge Readiness</dc:title>
  <dc:subject>Deliverables and finish line plan</dc:subject>
  <dc:creator>BARRED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