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F3864"/>
          <w:sz w:val="44"/>
          <w:szCs w:val="44"/>
        </w:rPr>
        <w:t xml:space="preserve">Project Bob — 2025→2029 Sales &amp; GM Bridge</w:t>
      </w:r>
    </w:p>
    <w:p>
      <w:pPr>
        <w:spacing w:after="60"/>
      </w:pPr>
      <w:r>
        <w:rPr>
          <w:color w:val="2E5395"/>
          <w:sz w:val="30"/>
          <w:szCs w:val="30"/>
        </w:rPr>
        <w:t xml:space="preserve">Bridge Item 3: Channel Mix, Hero Products &amp; the Full Commercial Portfolio</w:t>
      </w:r>
    </w:p>
    <w:p>
      <w:pPr>
        <w:spacing w:after="40"/>
      </w:pPr>
      <w:r>
        <w:rPr>
          <w:i/>
          <w:iCs/>
          <w:color w:val="666666"/>
          <w:sz w:val="22"/>
          <w:szCs w:val="22"/>
        </w:rPr>
        <w:t xml:space="preserve">Pre-read — workshop preparation working paper</w:t>
      </w:r>
    </w:p>
    <w:p>
      <w:pPr>
        <w:spacing w:after="300"/>
      </w:pPr>
      <w:r>
        <w:rPr>
          <w:color w:val="888888"/>
          <w:sz w:val="20"/>
          <w:szCs w:val="20"/>
        </w:rPr>
        <w:t xml:space="preserve">Prepared for CEO / CPO / investor review, 2026-07</w:t>
      </w:r>
    </w:p>
    <w:p>
      <w:pPr>
        <w:pBdr>
          <w:top w:val="single" w:color="999999" w:sz="6"/>
          <w:bottom w:val="single" w:color="999999" w:sz="6"/>
          <w:left w:val="single" w:color="999999" w:sz="6"/>
          <w:right w:val="single" w:color="999999" w:sz="6"/>
        </w:pBdr>
        <w:shd w:fill="EFEFEF" w:val="clear"/>
        <w:spacing w:after="240" w:before="160"/>
        <w:ind w:left="100" w:right="100"/>
      </w:pPr>
      <w:r>
        <w:rPr>
          <w:b/>
          <w:bCs/>
          <w:sz w:val="22"/>
          <w:szCs w:val="22"/>
        </w:rPr>
        <w:t xml:space="preserve">Headline: every core franchise (1,860 Base+Gender product lines, 649.8M SEK of 2025 core sales) has been classified into one of eight mutually-exclusive tiers — Hero, Near-Hero, Workhorse, Harvest, Problem Child, New/Test, Exited, Thin — using consistent, auditable rules (Section 4). This is the portfolio map the 2029 plan needs to be built against: which 34 franchises (98.2M SEK) are the proven growth engine, which 129 franchises (88.5M SEK) have a real core-channel pricing problem, which 211 franchises (87.4M SEK) have no confirmed place in FW27 at all, and which ~700 Thin/Exited franchises are noise that should simply be formalized as exited. As with Item 2, margin- and judgment-heavy conclusions are marked ASK rather than asserted as fact.</w:t>
      </w:r>
    </w:p>
    <w:p>
      <w:pPr>
        <w:pStyle w:val="Heading1"/>
        <w:spacing w:after="160" w:before="320"/>
      </w:pPr>
      <w:r>
        <w:t xml:space="preserve">1. Purpose, scope and method</w:t>
      </w:r>
    </w:p>
    <w:p>
      <w:pPr>
        <w:spacing w:after="160"/>
      </w:pPr>
      <w:r>
        <w:t xml:space="preserve">Items 1 and 2 sized the bridge from the top down (like-for-like volume, full-price recovery). Item 3 asks a different question: at the level of the individual product line, what does the current portfolio actually look like, and what does that imply for the 2029 assortment and channel strategy? This requires classifying every Base+Gender franchise — not just the top movers — into a consistent framework, then asking the same three questions of every tier: is this a channel problem, a pricing problem, or a product problem, and does it have a confirmed place in FW27.</w:t>
      </w:r>
    </w:p>
    <w:p>
      <w:pPr>
        <w:pBdr>
          <w:left w:val="single" w:color="3C8A4C" w:sz="18"/>
        </w:pBdr>
        <w:shd w:fill="EAF3EA" w:val="clear"/>
        <w:spacing w:after="120" w:before="100"/>
        <w:ind w:left="150" w:right="100"/>
      </w:pPr>
      <w:r>
        <w:rPr>
          <w:b/>
          <w:bCs/>
          <w:color w:val="1F5C2E"/>
        </w:rPr>
        <w:t xml:space="preserve">DATA SHOWS: </w:t>
      </w:r>
      <w:r>
        <w:t xml:space="preserve">Scope and exclusions are identical to Items 1–2: special accounts (XXL, Zalando, Zalando Marketplace, China, Stadium Outlet) are excluded from the core 1,860-franchise classification, but every tier carries a SpecialAcctExposure% cross-check column so a tier that looks small in the core view but is actually alive in outlet/special channels is not silently miscounted as dead (see Section 9, Thin).</w:t>
      </w:r>
    </w:p>
    <w:p>
      <w:pPr>
        <w:pBdr>
          <w:left w:val="single" w:color="3C8A4C" w:sz="18"/>
        </w:pBdr>
        <w:shd w:fill="EAF3EA" w:val="clear"/>
        <w:spacing w:after="120" w:before="100"/>
        <w:ind w:left="150" w:right="100"/>
      </w:pPr>
      <w:r>
        <w:rPr>
          <w:b/>
          <w:bCs/>
          <w:color w:val="1F5C2E"/>
        </w:rPr>
        <w:t xml:space="preserve">DATA SHOWS: </w:t>
      </w:r>
      <w:r>
        <w:t xml:space="preserve">Franchise identity uses the same Base+Gender grouping validated in Item 1 (version-token and gender-token stripping, e.g. 'Astral GTX Jacket Men' and 'Astral GTX II Jacket Men' are one franchise). 'Real trading' uses the same ≥100 units/year threshold as Items 1–2. FW27 continuation status uses the same fuzzy first-significant-word + gender match against the Assortment Attribution Review used in Item 2 — imperfect (no reliable franchise/REF_CODE key exists in source data) but the best available signal; treat individual misses as a prompt to check manually, not as certain fact.</w:t>
      </w:r>
    </w:p>
    <w:p>
      <w:pPr>
        <w:pStyle w:val="Heading1"/>
        <w:spacing w:after="160" w:before="320"/>
      </w:pPr>
      <w:r>
        <w:t xml:space="preserve">2. Executive summary</w:t>
      </w:r>
    </w:p>
    <w:p>
      <w:pPr>
        <w:pStyle w:val="ListParagraph"/>
        <w:numPr>
          <w:ilvl w:val="0"/>
          <w:numId w:val="2"/>
        </w:numPr>
        <w:spacing w:after="80"/>
      </w:pPr>
      <w:r>
        <w:t xml:space="preserve">The portfolio splits cleanly into a working core and a long, thin tail: 34 Hero/Near-Hero franchises (98.2M SEK, 15% of core sales) are genuinely healthy — growing, cross-channel, GM ≥46.6% — while 864 Thin franchises (8.1M SEK combined) are effectively noise.</w:t>
      </w:r>
    </w:p>
    <w:p>
      <w:pPr>
        <w:pStyle w:val="ListParagraph"/>
        <w:numPr>
          <w:ilvl w:val="0"/>
          <w:numId w:val="2"/>
        </w:numPr>
        <w:spacing w:after="80"/>
      </w:pPr>
      <w:r>
        <w:t xml:space="preserve">Channel mix shift is real but is NOT simply DTC replacing Wholesale: of 623 continuing franchises with activity in both channels, 218 (worth 85.5M SEK of Wholesale decline) show the 'substitution' pattern, but DTC only recaptured 40.4M of that — a 45.1M SEK net gap, i.e. channel-shift is being used as a comfortable explanation for what is, for roughly half the money, a real net sales loss, not a channel switch.</w:t>
      </w:r>
    </w:p>
    <w:p>
      <w:pPr>
        <w:pStyle w:val="ListParagraph"/>
        <w:numPr>
          <w:ilvl w:val="0"/>
          <w:numId w:val="2"/>
        </w:numPr>
        <w:spacing w:after="80"/>
      </w:pPr>
      <w:r>
        <w:t xml:space="preserve">Heroes are not primarily a channel-cannibalization story: of the 34 Hero/Near-Hero franchises, 20 (59%) sit in the genuine DTC-incremental-growth pattern, only 9 show the substitution pattern, and 5 are actually Wholesale-led. The Hero cohort's growth is mostly additive, not moved from Wholesale.</w:t>
      </w:r>
    </w:p>
    <w:p>
      <w:pPr>
        <w:pStyle w:val="ListParagraph"/>
        <w:numPr>
          <w:ilvl w:val="0"/>
          <w:numId w:val="2"/>
        </w:numPr>
        <w:spacing w:after="80"/>
      </w:pPr>
      <w:r>
        <w:t xml:space="preserve">Problem Child (151 franchises, 94.8M SEK, GM 33.4%) is two different problems, not one: 129 franchises (88.5M SEK) have a genuine core full-price/cost problem and need a pricing or product fix; 22 franchises (6.3M SEK) are already effectively living in outlet/special-account channels — an outlet-migration issue, not a core discipline issue.</w:t>
      </w:r>
    </w:p>
    <w:p>
      <w:pPr>
        <w:pStyle w:val="ListParagraph"/>
        <w:numPr>
          <w:ilvl w:val="0"/>
          <w:numId w:val="2"/>
        </w:numPr>
        <w:spacing w:after="80"/>
      </w:pPr>
      <w:r>
        <w:t xml:space="preserve">Workhorse (202 franchises, 197.3M SEK, the single largest tier by revenue) has a specific, addressable pattern: 90 franchises (31.0M SEK) sell in only one of Wholesale/DTC. Of those, 57 are clean scale-up candidates worth 21.9M SEK today, already at 54-63% of the volume needed in their missing channel — only 1.85M SEK combined gap to cross that bar, not a Hero-scale story.</w:t>
      </w:r>
    </w:p>
    <w:p>
      <w:pPr>
        <w:pStyle w:val="ListParagraph"/>
        <w:numPr>
          <w:ilvl w:val="0"/>
          <w:numId w:val="2"/>
        </w:numPr>
        <w:spacing w:after="80"/>
      </w:pPr>
      <w:r>
        <w:t xml:space="preserve">Harvest (236 franchises) lost more revenue year-over-year than any other tier — 216.2M SEK in 2024 to 120.2M in 2025, a −96.0M SEK swing — while still running a healthy 50.6% margin. This is a volume/relevance problem on otherwise-profitable product, and 94 of these franchises (31.5M SEK) have no confirmed FW27 continuation.</w:t>
      </w:r>
    </w:p>
    <w:p>
      <w:pPr>
        <w:pStyle w:val="ListParagraph"/>
        <w:numPr>
          <w:ilvl w:val="0"/>
          <w:numId w:val="2"/>
        </w:numPr>
        <w:spacing w:after="80"/>
      </w:pPr>
      <w:r>
        <w:t xml:space="preserve">New/Test (197 launches, 123.9M SEK year-1 sales) shows a real launch-follow-through gap: only 13.0% Wholesale reorder conversion company-wide, and 30 launches (15% of the cohort) are flagged on 2+ risk indicators simultaneously (low margin, no DTC presence, no reorder, no FW27 plan).</w:t>
      </w:r>
    </w:p>
    <w:p>
      <w:pPr>
        <w:pStyle w:val="ListParagraph"/>
        <w:numPr>
          <w:ilvl w:val="0"/>
          <w:numId w:val="2"/>
        </w:numPr>
        <w:spacing w:after="80"/>
      </w:pPr>
      <w:r>
        <w:t xml:space="preserve">Across Problem Child, Harvest and Workhorse combined, 211 franchises worth 87.4M SEK have no confirmed FW27 continuation found in the Assortment file — including 42 franchises (33.5M SEK) that are still growing today with apparently no plan. This is the single highest-urgency cross-tier list for the workshop.</w:t>
      </w:r>
    </w:p>
    <w:p>
      <w:r>
        <w:br w:type="page"/>
      </w:r>
    </w:p>
    <w:p>
      <w:pPr>
        <w:pStyle w:val="Heading1"/>
        <w:spacing w:after="160" w:before="320"/>
      </w:pPr>
      <w:r>
        <w:t xml:space="preserve">3. Channel Mix Shift: is DTC growth cannibalizing Wholesale?</w:t>
      </w:r>
    </w:p>
    <w:p>
      <w:pPr>
        <w:spacing w:after="160"/>
      </w:pPr>
      <w:r>
        <w:t xml:space="preserve">623 continuing franchises sell in both Wholesale and DTC across 2024–2025. Each was classified into one of four channel-mix patterns based on the direction of change in each channel: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1700"/>
        <w:gridCol w:w="1700"/>
        <w:gridCol w:w="2050"/>
      </w:tblGrid>
      <w:tr>
        <w:trPr>
          <w:tblHeader/>
        </w:trPr>
        <w:tc>
          <w:tcPr>
            <w:tcW w:type="dxa" w:w="3200"/>
            <w:shd w:fill="2F2F2F" w:val="clear"/>
            <w:tcMar>
              <w:top w:type="dxa" w:w="60"/>
              <w:left w:type="dxa" w:w="100"/>
              <w:bottom w:type="dxa" w:w="60"/>
              <w:right w:type="dxa" w:w="100"/>
            </w:tcMar>
            <w:vAlign w:val="center"/>
          </w:tcPr>
          <w:p>
            <w:pPr>
              <w:jc w:val="left"/>
            </w:pPr>
            <w:r>
              <w:rPr>
                <w:b/>
                <w:bCs/>
                <w:color w:val="FFFFFF"/>
                <w:sz w:val="19"/>
                <w:szCs w:val="19"/>
              </w:rPr>
              <w:t xml:space="preserve">Pattern</w:t>
            </w:r>
          </w:p>
        </w:tc>
        <w:tc>
          <w:tcPr>
            <w:tcW w:type="dxa" w:w="700"/>
            <w:shd w:fill="2F2F2F" w:val="clear"/>
            <w:tcMar>
              <w:top w:type="dxa" w:w="60"/>
              <w:left w:type="dxa" w:w="100"/>
              <w:bottom w:type="dxa" w:w="60"/>
              <w:right w:type="dxa" w:w="100"/>
            </w:tcMar>
            <w:vAlign w:val="center"/>
          </w:tcPr>
          <w:p>
            <w:pPr>
              <w:jc w:val="center"/>
            </w:pPr>
            <w:r>
              <w:rPr>
                <w:b/>
                <w:bCs/>
                <w:color w:val="FFFFFF"/>
                <w:sz w:val="19"/>
                <w:szCs w:val="19"/>
              </w:rPr>
              <w:t xml:space="preserve">N</w:t>
            </w:r>
          </w:p>
        </w:tc>
        <w:tc>
          <w:tcPr>
            <w:tcW w:type="dxa" w:w="1700"/>
            <w:shd w:fill="2F2F2F" w:val="clear"/>
            <w:tcMar>
              <w:top w:type="dxa" w:w="60"/>
              <w:left w:type="dxa" w:w="100"/>
              <w:bottom w:type="dxa" w:w="60"/>
              <w:right w:type="dxa" w:w="100"/>
            </w:tcMar>
            <w:vAlign w:val="center"/>
          </w:tcPr>
          <w:p>
            <w:pPr>
              <w:jc w:val="center"/>
            </w:pPr>
            <w:r>
              <w:rPr>
                <w:b/>
                <w:bCs/>
                <w:color w:val="FFFFFF"/>
                <w:sz w:val="19"/>
                <w:szCs w:val="19"/>
              </w:rPr>
              <w:t xml:space="preserve">Wholesale Δ (SEK)</w:t>
            </w:r>
          </w:p>
        </w:tc>
        <w:tc>
          <w:tcPr>
            <w:tcW w:type="dxa" w:w="1700"/>
            <w:shd w:fill="2F2F2F" w:val="clear"/>
            <w:tcMar>
              <w:top w:type="dxa" w:w="60"/>
              <w:left w:type="dxa" w:w="100"/>
              <w:bottom w:type="dxa" w:w="60"/>
              <w:right w:type="dxa" w:w="100"/>
            </w:tcMar>
            <w:vAlign w:val="center"/>
          </w:tcPr>
          <w:p>
            <w:pPr>
              <w:jc w:val="center"/>
            </w:pPr>
            <w:r>
              <w:rPr>
                <w:b/>
                <w:bCs/>
                <w:color w:val="FFFFFF"/>
                <w:sz w:val="19"/>
                <w:szCs w:val="19"/>
              </w:rPr>
              <w:t xml:space="preserve">DTC Δ (SEK)</w:t>
            </w:r>
          </w:p>
        </w:tc>
        <w:tc>
          <w:tcPr>
            <w:tcW w:type="dxa" w:w="2050"/>
            <w:shd w:fill="2F2F2F" w:val="clear"/>
            <w:tcMar>
              <w:top w:type="dxa" w:w="60"/>
              <w:left w:type="dxa" w:w="100"/>
              <w:bottom w:type="dxa" w:w="60"/>
              <w:right w:type="dxa" w:w="100"/>
            </w:tcMar>
            <w:vAlign w:val="center"/>
          </w:tcPr>
          <w:p>
            <w:pPr>
              <w:jc w:val="center"/>
            </w:pPr>
            <w:r>
              <w:rPr>
                <w:b/>
                <w:bCs/>
                <w:color w:val="FFFFFF"/>
                <w:sz w:val="19"/>
                <w:szCs w:val="19"/>
              </w:rPr>
              <w:t xml:space="preserve">Read</w:t>
            </w:r>
          </w:p>
        </w:tc>
      </w:tr>
      <w:tr>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SUBSTITUTION candidate (WS down, DTC up)</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218</w:t>
            </w:r>
          </w:p>
        </w:tc>
        <w:tc>
          <w:tcPr>
            <w:tcW w:type="dxa" w:w="1700"/>
            <w:tcMar>
              <w:top w:type="dxa" w:w="60"/>
              <w:left w:type="dxa" w:w="100"/>
              <w:bottom w:type="dxa" w:w="60"/>
              <w:right w:type="dxa" w:w="100"/>
            </w:tcMar>
            <w:vAlign w:val="center"/>
          </w:tcPr>
          <w:p>
            <w:pPr>
              <w:jc w:val="center"/>
            </w:pPr>
            <w:r>
              <w:rPr>
                <w:b w:val="false"/>
                <w:bCs w:val="false"/>
                <w:color w:val="000000"/>
                <w:sz w:val="19"/>
                <w:szCs w:val="19"/>
              </w:rPr>
              <w:t xml:space="preserve">−85.5M</w:t>
            </w:r>
          </w:p>
        </w:tc>
        <w:tc>
          <w:tcPr>
            <w:tcW w:type="dxa" w:w="1700"/>
            <w:tcMar>
              <w:top w:type="dxa" w:w="60"/>
              <w:left w:type="dxa" w:w="100"/>
              <w:bottom w:type="dxa" w:w="60"/>
              <w:right w:type="dxa" w:w="100"/>
            </w:tcMar>
            <w:vAlign w:val="center"/>
          </w:tcPr>
          <w:p>
            <w:pPr>
              <w:jc w:val="center"/>
            </w:pPr>
            <w:r>
              <w:rPr>
                <w:b w:val="false"/>
                <w:bCs w:val="false"/>
                <w:color w:val="000000"/>
                <w:sz w:val="19"/>
                <w:szCs w:val="19"/>
              </w:rPr>
              <w:t xml:space="preserve">+40.4M</w:t>
            </w:r>
          </w:p>
        </w:tc>
        <w:tc>
          <w:tcPr>
            <w:tcW w:type="dxa" w:w="2050"/>
            <w:tcMar>
              <w:top w:type="dxa" w:w="60"/>
              <w:left w:type="dxa" w:w="100"/>
              <w:bottom w:type="dxa" w:w="60"/>
              <w:right w:type="dxa" w:w="100"/>
            </w:tcMar>
            <w:vAlign w:val="center"/>
          </w:tcPr>
          <w:p>
            <w:pPr>
              <w:jc w:val="center"/>
            </w:pPr>
            <w:r>
              <w:rPr>
                <w:b w:val="false"/>
                <w:bCs w:val="false"/>
                <w:color w:val="000000"/>
                <w:sz w:val="19"/>
                <w:szCs w:val="19"/>
              </w:rPr>
              <w:t xml:space="preserve">Only 47% of the WS loss shows up as DTC gain — see below</w:t>
            </w:r>
          </w:p>
        </w:tc>
      </w:tr>
      <w:tr>
        <w:tc>
          <w:tcPr>
            <w:tcW w:type="dxa" w:w="32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Both declining</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183</w:t>
            </w:r>
          </w:p>
        </w:tc>
        <w:tc>
          <w:tcPr>
            <w:tcW w:type="dxa" w:w="1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−49.0M</w:t>
            </w:r>
          </w:p>
        </w:tc>
        <w:tc>
          <w:tcPr>
            <w:tcW w:type="dxa" w:w="1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−33.7M</w:t>
            </w:r>
          </w:p>
        </w:tc>
        <w:tc>
          <w:tcPr>
            <w:tcW w:type="dxa" w:w="20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Genuine share/demand loss, not a channel story</w:t>
            </w:r>
          </w:p>
        </w:tc>
      </w:tr>
      <w:tr>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DTC growth, WS not declining (incremental)</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122</w:t>
            </w:r>
          </w:p>
        </w:tc>
        <w:tc>
          <w:tcPr>
            <w:tcW w:type="dxa" w:w="1700"/>
            <w:tcMar>
              <w:top w:type="dxa" w:w="60"/>
              <w:left w:type="dxa" w:w="100"/>
              <w:bottom w:type="dxa" w:w="60"/>
              <w:right w:type="dxa" w:w="100"/>
            </w:tcMar>
            <w:vAlign w:val="center"/>
          </w:tcPr>
          <w:p>
            <w:pPr>
              <w:jc w:val="center"/>
            </w:pPr>
            <w:r>
              <w:rPr>
                <w:b w:val="false"/>
                <w:bCs w:val="false"/>
                <w:color w:val="000000"/>
                <w:sz w:val="19"/>
                <w:szCs w:val="19"/>
              </w:rPr>
              <w:t xml:space="preserve">+116.1M</w:t>
            </w:r>
          </w:p>
        </w:tc>
        <w:tc>
          <w:tcPr>
            <w:tcW w:type="dxa" w:w="1700"/>
            <w:tcMar>
              <w:top w:type="dxa" w:w="60"/>
              <w:left w:type="dxa" w:w="100"/>
              <w:bottom w:type="dxa" w:w="60"/>
              <w:right w:type="dxa" w:w="100"/>
            </w:tcMar>
            <w:vAlign w:val="center"/>
          </w:tcPr>
          <w:p>
            <w:pPr>
              <w:jc w:val="center"/>
            </w:pPr>
            <w:r>
              <w:rPr>
                <w:b w:val="false"/>
                <w:bCs w:val="false"/>
                <w:color w:val="000000"/>
                <w:sz w:val="19"/>
                <w:szCs w:val="19"/>
              </w:rPr>
              <w:t xml:space="preserve">+48.3M</w:t>
            </w:r>
          </w:p>
        </w:tc>
        <w:tc>
          <w:tcPr>
            <w:tcW w:type="dxa" w:w="2050"/>
            <w:tcMar>
              <w:top w:type="dxa" w:w="60"/>
              <w:left w:type="dxa" w:w="100"/>
              <w:bottom w:type="dxa" w:w="60"/>
              <w:right w:type="dxa" w:w="100"/>
            </w:tcMar>
            <w:vAlign w:val="center"/>
          </w:tcPr>
          <w:p>
            <w:pPr>
              <w:jc w:val="center"/>
            </w:pPr>
            <w:r>
              <w:rPr>
                <w:b w:val="false"/>
                <w:bCs w:val="false"/>
                <w:color w:val="000000"/>
                <w:sz w:val="19"/>
                <w:szCs w:val="19"/>
              </w:rPr>
              <w:t xml:space="preserve">Real, additive DTC growth — the healthy pattern</w:t>
            </w:r>
          </w:p>
        </w:tc>
      </w:tr>
      <w:tr>
        <w:tc>
          <w:tcPr>
            <w:tcW w:type="dxa" w:w="32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WS growing, DTC flat/declining</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100</w:t>
            </w:r>
          </w:p>
        </w:tc>
        <w:tc>
          <w:tcPr>
            <w:tcW w:type="dxa" w:w="1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+48.5M</w:t>
            </w:r>
          </w:p>
        </w:tc>
        <w:tc>
          <w:tcPr>
            <w:tcW w:type="dxa" w:w="1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−12.9M</w:t>
            </w:r>
          </w:p>
        </w:tc>
        <w:tc>
          <w:tcPr>
            <w:tcW w:type="dxa" w:w="20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Wholesale-led growth, small DTC give-back</w:t>
            </w:r>
          </w:p>
        </w:tc>
      </w:tr>
    </w:tbl>
    <w:p>
      <w:pPr>
        <w:pBdr>
          <w:left w:val="single" w:color="3C8A4C" w:sz="18"/>
        </w:pBdr>
        <w:shd w:fill="EAF3EA" w:val="clear"/>
        <w:spacing w:after="120" w:before="100"/>
        <w:ind w:left="150" w:right="100"/>
      </w:pPr>
      <w:r>
        <w:rPr>
          <w:b/>
          <w:bCs/>
          <w:color w:val="1F5C2E"/>
        </w:rPr>
        <w:t xml:space="preserve">DATA SHOWS: </w:t>
      </w:r>
      <w:r>
        <w:t xml:space="preserve">The 'substitution' framing undersells the problem. Of the 85.5M SEK lost in Wholesale by these 218 franchises, only 40.4M reappeared in DTC — a 45.1M SEK net shortfall. If this were pure channel-shift (a customer simply buying the same product DTC instead of at a Wholesale partner), the two numbers would be much closer to matching. Roughly half of what looks like 'moving to DTC' is actually net demand loss with a channel-shift story attached to it.</w:t>
      </w:r>
    </w:p>
    <w:p>
      <w:pPr>
        <w:pBdr>
          <w:left w:val="single" w:color="C97A1A" w:sz="18"/>
        </w:pBdr>
        <w:shd w:fill="FCEFDC" w:val="clear"/>
        <w:spacing w:after="120" w:before="100"/>
        <w:ind w:left="150" w:right="100"/>
      </w:pPr>
      <w:r>
        <w:rPr>
          <w:b/>
          <w:bCs/>
          <w:color w:val="8A4B00"/>
        </w:rPr>
        <w:t xml:space="preserve">NOT ANSWERABLE FROM DATA — ASK: </w:t>
      </w:r>
      <w:r>
        <w:t xml:space="preserve">For the 218 substitution-pattern franchises, is the Wholesale decline being driven by fewer doors/accounts carrying the product, a deliberate distribution pull-back, or lost sell-through at retail? This determines whether the fix is a DTC investment (if genuine channel preference) or a distribution-recovery effort (if it's really a listing/sell-through problem). Owner: Wholesale Director, cross-checked with Merchandising Director.</w:t>
      </w:r>
    </w:p>
    <w:p>
      <w:pPr>
        <w:pStyle w:val="Heading2"/>
        <w:spacing w:after="120" w:before="240"/>
      </w:pPr>
      <w:r>
        <w:t xml:space="preserve">3.1 Are the Hero products part of the DTC-incremental pattern?</w:t>
      </w:r>
    </w:p>
    <w:p>
      <w:pPr>
        <w:spacing w:after="160"/>
      </w:pPr>
      <w:r>
        <w:t xml:space="preserve">Direct answer, matched against the Section 4 Hero/Near-Hero list: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550"/>
        <w:gridCol w:w="3000"/>
        <w:gridCol w:w="1800"/>
      </w:tblGrid>
      <w:tr>
        <w:trPr>
          <w:tblHeader/>
        </w:trPr>
        <w:tc>
          <w:tcPr>
            <w:tcW w:type="dxa" w:w="4550"/>
            <w:shd w:fill="2F2F2F" w:val="clear"/>
            <w:tcMar>
              <w:top w:type="dxa" w:w="60"/>
              <w:left w:type="dxa" w:w="100"/>
              <w:bottom w:type="dxa" w:w="60"/>
              <w:right w:type="dxa" w:w="100"/>
            </w:tcMar>
            <w:vAlign w:val="center"/>
          </w:tcPr>
          <w:p>
            <w:pPr>
              <w:jc w:val="left"/>
            </w:pPr>
            <w:r>
              <w:rPr>
                <w:b/>
                <w:bCs/>
                <w:color w:val="FFFFFF"/>
                <w:sz w:val="19"/>
                <w:szCs w:val="19"/>
              </w:rPr>
              <w:t xml:space="preserve">Pattern</w:t>
            </w:r>
          </w:p>
        </w:tc>
        <w:tc>
          <w:tcPr>
            <w:tcW w:type="dxa" w:w="3000"/>
            <w:shd w:fill="2F2F2F" w:val="clear"/>
            <w:tcMar>
              <w:top w:type="dxa" w:w="60"/>
              <w:left w:type="dxa" w:w="100"/>
              <w:bottom w:type="dxa" w:w="60"/>
              <w:right w:type="dxa" w:w="100"/>
            </w:tcMar>
            <w:vAlign w:val="center"/>
          </w:tcPr>
          <w:p>
            <w:pPr>
              <w:jc w:val="center"/>
            </w:pPr>
            <w:r>
              <w:rPr>
                <w:b/>
                <w:bCs/>
                <w:color w:val="FFFFFF"/>
                <w:sz w:val="19"/>
                <w:szCs w:val="19"/>
              </w:rPr>
              <w:t xml:space="preserve">N of 34 Hero/Near-Hero franchises</w:t>
            </w:r>
          </w:p>
        </w:tc>
        <w:tc>
          <w:tcPr>
            <w:tcW w:type="dxa" w:w="1800"/>
            <w:shd w:fill="2F2F2F" w:val="clear"/>
            <w:tcMar>
              <w:top w:type="dxa" w:w="60"/>
              <w:left w:type="dxa" w:w="100"/>
              <w:bottom w:type="dxa" w:w="60"/>
              <w:right w:type="dxa" w:w="100"/>
            </w:tcMar>
            <w:vAlign w:val="center"/>
          </w:tcPr>
          <w:p>
            <w:pPr>
              <w:jc w:val="center"/>
            </w:pPr>
            <w:r>
              <w:rPr>
                <w:b/>
                <w:bCs/>
                <w:color w:val="FFFFFF"/>
                <w:sz w:val="19"/>
                <w:szCs w:val="19"/>
              </w:rPr>
              <w:t xml:space="preserve">Share</w:t>
            </w:r>
          </w:p>
        </w:tc>
      </w:tr>
      <w:tr>
        <w:tc>
          <w:tcPr>
            <w:tcW w:type="dxa" w:w="4550"/>
            <w:tcMar>
              <w:top w:type="dxa" w:w="60"/>
              <w:left w:type="dxa" w:w="100"/>
              <w:bottom w:type="dxa" w:w="60"/>
              <w:right w:type="dxa" w:w="100"/>
            </w:tcMar>
            <w:vAlign w:val="center"/>
          </w:tcPr>
          <w:p>
            <w:pPr>
              <w:jc w:val="left"/>
            </w:pPr>
            <w:r>
              <w:rPr>
                <w:b w:val="false"/>
                <w:bCs w:val="false"/>
                <w:color w:val="000000"/>
                <w:sz w:val="19"/>
                <w:szCs w:val="19"/>
              </w:rPr>
              <w:t xml:space="preserve">DTC growth, WS not declining (incremental)</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20</w:t>
            </w:r>
          </w:p>
        </w:tc>
        <w:tc>
          <w:tcPr>
            <w:tcW w:type="dxa" w:w="1800"/>
            <w:tcMar>
              <w:top w:type="dxa" w:w="60"/>
              <w:left w:type="dxa" w:w="100"/>
              <w:bottom w:type="dxa" w:w="60"/>
              <w:right w:type="dxa" w:w="100"/>
            </w:tcMar>
            <w:vAlign w:val="center"/>
          </w:tcPr>
          <w:p>
            <w:pPr>
              <w:jc w:val="center"/>
            </w:pPr>
            <w:r>
              <w:rPr>
                <w:b w:val="false"/>
                <w:bCs w:val="false"/>
                <w:color w:val="000000"/>
                <w:sz w:val="19"/>
                <w:szCs w:val="19"/>
              </w:rPr>
              <w:t xml:space="preserve">59%</w:t>
            </w:r>
          </w:p>
        </w:tc>
      </w:tr>
      <w:tr>
        <w:tc>
          <w:tcPr>
            <w:tcW w:type="dxa" w:w="45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SUBSTITUTION candidate (WS down, DTC up)</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9</w:t>
            </w:r>
          </w:p>
        </w:tc>
        <w:tc>
          <w:tcPr>
            <w:tcW w:type="dxa" w:w="18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26%</w:t>
            </w:r>
          </w:p>
        </w:tc>
      </w:tr>
      <w:tr>
        <w:tc>
          <w:tcPr>
            <w:tcW w:type="dxa" w:w="4550"/>
            <w:tcMar>
              <w:top w:type="dxa" w:w="60"/>
              <w:left w:type="dxa" w:w="100"/>
              <w:bottom w:type="dxa" w:w="60"/>
              <w:right w:type="dxa" w:w="100"/>
            </w:tcMar>
            <w:vAlign w:val="center"/>
          </w:tcPr>
          <w:p>
            <w:pPr>
              <w:jc w:val="left"/>
            </w:pPr>
            <w:r>
              <w:rPr>
                <w:b w:val="false"/>
                <w:bCs w:val="false"/>
                <w:color w:val="000000"/>
                <w:sz w:val="19"/>
                <w:szCs w:val="19"/>
              </w:rPr>
              <w:t xml:space="preserve">WS growing, DTC flat/declining</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5</w:t>
            </w:r>
          </w:p>
        </w:tc>
        <w:tc>
          <w:tcPr>
            <w:tcW w:type="dxa" w:w="1800"/>
            <w:tcMar>
              <w:top w:type="dxa" w:w="60"/>
              <w:left w:type="dxa" w:w="100"/>
              <w:bottom w:type="dxa" w:w="60"/>
              <w:right w:type="dxa" w:w="100"/>
            </w:tcMar>
            <w:vAlign w:val="center"/>
          </w:tcPr>
          <w:p>
            <w:pPr>
              <w:jc w:val="center"/>
            </w:pPr>
            <w:r>
              <w:rPr>
                <w:b w:val="false"/>
                <w:bCs w:val="false"/>
                <w:color w:val="000000"/>
                <w:sz w:val="19"/>
                <w:szCs w:val="19"/>
              </w:rPr>
              <w:t xml:space="preserve">15%</w:t>
            </w:r>
          </w:p>
        </w:tc>
      </w:tr>
    </w:tbl>
    <w:p>
      <w:pPr>
        <w:pBdr>
          <w:left w:val="single" w:color="3C8A4C" w:sz="18"/>
        </w:pBdr>
        <w:shd w:fill="EAF3EA" w:val="clear"/>
        <w:spacing w:after="120" w:before="100"/>
        <w:ind w:left="150" w:right="100"/>
      </w:pPr>
      <w:r>
        <w:rPr>
          <w:b/>
          <w:bCs/>
          <w:color w:val="1F5C2E"/>
        </w:rPr>
        <w:t xml:space="preserve">DATA SHOWS: </w:t>
      </w:r>
      <w:r>
        <w:t xml:space="preserve">Heroes are mostly the healthy pattern: 59% of Hero/Near-Hero franchises are growing DTC without giving up Wholesale. Only 9 of 34 show the substitution pattern. This is reassuring for the 2029 plan — the growth engine of the portfolio is not, in the main, being funded by cannibalizing Wholesale revenue; it looks like genuine incremental demand.</w:t>
      </w:r>
    </w:p>
    <w:p>
      <w:pPr>
        <w:pStyle w:val="Heading1"/>
        <w:spacing w:after="160" w:before="320"/>
      </w:pPr>
      <w:r>
        <w:t xml:space="preserve">4. Hero and Near-Hero: definition and the current list</w:t>
      </w:r>
    </w:p>
    <w:p>
      <w:pPr>
        <w:spacing w:after="160"/>
      </w:pPr>
      <w:r>
        <w:t xml:space="preserve">A franchise qualifies as Hero or Near-Hero only if it clears every one of four bars simultaneously — scale, growth, channel breadth and margin. This is deliberately strict: the goal is a short, credible list the room can trust, not an aspirational long list.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7450"/>
      </w:tblGrid>
      <w:tr>
        <w:trPr>
          <w:tblHeader/>
        </w:trPr>
        <w:tc>
          <w:tcPr>
            <w:tcW w:type="dxa" w:w="1900"/>
            <w:shd w:fill="2F2F2F" w:val="clear"/>
            <w:tcMar>
              <w:top w:type="dxa" w:w="60"/>
              <w:left w:type="dxa" w:w="100"/>
              <w:bottom w:type="dxa" w:w="60"/>
              <w:right w:type="dxa" w:w="100"/>
            </w:tcMar>
            <w:vAlign w:val="center"/>
          </w:tcPr>
          <w:p>
            <w:pPr>
              <w:jc w:val="left"/>
            </w:pPr>
            <w:r>
              <w:rPr>
                <w:b/>
                <w:bCs/>
                <w:color w:val="FFFFFF"/>
                <w:sz w:val="19"/>
                <w:szCs w:val="19"/>
              </w:rPr>
              <w:t xml:space="preserve">Tier</w:t>
            </w:r>
          </w:p>
        </w:tc>
        <w:tc>
          <w:tcPr>
            <w:tcW w:type="dxa" w:w="7450"/>
            <w:shd w:fill="2F2F2F" w:val="clear"/>
            <w:tcMar>
              <w:top w:type="dxa" w:w="60"/>
              <w:left w:type="dxa" w:w="100"/>
              <w:bottom w:type="dxa" w:w="60"/>
              <w:right w:type="dxa" w:w="100"/>
            </w:tcMar>
            <w:vAlign w:val="center"/>
          </w:tcPr>
          <w:p>
            <w:pPr>
              <w:jc w:val="center"/>
            </w:pPr>
            <w:r>
              <w:rPr>
                <w:b/>
                <w:bCs/>
                <w:color w:val="FFFFFF"/>
                <w:sz w:val="19"/>
                <w:szCs w:val="19"/>
              </w:rPr>
              <w:t xml:space="preserve">Rule</w:t>
            </w:r>
          </w:p>
        </w:tc>
      </w:tr>
      <w:tr>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Hero</w:t>
            </w:r>
          </w:p>
        </w:tc>
        <w:tc>
          <w:tcPr>
            <w:tcW w:type="dxa" w:w="7450"/>
            <w:tcMar>
              <w:top w:type="dxa" w:w="60"/>
              <w:left w:type="dxa" w:w="100"/>
              <w:bottom w:type="dxa" w:w="60"/>
              <w:right w:type="dxa" w:w="100"/>
            </w:tcMar>
            <w:vAlign w:val="center"/>
          </w:tcPr>
          <w:p>
            <w:pPr>
              <w:jc w:val="center"/>
            </w:pPr>
            <w:r>
              <w:rPr>
                <w:b w:val="false"/>
                <w:bCs w:val="false"/>
                <w:color w:val="000000"/>
                <w:sz w:val="19"/>
                <w:szCs w:val="19"/>
              </w:rPr>
              <w:t xml:space="preserve">2025 sales ≥2M SEK, YoY growth &gt;0%, cross-channel (Wholesale &gt;100K AND DTC &gt;50K), GM% ≥46.6% (core company average)</w:t>
            </w:r>
          </w:p>
        </w:tc>
      </w:tr>
      <w:tr>
        <w:tc>
          <w:tcPr>
            <w:tcW w:type="dxa" w:w="19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Near-Hero (Rising Star)</w:t>
            </w:r>
          </w:p>
        </w:tc>
        <w:tc>
          <w:tcPr>
            <w:tcW w:type="dxa" w:w="74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2025 sales ≥1M SEK, YoY growth &gt;15%, cross-channel, GM% ≥46.6%</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1450"/>
        <w:gridCol w:w="1450"/>
        <w:gridCol w:w="1350"/>
        <w:gridCol w:w="1200"/>
      </w:tblGrid>
      <w:tr>
        <w:trPr>
          <w:tblHeader/>
        </w:trPr>
        <w:tc>
          <w:tcPr>
            <w:tcW w:type="dxa" w:w="3200"/>
            <w:shd w:fill="2F2F2F" w:val="clear"/>
            <w:tcMar>
              <w:top w:type="dxa" w:w="60"/>
              <w:left w:type="dxa" w:w="100"/>
              <w:bottom w:type="dxa" w:w="60"/>
              <w:right w:type="dxa" w:w="100"/>
            </w:tcMar>
            <w:vAlign w:val="center"/>
          </w:tcPr>
          <w:p>
            <w:pPr>
              <w:jc w:val="left"/>
            </w:pPr>
            <w:r>
              <w:rPr>
                <w:b/>
                <w:bCs/>
                <w:color w:val="FFFFFF"/>
                <w:sz w:val="19"/>
                <w:szCs w:val="19"/>
              </w:rPr>
              <w:t xml:space="preserve">Tier</w:t>
            </w:r>
          </w:p>
        </w:tc>
        <w:tc>
          <w:tcPr>
            <w:tcW w:type="dxa" w:w="700"/>
            <w:shd w:fill="2F2F2F" w:val="clear"/>
            <w:tcMar>
              <w:top w:type="dxa" w:w="60"/>
              <w:left w:type="dxa" w:w="100"/>
              <w:bottom w:type="dxa" w:w="60"/>
              <w:right w:type="dxa" w:w="100"/>
            </w:tcMar>
            <w:vAlign w:val="center"/>
          </w:tcPr>
          <w:p>
            <w:pPr>
              <w:jc w:val="center"/>
            </w:pPr>
            <w:r>
              <w:rPr>
                <w:b/>
                <w:bCs/>
                <w:color w:val="FFFFFF"/>
                <w:sz w:val="19"/>
                <w:szCs w:val="19"/>
              </w:rPr>
              <w:t xml:space="preserve">N</w:t>
            </w:r>
          </w:p>
        </w:tc>
        <w:tc>
          <w:tcPr>
            <w:tcW w:type="dxa" w:w="1450"/>
            <w:shd w:fill="2F2F2F" w:val="clear"/>
            <w:tcMar>
              <w:top w:type="dxa" w:w="60"/>
              <w:left w:type="dxa" w:w="100"/>
              <w:bottom w:type="dxa" w:w="60"/>
              <w:right w:type="dxa" w:w="100"/>
            </w:tcMar>
            <w:vAlign w:val="center"/>
          </w:tcPr>
          <w:p>
            <w:pPr>
              <w:jc w:val="center"/>
            </w:pPr>
            <w:r>
              <w:rPr>
                <w:b/>
                <w:bCs/>
                <w:color w:val="FFFFFF"/>
                <w:sz w:val="19"/>
                <w:szCs w:val="19"/>
              </w:rPr>
              <w:t xml:space="preserve">Sales 2025</w:t>
            </w:r>
          </w:p>
        </w:tc>
        <w:tc>
          <w:tcPr>
            <w:tcW w:type="dxa" w:w="1450"/>
            <w:shd w:fill="2F2F2F" w:val="clear"/>
            <w:tcMar>
              <w:top w:type="dxa" w:w="60"/>
              <w:left w:type="dxa" w:w="100"/>
              <w:bottom w:type="dxa" w:w="60"/>
              <w:right w:type="dxa" w:w="100"/>
            </w:tcMar>
            <w:vAlign w:val="center"/>
          </w:tcPr>
          <w:p>
            <w:pPr>
              <w:jc w:val="center"/>
            </w:pPr>
            <w:r>
              <w:rPr>
                <w:b/>
                <w:bCs/>
                <w:color w:val="FFFFFF"/>
                <w:sz w:val="19"/>
                <w:szCs w:val="19"/>
              </w:rPr>
              <w:t xml:space="preserve">Sales 2024</w:t>
            </w:r>
          </w:p>
        </w:tc>
        <w:tc>
          <w:tcPr>
            <w:tcW w:type="dxa" w:w="1350"/>
            <w:shd w:fill="2F2F2F" w:val="clear"/>
            <w:tcMar>
              <w:top w:type="dxa" w:w="60"/>
              <w:left w:type="dxa" w:w="100"/>
              <w:bottom w:type="dxa" w:w="60"/>
              <w:right w:type="dxa" w:w="100"/>
            </w:tcMar>
            <w:vAlign w:val="center"/>
          </w:tcPr>
          <w:p>
            <w:pPr>
              <w:jc w:val="center"/>
            </w:pPr>
            <w:r>
              <w:rPr>
                <w:b/>
                <w:bCs/>
                <w:color w:val="FFFFFF"/>
                <w:sz w:val="19"/>
                <w:szCs w:val="19"/>
              </w:rPr>
              <w:t xml:space="preserve">Growth%</w:t>
            </w:r>
          </w:p>
        </w:tc>
        <w:tc>
          <w:tcPr>
            <w:tcW w:type="dxa" w:w="1200"/>
            <w:shd w:fill="2F2F2F" w:val="clear"/>
            <w:tcMar>
              <w:top w:type="dxa" w:w="60"/>
              <w:left w:type="dxa" w:w="100"/>
              <w:bottom w:type="dxa" w:w="60"/>
              <w:right w:type="dxa" w:w="100"/>
            </w:tcMar>
            <w:vAlign w:val="center"/>
          </w:tcPr>
          <w:p>
            <w:pPr>
              <w:jc w:val="center"/>
            </w:pPr>
            <w:r>
              <w:rPr>
                <w:b/>
                <w:bCs/>
                <w:color w:val="FFFFFF"/>
                <w:sz w:val="19"/>
                <w:szCs w:val="19"/>
              </w:rPr>
              <w:t xml:space="preserve">GM% 2025</w:t>
            </w:r>
          </w:p>
        </w:tc>
      </w:tr>
      <w:tr>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Hero</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17</w:t>
            </w:r>
          </w:p>
        </w:tc>
        <w:tc>
          <w:tcPr>
            <w:tcW w:type="dxa" w:w="1450"/>
            <w:tcMar>
              <w:top w:type="dxa" w:w="60"/>
              <w:left w:type="dxa" w:w="100"/>
              <w:bottom w:type="dxa" w:w="60"/>
              <w:right w:type="dxa" w:w="100"/>
            </w:tcMar>
            <w:vAlign w:val="center"/>
          </w:tcPr>
          <w:p>
            <w:pPr>
              <w:jc w:val="center"/>
            </w:pPr>
            <w:r>
              <w:rPr>
                <w:b w:val="false"/>
                <w:bCs w:val="false"/>
                <w:color w:val="000000"/>
                <w:sz w:val="19"/>
                <w:szCs w:val="19"/>
              </w:rPr>
              <w:t xml:space="preserve">73.8M</w:t>
            </w:r>
          </w:p>
        </w:tc>
        <w:tc>
          <w:tcPr>
            <w:tcW w:type="dxa" w:w="1450"/>
            <w:tcMar>
              <w:top w:type="dxa" w:w="60"/>
              <w:left w:type="dxa" w:w="100"/>
              <w:bottom w:type="dxa" w:w="60"/>
              <w:right w:type="dxa" w:w="100"/>
            </w:tcMar>
            <w:vAlign w:val="center"/>
          </w:tcPr>
          <w:p>
            <w:pPr>
              <w:jc w:val="center"/>
            </w:pPr>
            <w:r>
              <w:rPr>
                <w:b w:val="false"/>
                <w:bCs w:val="false"/>
                <w:color w:val="000000"/>
                <w:sz w:val="19"/>
                <w:szCs w:val="19"/>
              </w:rPr>
              <w:t xml:space="preserve">62.7M</w:t>
            </w:r>
          </w:p>
        </w:tc>
        <w:tc>
          <w:tcPr>
            <w:tcW w:type="dxa" w:w="1350"/>
            <w:tcMar>
              <w:top w:type="dxa" w:w="60"/>
              <w:left w:type="dxa" w:w="100"/>
              <w:bottom w:type="dxa" w:w="60"/>
              <w:right w:type="dxa" w:w="100"/>
            </w:tcMar>
            <w:vAlign w:val="center"/>
          </w:tcPr>
          <w:p>
            <w:pPr>
              <w:jc w:val="center"/>
            </w:pPr>
            <w:r>
              <w:rPr>
                <w:b w:val="false"/>
                <w:bCs w:val="false"/>
                <w:color w:val="000000"/>
                <w:sz w:val="19"/>
                <w:szCs w:val="19"/>
              </w:rPr>
              <w:t xml:space="preserve">+17.7%</w:t>
            </w:r>
          </w:p>
        </w:tc>
        <w:tc>
          <w:tcPr>
            <w:tcW w:type="dxa" w:w="1200"/>
            <w:tcMar>
              <w:top w:type="dxa" w:w="60"/>
              <w:left w:type="dxa" w:w="100"/>
              <w:bottom w:type="dxa" w:w="60"/>
              <w:right w:type="dxa" w:w="100"/>
            </w:tcMar>
            <w:vAlign w:val="center"/>
          </w:tcPr>
          <w:p>
            <w:pPr>
              <w:jc w:val="center"/>
            </w:pPr>
            <w:r>
              <w:rPr>
                <w:b w:val="false"/>
                <w:bCs w:val="false"/>
                <w:color w:val="000000"/>
                <w:sz w:val="19"/>
                <w:szCs w:val="19"/>
              </w:rPr>
              <w:t xml:space="preserve">53.5%</w:t>
            </w:r>
          </w:p>
        </w:tc>
      </w:tr>
      <w:tr>
        <w:tc>
          <w:tcPr>
            <w:tcW w:type="dxa" w:w="32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Near-Hero (Rising Star)</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17</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24.1M</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17.4M</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+38.6%</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52.1%</w:t>
            </w:r>
          </w:p>
        </w:tc>
      </w:tr>
      <w:tr>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Combined</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34</w:t>
            </w:r>
          </w:p>
        </w:tc>
        <w:tc>
          <w:tcPr>
            <w:tcW w:type="dxa" w:w="1450"/>
            <w:tcMar>
              <w:top w:type="dxa" w:w="60"/>
              <w:left w:type="dxa" w:w="100"/>
              <w:bottom w:type="dxa" w:w="60"/>
              <w:right w:type="dxa" w:w="100"/>
            </w:tcMar>
            <w:vAlign w:val="center"/>
          </w:tcPr>
          <w:p>
            <w:pPr>
              <w:jc w:val="center"/>
            </w:pPr>
            <w:r>
              <w:rPr>
                <w:b w:val="false"/>
                <w:bCs w:val="false"/>
                <w:color w:val="000000"/>
                <w:sz w:val="19"/>
                <w:szCs w:val="19"/>
              </w:rPr>
              <w:t xml:space="preserve">98.2M</w:t>
            </w:r>
          </w:p>
        </w:tc>
        <w:tc>
          <w:tcPr>
            <w:tcW w:type="dxa" w:w="1450"/>
            <w:tcMar>
              <w:top w:type="dxa" w:w="60"/>
              <w:left w:type="dxa" w:w="100"/>
              <w:bottom w:type="dxa" w:w="60"/>
              <w:right w:type="dxa" w:w="100"/>
            </w:tcMar>
            <w:vAlign w:val="center"/>
          </w:tcPr>
          <w:p>
            <w:pPr>
              <w:jc w:val="center"/>
            </w:pPr>
            <w:r>
              <w:rPr>
                <w:b w:val="false"/>
                <w:bCs w:val="false"/>
                <w:color w:val="000000"/>
                <w:sz w:val="19"/>
                <w:szCs w:val="19"/>
              </w:rPr>
              <w:t xml:space="preserve">80.1M</w:t>
            </w:r>
          </w:p>
        </w:tc>
        <w:tc>
          <w:tcPr>
            <w:tcW w:type="dxa" w:w="1350"/>
            <w:tcMar>
              <w:top w:type="dxa" w:w="60"/>
              <w:left w:type="dxa" w:w="100"/>
              <w:bottom w:type="dxa" w:w="60"/>
              <w:right w:type="dxa" w:w="100"/>
            </w:tcMar>
            <w:vAlign w:val="center"/>
          </w:tcPr>
          <w:p>
            <w:pPr>
              <w:jc w:val="center"/>
            </w:pPr>
            <w:r>
              <w:rPr>
                <w:b w:val="false"/>
                <w:bCs w:val="false"/>
                <w:color w:val="000000"/>
                <w:sz w:val="19"/>
                <w:szCs w:val="19"/>
              </w:rPr>
              <w:t xml:space="preserve">+22.6%</w:t>
            </w:r>
          </w:p>
        </w:tc>
        <w:tc>
          <w:tcPr>
            <w:tcW w:type="dxa" w:w="1200"/>
            <w:tcMar>
              <w:top w:type="dxa" w:w="60"/>
              <w:left w:type="dxa" w:w="100"/>
              <w:bottom w:type="dxa" w:w="60"/>
              <w:right w:type="dxa" w:w="100"/>
            </w:tcMar>
            <w:vAlign w:val="center"/>
          </w:tcPr>
          <w:p>
            <w:pPr>
              <w:jc w:val="center"/>
            </w:pPr>
            <w:r>
              <w:rPr>
                <w:b w:val="false"/>
                <w:bCs w:val="false"/>
                <w:color w:val="000000"/>
                <w:sz w:val="19"/>
                <w:szCs w:val="19"/>
              </w:rPr>
              <w:t xml:space="preserve">53.2%</w:t>
            </w:r>
          </w:p>
        </w:tc>
      </w:tr>
    </w:tbl>
    <w:p>
      <w:pPr>
        <w:pBdr>
          <w:left w:val="single" w:color="3C8A4C" w:sz="18"/>
        </w:pBdr>
        <w:shd w:fill="EAF3EA" w:val="clear"/>
        <w:spacing w:after="120" w:before="100"/>
        <w:ind w:left="150" w:right="100"/>
      </w:pPr>
      <w:r>
        <w:rPr>
          <w:b/>
          <w:bCs/>
          <w:color w:val="1F5C2E"/>
        </w:rPr>
        <w:t xml:space="preserve">DATA SHOWS: </w:t>
      </w:r>
      <w:r>
        <w:t xml:space="preserve">34 franchises, 98.2M SEK — 15% of core 2025 sales — meet the full Hero/Near-Hero bar. Full list with layer, channel split and FW27 status is in the backup workbook (sheet 'Hero and Near-Hero').</w:t>
      </w:r>
    </w:p>
    <w:p>
      <w:pPr>
        <w:pBdr>
          <w:left w:val="single" w:color="C97A1A" w:sz="18"/>
        </w:pBdr>
        <w:shd w:fill="FCEFDC" w:val="clear"/>
        <w:spacing w:after="120" w:before="100"/>
        <w:ind w:left="150" w:right="100"/>
      </w:pPr>
      <w:r>
        <w:rPr>
          <w:b/>
          <w:bCs/>
          <w:color w:val="8A4B00"/>
        </w:rPr>
        <w:t xml:space="preserve">NOT ANSWERABLE FROM DATA — ASK: </w:t>
      </w:r>
      <w:r>
        <w:t xml:space="preserve">Should the Hero/Near-Hero list be treated as the explicit design basis for FW27/FW28 marketing and content investment (i.e. a formal 'named hero' commercial process), or does the business already run one informally? This is a strategy decision, not a data question. Owner: CEO / Brand &amp; Marketing Director.</w:t>
      </w:r>
    </w:p>
    <w:p>
      <w:r>
        <w:br w:type="page"/>
      </w:r>
    </w:p>
    <w:p>
      <w:pPr>
        <w:pStyle w:val="Heading1"/>
        <w:spacing w:after="160" w:before="320"/>
      </w:pPr>
      <w:r>
        <w:t xml:space="preserve">5. The full 8-tier commercial portfolio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700"/>
        <w:gridCol w:w="1300"/>
        <w:gridCol w:w="1300"/>
        <w:gridCol w:w="1300"/>
        <w:gridCol w:w="1100"/>
        <w:gridCol w:w="1000"/>
      </w:tblGrid>
      <w:tr>
        <w:trPr>
          <w:tblHeader/>
        </w:trPr>
        <w:tc>
          <w:tcPr>
            <w:tcW w:type="dxa" w:w="2650"/>
            <w:shd w:fill="2F2F2F" w:val="clear"/>
            <w:tcMar>
              <w:top w:type="dxa" w:w="60"/>
              <w:left w:type="dxa" w:w="100"/>
              <w:bottom w:type="dxa" w:w="60"/>
              <w:right w:type="dxa" w:w="100"/>
            </w:tcMar>
            <w:vAlign w:val="center"/>
          </w:tcPr>
          <w:p>
            <w:pPr>
              <w:jc w:val="left"/>
            </w:pPr>
            <w:r>
              <w:rPr>
                <w:b/>
                <w:bCs/>
                <w:color w:val="FFFFFF"/>
                <w:sz w:val="19"/>
                <w:szCs w:val="19"/>
              </w:rPr>
              <w:t xml:space="preserve">Tier</w:t>
            </w:r>
          </w:p>
        </w:tc>
        <w:tc>
          <w:tcPr>
            <w:tcW w:type="dxa" w:w="700"/>
            <w:shd w:fill="2F2F2F" w:val="clear"/>
            <w:tcMar>
              <w:top w:type="dxa" w:w="60"/>
              <w:left w:type="dxa" w:w="100"/>
              <w:bottom w:type="dxa" w:w="60"/>
              <w:right w:type="dxa" w:w="100"/>
            </w:tcMar>
            <w:vAlign w:val="center"/>
          </w:tcPr>
          <w:p>
            <w:pPr>
              <w:jc w:val="center"/>
            </w:pPr>
            <w:r>
              <w:rPr>
                <w:b/>
                <w:bCs/>
                <w:color w:val="FFFFFF"/>
                <w:sz w:val="19"/>
                <w:szCs w:val="19"/>
              </w:rPr>
              <w:t xml:space="preserve">N</w:t>
            </w:r>
          </w:p>
        </w:tc>
        <w:tc>
          <w:tcPr>
            <w:tcW w:type="dxa" w:w="1300"/>
            <w:shd w:fill="2F2F2F" w:val="clear"/>
            <w:tcMar>
              <w:top w:type="dxa" w:w="60"/>
              <w:left w:type="dxa" w:w="100"/>
              <w:bottom w:type="dxa" w:w="60"/>
              <w:right w:type="dxa" w:w="100"/>
            </w:tcMar>
            <w:vAlign w:val="center"/>
          </w:tcPr>
          <w:p>
            <w:pPr>
              <w:jc w:val="center"/>
            </w:pPr>
            <w:r>
              <w:rPr>
                <w:b/>
                <w:bCs/>
                <w:color w:val="FFFFFF"/>
                <w:sz w:val="19"/>
                <w:szCs w:val="19"/>
              </w:rPr>
              <w:t xml:space="preserve">Sales 2025</w:t>
            </w:r>
          </w:p>
        </w:tc>
        <w:tc>
          <w:tcPr>
            <w:tcW w:type="dxa" w:w="1300"/>
            <w:shd w:fill="2F2F2F" w:val="clear"/>
            <w:tcMar>
              <w:top w:type="dxa" w:w="60"/>
              <w:left w:type="dxa" w:w="100"/>
              <w:bottom w:type="dxa" w:w="60"/>
              <w:right w:type="dxa" w:w="100"/>
            </w:tcMar>
            <w:vAlign w:val="center"/>
          </w:tcPr>
          <w:p>
            <w:pPr>
              <w:jc w:val="center"/>
            </w:pPr>
            <w:r>
              <w:rPr>
                <w:b/>
                <w:bCs/>
                <w:color w:val="FFFFFF"/>
                <w:sz w:val="19"/>
                <w:szCs w:val="19"/>
              </w:rPr>
              <w:t xml:space="preserve">Sales 2024</w:t>
            </w:r>
          </w:p>
        </w:tc>
        <w:tc>
          <w:tcPr>
            <w:tcW w:type="dxa" w:w="1300"/>
            <w:shd w:fill="2F2F2F" w:val="clear"/>
            <w:tcMar>
              <w:top w:type="dxa" w:w="60"/>
              <w:left w:type="dxa" w:w="100"/>
              <w:bottom w:type="dxa" w:w="60"/>
              <w:right w:type="dxa" w:w="100"/>
            </w:tcMar>
            <w:vAlign w:val="center"/>
          </w:tcPr>
          <w:p>
            <w:pPr>
              <w:jc w:val="center"/>
            </w:pPr>
            <w:r>
              <w:rPr>
                <w:b/>
                <w:bCs/>
                <w:color w:val="FFFFFF"/>
                <w:sz w:val="19"/>
                <w:szCs w:val="19"/>
              </w:rPr>
              <w:t xml:space="preserve">Growth%</w:t>
            </w:r>
          </w:p>
        </w:tc>
        <w:tc>
          <w:tcPr>
            <w:tcW w:type="dxa" w:w="1100"/>
            <w:shd w:fill="2F2F2F" w:val="clear"/>
            <w:tcMar>
              <w:top w:type="dxa" w:w="60"/>
              <w:left w:type="dxa" w:w="100"/>
              <w:bottom w:type="dxa" w:w="60"/>
              <w:right w:type="dxa" w:w="100"/>
            </w:tcMar>
            <w:vAlign w:val="center"/>
          </w:tcPr>
          <w:p>
            <w:pPr>
              <w:jc w:val="center"/>
            </w:pPr>
            <w:r>
              <w:rPr>
                <w:b/>
                <w:bCs/>
                <w:color w:val="FFFFFF"/>
                <w:sz w:val="19"/>
                <w:szCs w:val="19"/>
              </w:rPr>
              <w:t xml:space="preserve">GM% 2025</w:t>
            </w:r>
          </w:p>
        </w:tc>
        <w:tc>
          <w:tcPr>
            <w:tcW w:type="dxa" w:w="1000"/>
            <w:shd w:fill="2F2F2F" w:val="clear"/>
            <w:tcMar>
              <w:top w:type="dxa" w:w="60"/>
              <w:left w:type="dxa" w:w="100"/>
              <w:bottom w:type="dxa" w:w="60"/>
              <w:right w:type="dxa" w:w="100"/>
            </w:tcMar>
            <w:vAlign w:val="center"/>
          </w:tcPr>
          <w:p>
            <w:pPr>
              <w:jc w:val="center"/>
            </w:pPr>
            <w:r>
              <w:rPr>
                <w:b/>
                <w:bCs/>
                <w:color w:val="FFFFFF"/>
                <w:sz w:val="19"/>
                <w:szCs w:val="19"/>
              </w:rPr>
              <w:t xml:space="preserve">SpecialAcctExp%</w:t>
            </w:r>
          </w:p>
        </w:tc>
      </w:tr>
      <w:tr>
        <w:tc>
          <w:tcPr>
            <w:tcW w:type="dxa" w:w="2650"/>
            <w:tcMar>
              <w:top w:type="dxa" w:w="60"/>
              <w:left w:type="dxa" w:w="100"/>
              <w:bottom w:type="dxa" w:w="60"/>
              <w:right w:type="dxa" w:w="100"/>
            </w:tcMar>
            <w:vAlign w:val="center"/>
          </w:tcPr>
          <w:p>
            <w:pPr>
              <w:jc w:val="left"/>
            </w:pPr>
            <w:r>
              <w:rPr>
                <w:b w:val="false"/>
                <w:bCs w:val="false"/>
                <w:color w:val="000000"/>
                <w:sz w:val="19"/>
                <w:szCs w:val="19"/>
              </w:rPr>
              <w:t xml:space="preserve">Workhorse</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202</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197.3M</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168.6M</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+17.1%</w:t>
            </w:r>
          </w:p>
        </w:tc>
        <w:tc>
          <w:tcPr>
            <w:tcW w:type="dxa" w:w="1100"/>
            <w:tcMar>
              <w:top w:type="dxa" w:w="60"/>
              <w:left w:type="dxa" w:w="100"/>
              <w:bottom w:type="dxa" w:w="60"/>
              <w:right w:type="dxa" w:w="100"/>
            </w:tcMar>
            <w:vAlign w:val="center"/>
          </w:tcPr>
          <w:p>
            <w:pPr>
              <w:jc w:val="center"/>
            </w:pPr>
            <w:r>
              <w:rPr>
                <w:b w:val="false"/>
                <w:bCs w:val="false"/>
                <w:color w:val="000000"/>
                <w:sz w:val="19"/>
                <w:szCs w:val="19"/>
              </w:rPr>
              <w:t xml:space="preserve">47.5%</w:t>
            </w:r>
          </w:p>
        </w:tc>
        <w:tc>
          <w:tcPr>
            <w:tcW w:type="dxa" w:w="1000"/>
            <w:tcMar>
              <w:top w:type="dxa" w:w="60"/>
              <w:left w:type="dxa" w:w="100"/>
              <w:bottom w:type="dxa" w:w="60"/>
              <w:right w:type="dxa" w:w="100"/>
            </w:tcMar>
            <w:vAlign w:val="center"/>
          </w:tcPr>
          <w:p>
            <w:pPr>
              <w:jc w:val="center"/>
            </w:pPr>
            <w:r>
              <w:rPr>
                <w:b w:val="false"/>
                <w:bCs w:val="false"/>
                <w:color w:val="000000"/>
                <w:sz w:val="19"/>
                <w:szCs w:val="19"/>
              </w:rPr>
              <w:t xml:space="preserve">check per franchise</w:t>
            </w:r>
          </w:p>
        </w:tc>
      </w:tr>
      <w:tr>
        <w:tc>
          <w:tcPr>
            <w:tcW w:type="dxa" w:w="26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New / Test</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197</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123.9M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2.2M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n/m (new)</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46.4%</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check per franchise</w:t>
            </w:r>
          </w:p>
        </w:tc>
      </w:tr>
      <w:tr>
        <w:tc>
          <w:tcPr>
            <w:tcW w:type="dxa" w:w="2650"/>
            <w:tcMar>
              <w:top w:type="dxa" w:w="60"/>
              <w:left w:type="dxa" w:w="100"/>
              <w:bottom w:type="dxa" w:w="60"/>
              <w:right w:type="dxa" w:w="100"/>
            </w:tcMar>
            <w:vAlign w:val="center"/>
          </w:tcPr>
          <w:p>
            <w:pPr>
              <w:jc w:val="left"/>
            </w:pPr>
            <w:r>
              <w:rPr>
                <w:b w:val="false"/>
                <w:bCs w:val="false"/>
                <w:color w:val="000000"/>
                <w:sz w:val="19"/>
                <w:szCs w:val="19"/>
              </w:rPr>
              <w:t xml:space="preserve">Harvest (Cash Cow)</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236</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120.2M</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216.2M</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−44.4%</w:t>
            </w:r>
          </w:p>
        </w:tc>
        <w:tc>
          <w:tcPr>
            <w:tcW w:type="dxa" w:w="1100"/>
            <w:tcMar>
              <w:top w:type="dxa" w:w="60"/>
              <w:left w:type="dxa" w:w="100"/>
              <w:bottom w:type="dxa" w:w="60"/>
              <w:right w:type="dxa" w:w="100"/>
            </w:tcMar>
            <w:vAlign w:val="center"/>
          </w:tcPr>
          <w:p>
            <w:pPr>
              <w:jc w:val="center"/>
            </w:pPr>
            <w:r>
              <w:rPr>
                <w:b w:val="false"/>
                <w:bCs w:val="false"/>
                <w:color w:val="000000"/>
                <w:sz w:val="19"/>
                <w:szCs w:val="19"/>
              </w:rPr>
              <w:t xml:space="preserve">50.6%</w:t>
            </w:r>
          </w:p>
        </w:tc>
        <w:tc>
          <w:tcPr>
            <w:tcW w:type="dxa" w:w="1000"/>
            <w:tcMar>
              <w:top w:type="dxa" w:w="60"/>
              <w:left w:type="dxa" w:w="100"/>
              <w:bottom w:type="dxa" w:w="60"/>
              <w:right w:type="dxa" w:w="100"/>
            </w:tcMar>
            <w:vAlign w:val="center"/>
          </w:tcPr>
          <w:p>
            <w:pPr>
              <w:jc w:val="center"/>
            </w:pPr>
            <w:r>
              <w:rPr>
                <w:b w:val="false"/>
                <w:bCs w:val="false"/>
                <w:color w:val="000000"/>
                <w:sz w:val="19"/>
                <w:szCs w:val="19"/>
              </w:rPr>
              <w:t xml:space="preserve">check per franchise</w:t>
            </w:r>
          </w:p>
        </w:tc>
      </w:tr>
      <w:tr>
        <w:tc>
          <w:tcPr>
            <w:tcW w:type="dxa" w:w="26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Problem Child</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151</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94.8M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107.4M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−11.8%</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33.4%</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check per franchise</w:t>
            </w:r>
          </w:p>
        </w:tc>
      </w:tr>
      <w:tr>
        <w:tc>
          <w:tcPr>
            <w:tcW w:type="dxa" w:w="2650"/>
            <w:tcMar>
              <w:top w:type="dxa" w:w="60"/>
              <w:left w:type="dxa" w:w="100"/>
              <w:bottom w:type="dxa" w:w="60"/>
              <w:right w:type="dxa" w:w="100"/>
            </w:tcMar>
            <w:vAlign w:val="center"/>
          </w:tcPr>
          <w:p>
            <w:pPr>
              <w:jc w:val="left"/>
            </w:pPr>
            <w:r>
              <w:rPr>
                <w:b w:val="false"/>
                <w:bCs w:val="false"/>
                <w:color w:val="000000"/>
                <w:sz w:val="19"/>
                <w:szCs w:val="19"/>
              </w:rPr>
              <w:t xml:space="preserve">Hero</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17</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73.8M</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62.7M</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+17.7%</w:t>
            </w:r>
          </w:p>
        </w:tc>
        <w:tc>
          <w:tcPr>
            <w:tcW w:type="dxa" w:w="1100"/>
            <w:tcMar>
              <w:top w:type="dxa" w:w="60"/>
              <w:left w:type="dxa" w:w="100"/>
              <w:bottom w:type="dxa" w:w="60"/>
              <w:right w:type="dxa" w:w="100"/>
            </w:tcMar>
            <w:vAlign w:val="center"/>
          </w:tcPr>
          <w:p>
            <w:pPr>
              <w:jc w:val="center"/>
            </w:pPr>
            <w:r>
              <w:rPr>
                <w:b w:val="false"/>
                <w:bCs w:val="false"/>
                <w:color w:val="000000"/>
                <w:sz w:val="19"/>
                <w:szCs w:val="19"/>
              </w:rPr>
              <w:t xml:space="preserve">53.5%</w:t>
            </w:r>
          </w:p>
        </w:tc>
        <w:tc>
          <w:tcPr>
            <w:tcW w:type="dxa" w:w="1000"/>
            <w:tcMar>
              <w:top w:type="dxa" w:w="60"/>
              <w:left w:type="dxa" w:w="100"/>
              <w:bottom w:type="dxa" w:w="60"/>
              <w:right w:type="dxa" w:w="100"/>
            </w:tcMar>
            <w:vAlign w:val="center"/>
          </w:tcPr>
          <w:p>
            <w:pPr>
              <w:jc w:val="center"/>
            </w:pPr>
            <w:r>
              <w:rPr>
                <w:b w:val="false"/>
                <w:bCs w:val="false"/>
                <w:color w:val="000000"/>
                <w:sz w:val="19"/>
                <w:szCs w:val="19"/>
              </w:rPr>
              <w:t xml:space="preserve">check per franchise</w:t>
            </w:r>
          </w:p>
        </w:tc>
      </w:tr>
      <w:tr>
        <w:tc>
          <w:tcPr>
            <w:tcW w:type="dxa" w:w="26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Near-Hero (Rising Star)</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17</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24.1M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17.4M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+38.6%</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52.1%</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check per franchise</w:t>
            </w:r>
          </w:p>
        </w:tc>
      </w:tr>
      <w:tr>
        <w:tc>
          <w:tcPr>
            <w:tcW w:type="dxa" w:w="2650"/>
            <w:tcMar>
              <w:top w:type="dxa" w:w="60"/>
              <w:left w:type="dxa" w:w="100"/>
              <w:bottom w:type="dxa" w:w="60"/>
              <w:right w:type="dxa" w:w="100"/>
            </w:tcMar>
            <w:vAlign w:val="center"/>
          </w:tcPr>
          <w:p>
            <w:pPr>
              <w:jc w:val="left"/>
            </w:pPr>
            <w:r>
              <w:rPr>
                <w:b w:val="false"/>
                <w:bCs w:val="false"/>
                <w:color w:val="000000"/>
                <w:sz w:val="19"/>
                <w:szCs w:val="19"/>
              </w:rPr>
              <w:t xml:space="preserve">Thin / Immaterial</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864</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8.1M</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8.4M</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−3.2%</w:t>
            </w:r>
          </w:p>
        </w:tc>
        <w:tc>
          <w:tcPr>
            <w:tcW w:type="dxa" w:w="1100"/>
            <w:tcMar>
              <w:top w:type="dxa" w:w="60"/>
              <w:left w:type="dxa" w:w="100"/>
              <w:bottom w:type="dxa" w:w="60"/>
              <w:right w:type="dxa" w:w="100"/>
            </w:tcMar>
            <w:vAlign w:val="center"/>
          </w:tcPr>
          <w:p>
            <w:pPr>
              <w:jc w:val="center"/>
            </w:pPr>
            <w:r>
              <w:rPr>
                <w:b w:val="false"/>
                <w:bCs w:val="false"/>
                <w:color w:val="000000"/>
                <w:sz w:val="19"/>
                <w:szCs w:val="19"/>
              </w:rPr>
              <w:t xml:space="preserve">28.4%</w:t>
            </w:r>
          </w:p>
        </w:tc>
        <w:tc>
          <w:tcPr>
            <w:tcW w:type="dxa" w:w="1000"/>
            <w:tcMar>
              <w:top w:type="dxa" w:w="60"/>
              <w:left w:type="dxa" w:w="100"/>
              <w:bottom w:type="dxa" w:w="60"/>
              <w:right w:type="dxa" w:w="100"/>
            </w:tcMar>
            <w:vAlign w:val="center"/>
          </w:tcPr>
          <w:p>
            <w:pPr>
              <w:jc w:val="center"/>
            </w:pPr>
            <w:r>
              <w:rPr>
                <w:b w:val="false"/>
                <w:bCs w:val="false"/>
                <w:color w:val="000000"/>
                <w:sz w:val="19"/>
                <w:szCs w:val="19"/>
              </w:rPr>
              <w:t xml:space="preserve">see Section 9</w:t>
            </w:r>
          </w:p>
        </w:tc>
      </w:tr>
      <w:tr>
        <w:tc>
          <w:tcPr>
            <w:tcW w:type="dxa" w:w="26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Exited</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176</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7.4M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36.6M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n/m (exited)</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40.4%</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n/a</w:t>
            </w:r>
          </w:p>
        </w:tc>
      </w:tr>
      <w:tr>
        <w:tc>
          <w:tcPr>
            <w:tcW w:type="dxa" w:w="2650"/>
            <w:tcMar>
              <w:top w:type="dxa" w:w="60"/>
              <w:left w:type="dxa" w:w="100"/>
              <w:bottom w:type="dxa" w:w="60"/>
              <w:right w:type="dxa" w:w="100"/>
            </w:tcMar>
            <w:vAlign w:val="center"/>
          </w:tcPr>
          <w:p>
            <w:pPr>
              <w:jc w:val="left"/>
            </w:pPr>
            <w:r>
              <w:rPr>
                <w:b w:val="false"/>
                <w:bCs w:val="false"/>
                <w:color w:val="000000"/>
                <w:sz w:val="19"/>
                <w:szCs w:val="19"/>
              </w:rPr>
              <w:t xml:space="preserve">TOTAL</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1,860</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649.8M</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629.2M</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+3.3%</w:t>
            </w:r>
          </w:p>
        </w:tc>
        <w:tc>
          <w:tcPr>
            <w:tcW w:type="dxa" w:w="1100"/>
            <w:tcMar>
              <w:top w:type="dxa" w:w="60"/>
              <w:left w:type="dxa" w:w="100"/>
              <w:bottom w:type="dxa" w:w="60"/>
              <w:right w:type="dxa" w:w="100"/>
            </w:tcMar>
            <w:vAlign w:val="center"/>
          </w:tcPr>
          <w:p>
            <w:pPr>
              <w:jc w:val="center"/>
            </w:pPr>
            <w:r>
              <w:rPr>
                <w:b w:val="false"/>
                <w:bCs w:val="false"/>
                <w:color w:val="000000"/>
                <w:sz w:val="19"/>
                <w:szCs w:val="19"/>
              </w:rPr>
              <w:t xml:space="preserve">45.9%</w:t>
            </w:r>
          </w:p>
        </w:tc>
        <w:tc>
          <w:tcPr>
            <w:tcW w:type="dxa" w:w="1000"/>
            <w:tcMar>
              <w:top w:type="dxa" w:w="60"/>
              <w:left w:type="dxa" w:w="100"/>
              <w:bottom w:type="dxa" w:w="60"/>
              <w:right w:type="dxa" w:w="100"/>
            </w:tcMar>
            <w:vAlign w:val="center"/>
          </w:tcPr>
          <w:p>
            <w:pPr>
              <w:jc w:val="center"/>
            </w:pPr>
            <w:r>
              <w:rPr>
                <w:b w:val="false"/>
                <w:bCs w:val="false"/>
                <w:color w:val="000000"/>
                <w:sz w:val="19"/>
                <w:szCs w:val="19"/>
              </w:rPr>
              <w:t xml:space="preserve">—</w:t>
            </w:r>
          </w:p>
        </w:tc>
      </w:tr>
    </w:tbl>
    <w:p>
      <w:pPr>
        <w:spacing w:after="200"/>
      </w:pPr>
      <w:r>
        <w:rPr>
          <w:i/>
          <w:iCs/>
          <w:color w:val="555555"/>
          <w:sz w:val="18"/>
          <w:szCs w:val="18"/>
        </w:rPr>
        <w:t xml:space="preserve">Full 1,860-row detail with every metric and tier assignment is in the backup workbook, sheet 'Full Portfolio (1860)'. Tier definitions and thresholds: sheet 'Tier Definitions'.</w:t>
      </w:r>
    </w:p>
    <w:p>
      <w:pPr>
        <w:pBdr>
          <w:left w:val="single" w:color="3C8A4C" w:sz="18"/>
        </w:pBdr>
        <w:shd w:fill="EAF3EA" w:val="clear"/>
        <w:spacing w:after="120" w:before="100"/>
        <w:ind w:left="150" w:right="100"/>
      </w:pPr>
      <w:r>
        <w:rPr>
          <w:b/>
          <w:bCs/>
          <w:color w:val="1F5C2E"/>
        </w:rPr>
        <w:t xml:space="preserve">DATA SHOWS: </w:t>
      </w:r>
      <w:r>
        <w:t xml:space="preserve">Read the shape, not just the tiers individually: the two largest tiers by revenue (Workhorse, 197.3M; New/Test, 123.9M) are both healthy and growing. The third and fourth largest (Harvest, 120.2M; Problem Child, 94.8M) are both shrinking. Hero/Near-Hero, the smallest 'good' tier by count, punches well above its 34-franchise size on margin quality. The long tail (Thin + Exited, 1,040 franchises) is 15.5M SEK combined — 2.4% of core sales — confirming it is safe to manage with a small number of default rules rather than 1,040 individual decisions (Section 9).</w:t>
      </w:r>
    </w:p>
    <w:p>
      <w:pPr>
        <w:pStyle w:val="Heading1"/>
        <w:spacing w:after="160" w:before="320"/>
      </w:pPr>
      <w:r>
        <w:t xml:space="preserve">6. Problem Child (151 franchises, 94.8M SEK, GM 33.4%): two different problems</w:t>
      </w:r>
    </w:p>
    <w:p>
      <w:pPr>
        <w:spacing w:after="160"/>
      </w:pPr>
      <w:r>
        <w:t xml:space="preserve">Every Problem Child franchise was split by where its sales actually land, because a low blended margin can mean two very different things: a genuine core-channel pricing/cost problem, or a franchise that has effectively already migrated to outlet/special-account channels (where low margin is expected and not a discipline failure, per the Item 1 special-account findings).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1300"/>
        <w:gridCol w:w="4950"/>
      </w:tblGrid>
      <w:tr>
        <w:trPr>
          <w:tblHeader/>
        </w:trPr>
        <w:tc>
          <w:tcPr>
            <w:tcW w:type="dxa" w:w="2400"/>
            <w:shd w:fill="2F2F2F" w:val="clear"/>
            <w:tcMar>
              <w:top w:type="dxa" w:w="60"/>
              <w:left w:type="dxa" w:w="100"/>
              <w:bottom w:type="dxa" w:w="60"/>
              <w:right w:type="dxa" w:w="100"/>
            </w:tcMar>
            <w:vAlign w:val="center"/>
          </w:tcPr>
          <w:p>
            <w:pPr>
              <w:jc w:val="left"/>
            </w:pPr>
            <w:r>
              <w:rPr>
                <w:b/>
                <w:bCs/>
                <w:color w:val="FFFFFF"/>
                <w:sz w:val="19"/>
                <w:szCs w:val="19"/>
              </w:rPr>
              <w:t xml:space="preserve">Bucket</w:t>
            </w:r>
          </w:p>
        </w:tc>
        <w:tc>
          <w:tcPr>
            <w:tcW w:type="dxa" w:w="700"/>
            <w:shd w:fill="2F2F2F" w:val="clear"/>
            <w:tcMar>
              <w:top w:type="dxa" w:w="60"/>
              <w:left w:type="dxa" w:w="100"/>
              <w:bottom w:type="dxa" w:w="60"/>
              <w:right w:type="dxa" w:w="100"/>
            </w:tcMar>
            <w:vAlign w:val="center"/>
          </w:tcPr>
          <w:p>
            <w:pPr>
              <w:jc w:val="center"/>
            </w:pPr>
            <w:r>
              <w:rPr>
                <w:b/>
                <w:bCs/>
                <w:color w:val="FFFFFF"/>
                <w:sz w:val="19"/>
                <w:szCs w:val="19"/>
              </w:rPr>
              <w:t xml:space="preserve">N</w:t>
            </w:r>
          </w:p>
        </w:tc>
        <w:tc>
          <w:tcPr>
            <w:tcW w:type="dxa" w:w="1300"/>
            <w:shd w:fill="2F2F2F" w:val="clear"/>
            <w:tcMar>
              <w:top w:type="dxa" w:w="60"/>
              <w:left w:type="dxa" w:w="100"/>
              <w:bottom w:type="dxa" w:w="60"/>
              <w:right w:type="dxa" w:w="100"/>
            </w:tcMar>
            <w:vAlign w:val="center"/>
          </w:tcPr>
          <w:p>
            <w:pPr>
              <w:jc w:val="center"/>
            </w:pPr>
            <w:r>
              <w:rPr>
                <w:b/>
                <w:bCs/>
                <w:color w:val="FFFFFF"/>
                <w:sz w:val="19"/>
                <w:szCs w:val="19"/>
              </w:rPr>
              <w:t xml:space="preserve">Sales 2025</w:t>
            </w:r>
          </w:p>
        </w:tc>
        <w:tc>
          <w:tcPr>
            <w:tcW w:type="dxa" w:w="4950"/>
            <w:shd w:fill="2F2F2F" w:val="clear"/>
            <w:tcMar>
              <w:top w:type="dxa" w:w="60"/>
              <w:left w:type="dxa" w:w="100"/>
              <w:bottom w:type="dxa" w:w="60"/>
              <w:right w:type="dxa" w:w="100"/>
            </w:tcMar>
            <w:vAlign w:val="center"/>
          </w:tcPr>
          <w:p>
            <w:pPr>
              <w:jc w:val="center"/>
            </w:pPr>
            <w:r>
              <w:rPr>
                <w:b/>
                <w:bCs/>
                <w:color w:val="FFFFFF"/>
                <w:sz w:val="19"/>
                <w:szCs w:val="19"/>
              </w:rPr>
              <w:t xml:space="preserve">Read</w:t>
            </w:r>
          </w:p>
        </w:tc>
      </w:tr>
      <w:tr>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Core Pricing Fix</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129</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88.5M</w:t>
            </w:r>
          </w:p>
        </w:tc>
        <w:tc>
          <w:tcPr>
            <w:tcW w:type="dxa" w:w="4950"/>
            <w:tcMar>
              <w:top w:type="dxa" w:w="60"/>
              <w:left w:type="dxa" w:w="100"/>
              <w:bottom w:type="dxa" w:w="60"/>
              <w:right w:type="dxa" w:w="100"/>
            </w:tcMar>
            <w:vAlign w:val="center"/>
          </w:tcPr>
          <w:p>
            <w:pPr>
              <w:jc w:val="center"/>
            </w:pPr>
            <w:r>
              <w:rPr>
                <w:b w:val="false"/>
                <w:bCs w:val="false"/>
                <w:color w:val="000000"/>
                <w:sz w:val="19"/>
                <w:szCs w:val="19"/>
              </w:rPr>
              <w:t xml:space="preserve">Genuine core-channel margin problem — pricing, discount discipline, or cost, needs a per-franchise or per-layer fix</w:t>
            </w:r>
          </w:p>
        </w:tc>
      </w:tr>
      <w:tr>
        <w:tc>
          <w:tcPr>
            <w:tcW w:type="dxa" w:w="24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Outlet-Migrated</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22</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6.3M</w:t>
            </w:r>
          </w:p>
        </w:tc>
        <w:tc>
          <w:tcPr>
            <w:tcW w:type="dxa" w:w="49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Sales concentrated in outlet/special accounts — the low margin is structural, not a discipline failure; re-tag rather than 'fix'</w:t>
            </w:r>
          </w:p>
        </w:tc>
      </w:tr>
      <w:tr>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Not in FW27 (subset of above)</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49</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15.4M</w:t>
            </w:r>
          </w:p>
        </w:tc>
        <w:tc>
          <w:tcPr>
            <w:tcW w:type="dxa" w:w="4950"/>
            <w:tcMar>
              <w:top w:type="dxa" w:w="60"/>
              <w:left w:type="dxa" w:w="100"/>
              <w:bottom w:type="dxa" w:w="60"/>
              <w:right w:type="dxa" w:w="100"/>
            </w:tcMar>
            <w:vAlign w:val="center"/>
          </w:tcPr>
          <w:p>
            <w:pPr>
              <w:jc w:val="center"/>
            </w:pPr>
            <w:r>
              <w:rPr>
                <w:b w:val="false"/>
                <w:bCs w:val="false"/>
                <w:color w:val="000000"/>
                <w:sz w:val="19"/>
                <w:szCs w:val="19"/>
              </w:rPr>
              <w:t xml:space="preserve">No confirmed FW27 continuation found — cross-referenced in Section 10's consolidated list</w:t>
            </w:r>
          </w:p>
        </w:tc>
      </w:tr>
    </w:tbl>
    <w:p>
      <w:pPr>
        <w:pBdr>
          <w:left w:val="single" w:color="3C8A4C" w:sz="18"/>
        </w:pBdr>
        <w:shd w:fill="EAF3EA" w:val="clear"/>
        <w:spacing w:after="120" w:before="100"/>
        <w:ind w:left="150" w:right="100"/>
      </w:pPr>
      <w:r>
        <w:rPr>
          <w:b/>
          <w:bCs/>
          <w:color w:val="1F5C2E"/>
        </w:rPr>
        <w:t xml:space="preserve">DATA SHOWS: </w:t>
      </w:r>
      <w:r>
        <w:t xml:space="preserve">129 franchises worth 88.5M SEK — 93% of Problem Child sales — are a real core-channel pricing/margin problem, not an outlet-migration artifact. This is the single largest concentrated pricing-discipline opportunity found anywhere in the portfolio classification (larger in SEK terms than the ~16M SEK found in Item 2's channel-level ASP analysis, because Item 2 looked at aggregate channel trend while this looks at which specific franchises are structurally below the 40% GM floor).</w:t>
      </w:r>
    </w:p>
    <w:p>
      <w:pPr>
        <w:pBdr>
          <w:left w:val="single" w:color="C97A1A" w:sz="18"/>
        </w:pBdr>
        <w:shd w:fill="FCEFDC" w:val="clear"/>
        <w:spacing w:after="120" w:before="100"/>
        <w:ind w:left="150" w:right="100"/>
      </w:pPr>
      <w:r>
        <w:rPr>
          <w:b/>
          <w:bCs/>
          <w:color w:val="8A4B00"/>
        </w:rPr>
        <w:t xml:space="preserve">NOT ANSWERABLE FROM DATA — ASK: </w:t>
      </w:r>
      <w:r>
        <w:t xml:space="preserve">For the 129 Core Pricing Fix franchises, is the fix pricing (raise), cost (reduce), or exit (the product doesn't clear a viable margin at any realistic price)? This needs a merchandising/product judgment call per franchise or per layer group, not a single company-wide answer. Owner: CPO, with Merchandising Director on pricing feasibility.</w:t>
      </w:r>
    </w:p>
    <w:p>
      <w:r>
        <w:br w:type="page"/>
      </w:r>
    </w:p>
    <w:p>
      <w:pPr>
        <w:pStyle w:val="Heading1"/>
        <w:spacing w:after="160" w:before="320"/>
      </w:pPr>
      <w:r>
        <w:t xml:space="preserve">7. Workhorse (202 franchises, 197.3M SEK, GM 47.5%): the single-channel scale-up opportunity</w:t>
      </w:r>
    </w:p>
    <w:p>
      <w:pPr>
        <w:spacing w:after="160"/>
      </w:pPr>
      <w:r>
        <w:t xml:space="preserve">Workhorse is the largest tier by revenue and structurally healthy (margin and growth both clear the bar). The addressable opportunity here is not fixing a problem — it's closing a gap: which Workhorse franchises are selling well in one channel but are effectively absent from the other.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700"/>
        <w:gridCol w:w="1300"/>
        <w:gridCol w:w="3750"/>
      </w:tblGrid>
      <w:tr>
        <w:trPr>
          <w:tblHeader/>
        </w:trPr>
        <w:tc>
          <w:tcPr>
            <w:tcW w:type="dxa" w:w="3600"/>
            <w:shd w:fill="2F2F2F" w:val="clear"/>
            <w:tcMar>
              <w:top w:type="dxa" w:w="60"/>
              <w:left w:type="dxa" w:w="100"/>
              <w:bottom w:type="dxa" w:w="60"/>
              <w:right w:type="dxa" w:w="100"/>
            </w:tcMar>
            <w:vAlign w:val="center"/>
          </w:tcPr>
          <w:p>
            <w:pPr>
              <w:jc w:val="left"/>
            </w:pPr>
            <w:r>
              <w:rPr>
                <w:b/>
                <w:bCs/>
                <w:color w:val="FFFFFF"/>
                <w:sz w:val="19"/>
                <w:szCs w:val="19"/>
              </w:rPr>
              <w:t xml:space="preserve">Cut</w:t>
            </w:r>
          </w:p>
        </w:tc>
        <w:tc>
          <w:tcPr>
            <w:tcW w:type="dxa" w:w="700"/>
            <w:shd w:fill="2F2F2F" w:val="clear"/>
            <w:tcMar>
              <w:top w:type="dxa" w:w="60"/>
              <w:left w:type="dxa" w:w="100"/>
              <w:bottom w:type="dxa" w:w="60"/>
              <w:right w:type="dxa" w:w="100"/>
            </w:tcMar>
            <w:vAlign w:val="center"/>
          </w:tcPr>
          <w:p>
            <w:pPr>
              <w:jc w:val="center"/>
            </w:pPr>
            <w:r>
              <w:rPr>
                <w:b/>
                <w:bCs/>
                <w:color w:val="FFFFFF"/>
                <w:sz w:val="19"/>
                <w:szCs w:val="19"/>
              </w:rPr>
              <w:t xml:space="preserve">N</w:t>
            </w:r>
          </w:p>
        </w:tc>
        <w:tc>
          <w:tcPr>
            <w:tcW w:type="dxa" w:w="1300"/>
            <w:shd w:fill="2F2F2F" w:val="clear"/>
            <w:tcMar>
              <w:top w:type="dxa" w:w="60"/>
              <w:left w:type="dxa" w:w="100"/>
              <w:bottom w:type="dxa" w:w="60"/>
              <w:right w:type="dxa" w:w="100"/>
            </w:tcMar>
            <w:vAlign w:val="center"/>
          </w:tcPr>
          <w:p>
            <w:pPr>
              <w:jc w:val="center"/>
            </w:pPr>
            <w:r>
              <w:rPr>
                <w:b/>
                <w:bCs/>
                <w:color w:val="FFFFFF"/>
                <w:sz w:val="19"/>
                <w:szCs w:val="19"/>
              </w:rPr>
              <w:t xml:space="preserve">Sales 2025</w:t>
            </w:r>
          </w:p>
        </w:tc>
        <w:tc>
          <w:tcPr>
            <w:tcW w:type="dxa" w:w="3750"/>
            <w:shd w:fill="2F2F2F" w:val="clear"/>
            <w:tcMar>
              <w:top w:type="dxa" w:w="60"/>
              <w:left w:type="dxa" w:w="100"/>
              <w:bottom w:type="dxa" w:w="60"/>
              <w:right w:type="dxa" w:w="100"/>
            </w:tcMar>
            <w:vAlign w:val="center"/>
          </w:tcPr>
          <w:p>
            <w:pPr>
              <w:jc w:val="center"/>
            </w:pPr>
            <w:r>
              <w:rPr>
                <w:b/>
                <w:bCs/>
                <w:color w:val="FFFFFF"/>
                <w:sz w:val="19"/>
                <w:szCs w:val="19"/>
              </w:rPr>
              <w:t xml:space="preserve">Detail</w:t>
            </w:r>
          </w:p>
        </w:tc>
      </w:tr>
      <w:tr>
        <w:tc>
          <w:tcPr>
            <w:tcW w:type="dxa" w:w="3600"/>
            <w:tcMar>
              <w:top w:type="dxa" w:w="60"/>
              <w:left w:type="dxa" w:w="100"/>
              <w:bottom w:type="dxa" w:w="60"/>
              <w:right w:type="dxa" w:w="100"/>
            </w:tcMar>
            <w:vAlign w:val="center"/>
          </w:tcPr>
          <w:p>
            <w:pPr>
              <w:jc w:val="left"/>
            </w:pPr>
            <w:r>
              <w:rPr>
                <w:b w:val="false"/>
                <w:bCs w:val="false"/>
                <w:color w:val="000000"/>
                <w:sz w:val="19"/>
                <w:szCs w:val="19"/>
              </w:rPr>
              <w:t xml:space="preserve">Single-channel (missing WS or DTC entirely)</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90</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31.0M</w:t>
            </w:r>
          </w:p>
        </w:tc>
        <w:tc>
          <w:tcPr>
            <w:tcW w:type="dxa" w:w="3750"/>
            <w:tcMar>
              <w:top w:type="dxa" w:w="60"/>
              <w:left w:type="dxa" w:w="100"/>
              <w:bottom w:type="dxa" w:w="60"/>
              <w:right w:type="dxa" w:w="100"/>
            </w:tcMar>
            <w:vAlign w:val="center"/>
          </w:tcPr>
          <w:p>
            <w:pPr>
              <w:jc w:val="center"/>
            </w:pPr>
            <w:r>
              <w:rPr>
                <w:b w:val="false"/>
                <w:bCs w:val="false"/>
                <w:color w:val="000000"/>
                <w:sz w:val="19"/>
                <w:szCs w:val="19"/>
              </w:rPr>
              <w:t xml:space="preserve">52 Wholesale-missing (DTC only) / 38 DTC-missing (Wholesale only)</w:t>
            </w:r>
          </w:p>
        </w:tc>
      </w:tr>
      <w:tr>
        <w:tc>
          <w:tcPr>
            <w:tcW w:type="dxa" w:w="36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Clean scale-up shortlist (near-miss: missing channel already ≥20% of the way to a real presence)</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57</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21.9M</w:t>
            </w:r>
          </w:p>
        </w:tc>
        <w:tc>
          <w:tcPr>
            <w:tcW w:type="dxa" w:w="37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1.85M SEK combined gap to cross the channel-presence bar (Wholesale &gt;100K SEK or DTC &gt;50K SEK) — not a scale-to-2M-SEK story</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700"/>
        <w:gridCol w:w="900"/>
        <w:gridCol w:w="2750"/>
      </w:tblGrid>
      <w:tr>
        <w:trPr>
          <w:tblHeader/>
        </w:trPr>
        <w:tc>
          <w:tcPr>
            <w:tcW w:type="dxa" w:w="5700"/>
            <w:shd w:fill="2F2F2F" w:val="clear"/>
            <w:tcMar>
              <w:top w:type="dxa" w:w="60"/>
              <w:left w:type="dxa" w:w="100"/>
              <w:bottom w:type="dxa" w:w="60"/>
              <w:right w:type="dxa" w:w="100"/>
            </w:tcMar>
            <w:vAlign w:val="center"/>
          </w:tcPr>
          <w:p>
            <w:pPr>
              <w:jc w:val="left"/>
            </w:pPr>
            <w:r>
              <w:rPr>
                <w:b/>
                <w:bCs/>
                <w:color w:val="FFFFFF"/>
                <w:sz w:val="19"/>
                <w:szCs w:val="19"/>
              </w:rPr>
              <w:t xml:space="preserve">Lever needed (shortlist of 57)</w:t>
            </w:r>
          </w:p>
        </w:tc>
        <w:tc>
          <w:tcPr>
            <w:tcW w:type="dxa" w:w="900"/>
            <w:shd w:fill="2F2F2F" w:val="clear"/>
            <w:tcMar>
              <w:top w:type="dxa" w:w="60"/>
              <w:left w:type="dxa" w:w="100"/>
              <w:bottom w:type="dxa" w:w="60"/>
              <w:right w:type="dxa" w:w="100"/>
            </w:tcMar>
            <w:vAlign w:val="center"/>
          </w:tcPr>
          <w:p>
            <w:pPr>
              <w:jc w:val="center"/>
            </w:pPr>
            <w:r>
              <w:rPr>
                <w:b/>
                <w:bCs/>
                <w:color w:val="FFFFFF"/>
                <w:sz w:val="19"/>
                <w:szCs w:val="19"/>
              </w:rPr>
              <w:t xml:space="preserve">N</w:t>
            </w:r>
          </w:p>
        </w:tc>
        <w:tc>
          <w:tcPr>
            <w:tcW w:type="dxa" w:w="2750"/>
            <w:shd w:fill="2F2F2F" w:val="clear"/>
            <w:tcMar>
              <w:top w:type="dxa" w:w="60"/>
              <w:left w:type="dxa" w:w="100"/>
              <w:bottom w:type="dxa" w:w="60"/>
              <w:right w:type="dxa" w:w="100"/>
            </w:tcMar>
            <w:vAlign w:val="center"/>
          </w:tcPr>
          <w:p>
            <w:pPr>
              <w:jc w:val="center"/>
            </w:pPr>
            <w:r>
              <w:rPr>
                <w:b/>
                <w:bCs/>
                <w:color w:val="FFFFFF"/>
                <w:sz w:val="19"/>
                <w:szCs w:val="19"/>
              </w:rPr>
              <w:t xml:space="preserve">Sales 2025</w:t>
            </w:r>
          </w:p>
        </w:tc>
      </w:tr>
      <w:tr>
        <w:tc>
          <w:tcPr>
            <w:tcW w:type="dxa" w:w="5700"/>
            <w:tcMar>
              <w:top w:type="dxa" w:w="60"/>
              <w:left w:type="dxa" w:w="100"/>
              <w:bottom w:type="dxa" w:w="60"/>
              <w:right w:type="dxa" w:w="100"/>
            </w:tcMar>
            <w:vAlign w:val="center"/>
          </w:tcPr>
          <w:p>
            <w:pPr>
              <w:jc w:val="left"/>
            </w:pPr>
            <w:r>
              <w:rPr>
                <w:b w:val="false"/>
                <w:bCs w:val="false"/>
                <w:color w:val="000000"/>
                <w:sz w:val="19"/>
                <w:szCs w:val="19"/>
              </w:rPr>
              <w:t xml:space="preserve">Wholesale distribution (DTC already works, Wholesale near-miss)</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39</w:t>
            </w:r>
          </w:p>
        </w:tc>
        <w:tc>
          <w:tcPr>
            <w:tcW w:type="dxa" w:w="2750"/>
            <w:tcMar>
              <w:top w:type="dxa" w:w="60"/>
              <w:left w:type="dxa" w:w="100"/>
              <w:bottom w:type="dxa" w:w="60"/>
              <w:right w:type="dxa" w:w="100"/>
            </w:tcMar>
            <w:vAlign w:val="center"/>
          </w:tcPr>
          <w:p>
            <w:pPr>
              <w:jc w:val="center"/>
            </w:pPr>
            <w:r>
              <w:rPr>
                <w:b w:val="false"/>
                <w:bCs w:val="false"/>
                <w:color w:val="000000"/>
                <w:sz w:val="19"/>
                <w:szCs w:val="19"/>
              </w:rPr>
              <w:t xml:space="preserve">9.9M</w:t>
            </w:r>
          </w:p>
        </w:tc>
      </w:tr>
      <w:tr>
        <w:tc>
          <w:tcPr>
            <w:tcW w:type="dxa" w:w="57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DTC content/marketing (Wholesale already works, DTC near-miss)</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18</w:t>
            </w:r>
          </w:p>
        </w:tc>
        <w:tc>
          <w:tcPr>
            <w:tcW w:type="dxa" w:w="27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12.0M</w:t>
            </w:r>
          </w:p>
        </w:tc>
      </w:tr>
    </w:tbl>
    <w:p>
      <w:pPr>
        <w:pBdr>
          <w:left w:val="single" w:color="3C8A4C" w:sz="18"/>
        </w:pBdr>
        <w:shd w:fill="EAF3EA" w:val="clear"/>
        <w:spacing w:after="120" w:before="100"/>
        <w:ind w:left="150" w:right="100"/>
      </w:pPr>
      <w:r>
        <w:rPr>
          <w:b/>
          <w:bCs/>
          <w:color w:val="1F5C2E"/>
        </w:rPr>
        <w:t xml:space="preserve">DATA SHOWS: </w:t>
      </w:r>
      <w:r>
        <w:t xml:space="preserve">This is a concrete, low-ambiguity list: 57 named franchises, each already proven in one channel and sitting at an average 54-63% of the volume needed to count as a genuine presence in the other (Wholesale &gt;100K SEK, DTC &gt;50K SEK — the same thresholds used for the Hero cross-channel test in Section 4). The combined gap to close is only 1.85M SEK, not the 39.5M-SEK 'headroom to Hero scale' figure in an earlier draft of this section — that number came from a different, unrelated cut (Workhorse franchises already selling in both channels but under 2M SEK) that this section's text had mislabeled as the single-channel shortlist. Corrected here; full detail in the backup workbook.</w:t>
      </w:r>
    </w:p>
    <w:p>
      <w:pPr>
        <w:spacing w:after="200"/>
      </w:pPr>
      <w:r>
        <w:rPr>
          <w:i/>
          <w:iCs/>
          <w:color w:val="555555"/>
          <w:sz w:val="18"/>
          <w:szCs w:val="18"/>
        </w:rPr>
        <w:t xml:space="preserve">A further 12 franchises (0.66M SEK) are near-miss on the smaller of the two thresholds only because their total scale is tiny (small-ticket accessories — shoelaces, headbands, a facemask) and clear neither channel's bar outright. These are excluded from the 57-franchise shortlist above: the fix for them isn't a specific channel lever, it's a different question (why this SKU is this small at all), so bundling them into the Wholesale/DTC lever count would overstate how 'clean' that list is.</w:t>
      </w:r>
    </w:p>
    <w:p>
      <w:pPr>
        <w:pBdr>
          <w:left w:val="single" w:color="C97A1A" w:sz="18"/>
        </w:pBdr>
        <w:shd w:fill="FCEFDC" w:val="clear"/>
        <w:spacing w:after="120" w:before="100"/>
        <w:ind w:left="150" w:right="100"/>
      </w:pPr>
      <w:r>
        <w:rPr>
          <w:b/>
          <w:bCs/>
          <w:color w:val="8A4B00"/>
        </w:rPr>
        <w:t xml:space="preserve">NOT ANSWERABLE FROM DATA — ASK: </w:t>
      </w:r>
      <w:r>
        <w:t xml:space="preserve">For the 39 franchises needing Wholesale distribution specifically — is the gap a listing/account problem (Sales can act on this directly) or a genuine lack of Wholesale buyer interest in the product (a product/positioning problem)? Owner: Wholesale Director.</w:t>
      </w:r>
    </w:p>
    <w:p>
      <w:pPr>
        <w:pStyle w:val="Heading1"/>
        <w:spacing w:after="160" w:before="320"/>
      </w:pPr>
      <w:r>
        <w:t xml:space="preserve">8. Harvest (236 franchises, 120.2M SEK, GM 50.6%): the biggest revenue swing in the portfolio</w:t>
      </w:r>
    </w:p>
    <w:p>
      <w:pPr>
        <w:spacing w:after="160"/>
      </w:pPr>
      <w:r>
        <w:t xml:space="preserve">Harvest lost more absolute revenue year-over-year than any other tier — 216.2M SEK in 2024 down to 120.2M in 2025 — while holding a healthy 50.6% margin. This is not a margin problem; it's a volume/relevance problem on product that is still profitable per unit sold.</w:t>
      </w:r>
    </w:p>
    <w:p>
      <w:pPr>
        <w:pBdr>
          <w:left w:val="single" w:color="3C8A4C" w:sz="18"/>
        </w:pBdr>
        <w:shd w:fill="EAF3EA" w:val="clear"/>
        <w:spacing w:after="120" w:before="100"/>
        <w:ind w:left="150" w:right="100"/>
      </w:pPr>
      <w:r>
        <w:rPr>
          <w:b/>
          <w:bCs/>
          <w:color w:val="1F5C2E"/>
        </w:rPr>
        <w:t xml:space="preserve">DATA SHOWS: </w:t>
      </w:r>
      <w:r>
        <w:t xml:space="preserve">An early pass looking for 'sibling' franchises (older/newer naming variants within Harvest that might explain the decline as a version-transition rather than genuine decline) initially found 83 apparent matches worth 57.7M SEK using a loose first-word match — but this was a false positive: the matched words were Haglöfs collection prefixes (L.I.M, ROC, Mimic, Rugged), not real family names. Corrected to exact Base-name matching, only 4 genuine sibling pairs were found. The Harvest decline is overwhelmingly genuine demand/relevance loss, not an artifact of miscounted product-version transitions.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700"/>
        <w:gridCol w:w="1300"/>
        <w:gridCol w:w="3750"/>
      </w:tblGrid>
      <w:tr>
        <w:trPr>
          <w:tblHeader/>
        </w:trPr>
        <w:tc>
          <w:tcPr>
            <w:tcW w:type="dxa" w:w="3600"/>
            <w:shd w:fill="2F2F2F" w:val="clear"/>
            <w:tcMar>
              <w:top w:type="dxa" w:w="60"/>
              <w:left w:type="dxa" w:w="100"/>
              <w:bottom w:type="dxa" w:w="60"/>
              <w:right w:type="dxa" w:w="100"/>
            </w:tcMar>
            <w:vAlign w:val="center"/>
          </w:tcPr>
          <w:p>
            <w:pPr>
              <w:jc w:val="left"/>
            </w:pPr>
            <w:r>
              <w:rPr>
                <w:b/>
                <w:bCs/>
                <w:color w:val="FFFFFF"/>
                <w:sz w:val="19"/>
                <w:szCs w:val="19"/>
              </w:rPr>
              <w:t xml:space="preserve">Cut</w:t>
            </w:r>
          </w:p>
        </w:tc>
        <w:tc>
          <w:tcPr>
            <w:tcW w:type="dxa" w:w="700"/>
            <w:shd w:fill="2F2F2F" w:val="clear"/>
            <w:tcMar>
              <w:top w:type="dxa" w:w="60"/>
              <w:left w:type="dxa" w:w="100"/>
              <w:bottom w:type="dxa" w:w="60"/>
              <w:right w:type="dxa" w:w="100"/>
            </w:tcMar>
            <w:vAlign w:val="center"/>
          </w:tcPr>
          <w:p>
            <w:pPr>
              <w:jc w:val="center"/>
            </w:pPr>
            <w:r>
              <w:rPr>
                <w:b/>
                <w:bCs/>
                <w:color w:val="FFFFFF"/>
                <w:sz w:val="19"/>
                <w:szCs w:val="19"/>
              </w:rPr>
              <w:t xml:space="preserve">N</w:t>
            </w:r>
          </w:p>
        </w:tc>
        <w:tc>
          <w:tcPr>
            <w:tcW w:type="dxa" w:w="1300"/>
            <w:shd w:fill="2F2F2F" w:val="clear"/>
            <w:tcMar>
              <w:top w:type="dxa" w:w="60"/>
              <w:left w:type="dxa" w:w="100"/>
              <w:bottom w:type="dxa" w:w="60"/>
              <w:right w:type="dxa" w:w="100"/>
            </w:tcMar>
            <w:vAlign w:val="center"/>
          </w:tcPr>
          <w:p>
            <w:pPr>
              <w:jc w:val="center"/>
            </w:pPr>
            <w:r>
              <w:rPr>
                <w:b/>
                <w:bCs/>
                <w:color w:val="FFFFFF"/>
                <w:sz w:val="19"/>
                <w:szCs w:val="19"/>
              </w:rPr>
              <w:t xml:space="preserve">Sales 2025</w:t>
            </w:r>
          </w:p>
        </w:tc>
        <w:tc>
          <w:tcPr>
            <w:tcW w:type="dxa" w:w="3750"/>
            <w:shd w:fill="2F2F2F" w:val="clear"/>
            <w:tcMar>
              <w:top w:type="dxa" w:w="60"/>
              <w:left w:type="dxa" w:w="100"/>
              <w:bottom w:type="dxa" w:w="60"/>
              <w:right w:type="dxa" w:w="100"/>
            </w:tcMar>
            <w:vAlign w:val="center"/>
          </w:tcPr>
          <w:p>
            <w:pPr>
              <w:jc w:val="center"/>
            </w:pPr>
            <w:r>
              <w:rPr>
                <w:b/>
                <w:bCs/>
                <w:color w:val="FFFFFF"/>
                <w:sz w:val="19"/>
                <w:szCs w:val="19"/>
              </w:rPr>
              <w:t xml:space="preserve">Read</w:t>
            </w:r>
          </w:p>
        </w:tc>
      </w:tr>
      <w:tr>
        <w:tc>
          <w:tcPr>
            <w:tcW w:type="dxa" w:w="3600"/>
            <w:tcMar>
              <w:top w:type="dxa" w:w="60"/>
              <w:left w:type="dxa" w:w="100"/>
              <w:bottom w:type="dxa" w:w="60"/>
              <w:right w:type="dxa" w:w="100"/>
            </w:tcMar>
            <w:vAlign w:val="center"/>
          </w:tcPr>
          <w:p>
            <w:pPr>
              <w:jc w:val="left"/>
            </w:pPr>
            <w:r>
              <w:rPr>
                <w:b w:val="false"/>
                <w:bCs w:val="false"/>
                <w:color w:val="000000"/>
                <w:sz w:val="19"/>
                <w:szCs w:val="19"/>
              </w:rPr>
              <w:t xml:space="preserve">No confirmed FW27 continuation</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94</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31.5M</w:t>
            </w:r>
          </w:p>
        </w:tc>
        <w:tc>
          <w:tcPr>
            <w:tcW w:type="dxa" w:w="3750"/>
            <w:tcMar>
              <w:top w:type="dxa" w:w="60"/>
              <w:left w:type="dxa" w:w="100"/>
              <w:bottom w:type="dxa" w:w="60"/>
              <w:right w:type="dxa" w:w="100"/>
            </w:tcMar>
            <w:vAlign w:val="center"/>
          </w:tcPr>
          <w:p>
            <w:pPr>
              <w:jc w:val="center"/>
            </w:pPr>
            <w:r>
              <w:rPr>
                <w:b w:val="false"/>
                <w:bCs w:val="false"/>
                <w:color w:val="000000"/>
                <w:sz w:val="19"/>
                <w:szCs w:val="19"/>
              </w:rPr>
              <w:t xml:space="preserve">Highest-value FW27 gap of any single tier — see Section 10</w:t>
            </w:r>
          </w:p>
        </w:tc>
      </w:tr>
      <w:tr>
        <w:tc>
          <w:tcPr>
            <w:tcW w:type="dxa" w:w="36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Confirmed continuing in FW27</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142</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88.7M</w:t>
            </w:r>
          </w:p>
        </w:tc>
        <w:tc>
          <w:tcPr>
            <w:tcW w:type="dxa" w:w="37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Product is planned to continue despite the decline — worth checking why</w:t>
            </w:r>
          </w:p>
        </w:tc>
      </w:tr>
    </w:tbl>
    <w:p>
      <w:pPr>
        <w:pBdr>
          <w:left w:val="single" w:color="C97A1A" w:sz="18"/>
        </w:pBdr>
        <w:shd w:fill="FCEFDC" w:val="clear"/>
        <w:spacing w:after="120" w:before="100"/>
        <w:ind w:left="150" w:right="100"/>
      </w:pPr>
      <w:r>
        <w:rPr>
          <w:b/>
          <w:bCs/>
          <w:color w:val="8A4B00"/>
        </w:rPr>
        <w:t xml:space="preserve">NOT ANSWERABLE FROM DATA — ASK: </w:t>
      </w:r>
      <w:r>
        <w:t xml:space="preserve">For the 142 Harvest franchises that ARE confirmed continuing in FW27 despite a ≥10% decline, is there a specific reason (e.g. hero-adjacent, contractual, brand-statement product) or is this simply not being reviewed? Owner: whoever owns the FW27 range-planning sign-off.</w:t>
      </w:r>
    </w:p>
    <w:p>
      <w:r>
        <w:br w:type="page"/>
      </w:r>
    </w:p>
    <w:p>
      <w:pPr>
        <w:pStyle w:val="Heading1"/>
        <w:spacing w:after="160" w:before="320"/>
      </w:pPr>
      <w:r>
        <w:t xml:space="preserve">9. New/Test (197 launches, 123.9M SEK): a launch-follow-through gap</w:t>
      </w:r>
    </w:p>
    <w:p>
      <w:pPr>
        <w:spacing w:after="160"/>
      </w:pPr>
      <w:r>
        <w:t xml:space="preserve">Every franchise with no real trading in 2024 but real trading in 2025 was scored against five Tier-1 KPIs checkable from current data (margin at launch, outlet-leakage, reorder conversion, DTC presence, FW27 continuation plan). A second, richer scorecard (tier migration, YoY growth in year 2) needs 2026 data, expected next week per your direction.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550"/>
        <w:gridCol w:w="700"/>
        <w:gridCol w:w="4100"/>
      </w:tblGrid>
      <w:tr>
        <w:trPr>
          <w:tblHeader/>
        </w:trPr>
        <w:tc>
          <w:tcPr>
            <w:tcW w:type="dxa" w:w="4550"/>
            <w:shd w:fill="2F2F2F" w:val="clear"/>
            <w:tcMar>
              <w:top w:type="dxa" w:w="60"/>
              <w:left w:type="dxa" w:w="100"/>
              <w:bottom w:type="dxa" w:w="60"/>
              <w:right w:type="dxa" w:w="100"/>
            </w:tcMar>
            <w:vAlign w:val="center"/>
          </w:tcPr>
          <w:p>
            <w:pPr>
              <w:jc w:val="left"/>
            </w:pPr>
            <w:r>
              <w:rPr>
                <w:b/>
                <w:bCs/>
                <w:color w:val="FFFFFF"/>
                <w:sz w:val="19"/>
                <w:szCs w:val="19"/>
              </w:rPr>
              <w:t xml:space="preserve">Segment</w:t>
            </w:r>
          </w:p>
        </w:tc>
        <w:tc>
          <w:tcPr>
            <w:tcW w:type="dxa" w:w="700"/>
            <w:shd w:fill="2F2F2F" w:val="clear"/>
            <w:tcMar>
              <w:top w:type="dxa" w:w="60"/>
              <w:left w:type="dxa" w:w="100"/>
              <w:bottom w:type="dxa" w:w="60"/>
              <w:right w:type="dxa" w:w="100"/>
            </w:tcMar>
            <w:vAlign w:val="center"/>
          </w:tcPr>
          <w:p>
            <w:pPr>
              <w:jc w:val="center"/>
            </w:pPr>
            <w:r>
              <w:rPr>
                <w:b/>
                <w:bCs/>
                <w:color w:val="FFFFFF"/>
                <w:sz w:val="19"/>
                <w:szCs w:val="19"/>
              </w:rPr>
              <w:t xml:space="preserve">N</w:t>
            </w:r>
          </w:p>
        </w:tc>
        <w:tc>
          <w:tcPr>
            <w:tcW w:type="dxa" w:w="4100"/>
            <w:shd w:fill="2F2F2F" w:val="clear"/>
            <w:tcMar>
              <w:top w:type="dxa" w:w="60"/>
              <w:left w:type="dxa" w:w="100"/>
              <w:bottom w:type="dxa" w:w="60"/>
              <w:right w:type="dxa" w:w="100"/>
            </w:tcMar>
            <w:vAlign w:val="center"/>
          </w:tcPr>
          <w:p>
            <w:pPr>
              <w:jc w:val="center"/>
            </w:pPr>
            <w:r>
              <w:rPr>
                <w:b/>
                <w:bCs/>
                <w:color w:val="FFFFFF"/>
                <w:sz w:val="19"/>
                <w:szCs w:val="19"/>
              </w:rPr>
              <w:t xml:space="preserve">Sales 2025</w:t>
            </w:r>
          </w:p>
        </w:tc>
      </w:tr>
      <w:tr>
        <w:tc>
          <w:tcPr>
            <w:tcW w:type="dxa" w:w="4550"/>
            <w:tcMar>
              <w:top w:type="dxa" w:w="60"/>
              <w:left w:type="dxa" w:w="100"/>
              <w:bottom w:type="dxa" w:w="60"/>
              <w:right w:type="dxa" w:w="100"/>
            </w:tcMar>
            <w:vAlign w:val="center"/>
          </w:tcPr>
          <w:p>
            <w:pPr>
              <w:jc w:val="left"/>
            </w:pPr>
            <w:r>
              <w:rPr>
                <w:b w:val="false"/>
                <w:bCs w:val="false"/>
                <w:color w:val="000000"/>
                <w:sz w:val="19"/>
                <w:szCs w:val="19"/>
              </w:rPr>
              <w:t xml:space="preserve">Clean — no flags</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111</w:t>
            </w:r>
          </w:p>
        </w:tc>
        <w:tc>
          <w:tcPr>
            <w:tcW w:type="dxa" w:w="4100"/>
            <w:tcMar>
              <w:top w:type="dxa" w:w="60"/>
              <w:left w:type="dxa" w:w="100"/>
              <w:bottom w:type="dxa" w:w="60"/>
              <w:right w:type="dxa" w:w="100"/>
            </w:tcMar>
            <w:vAlign w:val="center"/>
          </w:tcPr>
          <w:p>
            <w:pPr>
              <w:jc w:val="center"/>
            </w:pPr>
            <w:r>
              <w:rPr>
                <w:b w:val="false"/>
                <w:bCs w:val="false"/>
                <w:color w:val="000000"/>
                <w:sz w:val="19"/>
                <w:szCs w:val="19"/>
              </w:rPr>
              <w:t xml:space="preserve">91.9M</w:t>
            </w:r>
          </w:p>
        </w:tc>
      </w:tr>
      <w:tr>
        <w:tc>
          <w:tcPr>
            <w:tcW w:type="dxa" w:w="45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1 flag</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56</w:t>
            </w:r>
          </w:p>
        </w:tc>
        <w:tc>
          <w:tcPr>
            <w:tcW w:type="dxa" w:w="41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n/a — mixed</w:t>
            </w:r>
          </w:p>
        </w:tc>
      </w:tr>
      <w:tr>
        <w:tc>
          <w:tcPr>
            <w:tcW w:type="dxa" w:w="4550"/>
            <w:tcMar>
              <w:top w:type="dxa" w:w="60"/>
              <w:left w:type="dxa" w:w="100"/>
              <w:bottom w:type="dxa" w:w="60"/>
              <w:right w:type="dxa" w:w="100"/>
            </w:tcMar>
            <w:vAlign w:val="center"/>
          </w:tcPr>
          <w:p>
            <w:pPr>
              <w:jc w:val="left"/>
            </w:pPr>
            <w:r>
              <w:rPr>
                <w:b w:val="false"/>
                <w:bCs w:val="false"/>
                <w:color w:val="000000"/>
                <w:sz w:val="19"/>
                <w:szCs w:val="19"/>
              </w:rPr>
              <w:t xml:space="preserve">2+ flags (priority watchlist)</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30</w:t>
            </w:r>
          </w:p>
        </w:tc>
        <w:tc>
          <w:tcPr>
            <w:tcW w:type="dxa" w:w="4100"/>
            <w:tcMar>
              <w:top w:type="dxa" w:w="60"/>
              <w:left w:type="dxa" w:w="100"/>
              <w:bottom w:type="dxa" w:w="60"/>
              <w:right w:type="dxa" w:w="100"/>
            </w:tcMar>
            <w:vAlign w:val="center"/>
          </w:tcPr>
          <w:p>
            <w:pPr>
              <w:jc w:val="center"/>
            </w:pPr>
            <w:r>
              <w:rPr>
                <w:b w:val="false"/>
                <w:bCs w:val="false"/>
                <w:color w:val="000000"/>
                <w:sz w:val="19"/>
                <w:szCs w:val="19"/>
              </w:rPr>
              <w:t xml:space="preserve">3.9M</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150"/>
        <w:gridCol w:w="2200"/>
      </w:tblGrid>
      <w:tr>
        <w:trPr>
          <w:tblHeader/>
        </w:trPr>
        <w:tc>
          <w:tcPr>
            <w:tcW w:type="dxa" w:w="7150"/>
            <w:shd w:fill="2F2F2F" w:val="clear"/>
            <w:tcMar>
              <w:top w:type="dxa" w:w="60"/>
              <w:left w:type="dxa" w:w="100"/>
              <w:bottom w:type="dxa" w:w="60"/>
              <w:right w:type="dxa" w:w="100"/>
            </w:tcMar>
            <w:vAlign w:val="center"/>
          </w:tcPr>
          <w:p>
            <w:pPr>
              <w:jc w:val="left"/>
            </w:pPr>
            <w:r>
              <w:rPr>
                <w:b/>
                <w:bCs/>
                <w:color w:val="FFFFFF"/>
                <w:sz w:val="19"/>
                <w:szCs w:val="19"/>
              </w:rPr>
              <w:t xml:space="preserve">Flag</w:t>
            </w:r>
          </w:p>
        </w:tc>
        <w:tc>
          <w:tcPr>
            <w:tcW w:type="dxa" w:w="2200"/>
            <w:shd w:fill="2F2F2F" w:val="clear"/>
            <w:tcMar>
              <w:top w:type="dxa" w:w="60"/>
              <w:left w:type="dxa" w:w="100"/>
              <w:bottom w:type="dxa" w:w="60"/>
              <w:right w:type="dxa" w:w="100"/>
            </w:tcMar>
            <w:vAlign w:val="center"/>
          </w:tcPr>
          <w:p>
            <w:pPr>
              <w:jc w:val="center"/>
            </w:pPr>
            <w:r>
              <w:rPr>
                <w:b/>
                <w:bCs/>
                <w:color w:val="FFFFFF"/>
                <w:sz w:val="19"/>
                <w:szCs w:val="19"/>
              </w:rPr>
              <w:t xml:space="preserve">N of 197</w:t>
            </w:r>
          </w:p>
        </w:tc>
      </w:tr>
      <w:tr>
        <w:tc>
          <w:tcPr>
            <w:tcW w:type="dxa" w:w="7150"/>
            <w:tcMar>
              <w:top w:type="dxa" w:w="60"/>
              <w:left w:type="dxa" w:w="100"/>
              <w:bottom w:type="dxa" w:w="60"/>
              <w:right w:type="dxa" w:w="100"/>
            </w:tcMar>
            <w:vAlign w:val="center"/>
          </w:tcPr>
          <w:p>
            <w:pPr>
              <w:jc w:val="left"/>
            </w:pPr>
            <w:r>
              <w:rPr>
                <w:b w:val="false"/>
                <w:bCs w:val="false"/>
                <w:color w:val="000000"/>
                <w:sz w:val="19"/>
                <w:szCs w:val="19"/>
              </w:rPr>
              <w:t xml:space="preserve">No DTC presence in year 1</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34</w:t>
            </w:r>
          </w:p>
        </w:tc>
      </w:tr>
      <w:tr>
        <w:tc>
          <w:tcPr>
            <w:tcW w:type="dxa" w:w="71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No confirmed FW27 continuation plan</w:t>
            </w:r>
          </w:p>
        </w:tc>
        <w:tc>
          <w:tcPr>
            <w:tcW w:type="dxa" w:w="22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31</w:t>
            </w:r>
          </w:p>
        </w:tc>
      </w:tr>
      <w:tr>
        <w:tc>
          <w:tcPr>
            <w:tcW w:type="dxa" w:w="7150"/>
            <w:tcMar>
              <w:top w:type="dxa" w:w="60"/>
              <w:left w:type="dxa" w:w="100"/>
              <w:bottom w:type="dxa" w:w="60"/>
              <w:right w:type="dxa" w:w="100"/>
            </w:tcMar>
            <w:vAlign w:val="center"/>
          </w:tcPr>
          <w:p>
            <w:pPr>
              <w:jc w:val="left"/>
            </w:pPr>
            <w:r>
              <w:rPr>
                <w:b w:val="false"/>
                <w:bCs w:val="false"/>
                <w:color w:val="000000"/>
                <w:sz w:val="19"/>
                <w:szCs w:val="19"/>
              </w:rPr>
              <w:t xml:space="preserve">Low margin at launch (&lt;35% GM)</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28</w:t>
            </w:r>
          </w:p>
        </w:tc>
      </w:tr>
      <w:tr>
        <w:tc>
          <w:tcPr>
            <w:tcW w:type="dxa" w:w="71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Outlet-leaking (&gt;50% special-account exposure)</w:t>
            </w:r>
          </w:p>
        </w:tc>
        <w:tc>
          <w:tcPr>
            <w:tcW w:type="dxa" w:w="22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23</w:t>
            </w:r>
          </w:p>
        </w:tc>
      </w:tr>
      <w:tr>
        <w:tc>
          <w:tcPr>
            <w:tcW w:type="dxa" w:w="7150"/>
            <w:tcMar>
              <w:top w:type="dxa" w:w="60"/>
              <w:left w:type="dxa" w:w="100"/>
              <w:bottom w:type="dxa" w:w="60"/>
              <w:right w:type="dxa" w:w="100"/>
            </w:tcMar>
            <w:vAlign w:val="center"/>
          </w:tcPr>
          <w:p>
            <w:pPr>
              <w:jc w:val="left"/>
            </w:pPr>
            <w:r>
              <w:rPr>
                <w:b w:val="false"/>
                <w:bCs w:val="false"/>
                <w:color w:val="000000"/>
                <w:sz w:val="19"/>
                <w:szCs w:val="19"/>
              </w:rPr>
              <w:t xml:space="preserve">Zero reorder despite &gt;100K Preorder (Wholesale)</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8</w:t>
            </w:r>
          </w:p>
        </w:tc>
      </w:tr>
    </w:tbl>
    <w:p>
      <w:pPr>
        <w:pBdr>
          <w:left w:val="single" w:color="3C8A4C" w:sz="18"/>
        </w:pBdr>
        <w:shd w:fill="EAF3EA" w:val="clear"/>
        <w:spacing w:after="120" w:before="100"/>
        <w:ind w:left="150" w:right="100"/>
      </w:pPr>
      <w:r>
        <w:rPr>
          <w:b/>
          <w:bCs/>
          <w:color w:val="1F5C2E"/>
        </w:rPr>
        <w:t xml:space="preserve">DATA SHOWS: </w:t>
      </w:r>
      <w:r>
        <w:t xml:space="preserve">Company-wide Wholesale reorder conversion for New/Test launches is 13.0% — i.e. roughly 1 in 8 Wholesale-launched styles gets reordered at all in its first real trading year. This is the concrete evidence behind the 'launches aren't being followed up' concern: most new product either lands and holds (clean, 111 franchises) or launches and is never reordered, with comparatively little in between.</w:t>
      </w:r>
    </w:p>
    <w:p>
      <w:pPr>
        <w:pBdr>
          <w:left w:val="single" w:color="C97A1A" w:sz="18"/>
        </w:pBdr>
        <w:shd w:fill="FCEFDC" w:val="clear"/>
        <w:spacing w:after="120" w:before="100"/>
        <w:ind w:left="150" w:right="100"/>
      </w:pPr>
      <w:r>
        <w:rPr>
          <w:b/>
          <w:bCs/>
          <w:color w:val="8A4B00"/>
        </w:rPr>
        <w:t xml:space="preserve">NOT ANSWERABLE FROM DATA — ASK: </w:t>
      </w:r>
      <w:r>
        <w:t xml:space="preserve">Is there a formal post-launch review checkpoint (e.g. at end of first selling season) where a new style's early reorder/DTC/margin signals are checked and a keep/kill/fix call is made? If not, this Tier-1 scorecard could become that checkpoint going forward. Owner: whoever owns the product lifecycle process (CPO / Merchandising Director).</w:t>
      </w:r>
    </w:p>
    <w:p>
      <w:pPr>
        <w:pStyle w:val="Heading1"/>
        <w:spacing w:after="160" w:before="320"/>
      </w:pPr>
      <w:r>
        <w:t xml:space="preserve">10. Exited &amp; Thin: what to actually do with 1,040 low-value franchises</w:t>
      </w:r>
    </w:p>
    <w:p>
      <w:pPr>
        <w:spacing w:after="160"/>
      </w:pPr>
      <w:r>
        <w:t xml:space="preserve">Rather than reviewing all 864 Thin franchises individually — impractical and low-value given they total only 8.1M SEK combined — each was segmented into one of five actionable groups, using both core and special-account sales so a franchise that looks dead in the core view but is alive in outlet is not miscounted as a kill candidate.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700"/>
        <w:gridCol w:w="1550"/>
        <w:gridCol w:w="1900"/>
        <w:gridCol w:w="2700"/>
      </w:tblGrid>
      <w:tr>
        <w:trPr>
          <w:tblHeader/>
        </w:trPr>
        <w:tc>
          <w:tcPr>
            <w:tcW w:type="dxa" w:w="2500"/>
            <w:shd w:fill="2F2F2F" w:val="clear"/>
            <w:tcMar>
              <w:top w:type="dxa" w:w="60"/>
              <w:left w:type="dxa" w:w="100"/>
              <w:bottom w:type="dxa" w:w="60"/>
              <w:right w:type="dxa" w:w="100"/>
            </w:tcMar>
            <w:vAlign w:val="center"/>
          </w:tcPr>
          <w:p>
            <w:pPr>
              <w:jc w:val="left"/>
            </w:pPr>
            <w:r>
              <w:rPr>
                <w:b/>
                <w:bCs/>
                <w:color w:val="FFFFFF"/>
                <w:sz w:val="19"/>
                <w:szCs w:val="19"/>
              </w:rPr>
              <w:t xml:space="preserve">Segment</w:t>
            </w:r>
          </w:p>
        </w:tc>
        <w:tc>
          <w:tcPr>
            <w:tcW w:type="dxa" w:w="700"/>
            <w:shd w:fill="2F2F2F" w:val="clear"/>
            <w:tcMar>
              <w:top w:type="dxa" w:w="60"/>
              <w:left w:type="dxa" w:w="100"/>
              <w:bottom w:type="dxa" w:w="60"/>
              <w:right w:type="dxa" w:w="100"/>
            </w:tcMar>
            <w:vAlign w:val="center"/>
          </w:tcPr>
          <w:p>
            <w:pPr>
              <w:jc w:val="center"/>
            </w:pPr>
            <w:r>
              <w:rPr>
                <w:b/>
                <w:bCs/>
                <w:color w:val="FFFFFF"/>
                <w:sz w:val="19"/>
                <w:szCs w:val="19"/>
              </w:rPr>
              <w:t xml:space="preserve">N</w:t>
            </w:r>
          </w:p>
        </w:tc>
        <w:tc>
          <w:tcPr>
            <w:tcW w:type="dxa" w:w="1550"/>
            <w:shd w:fill="2F2F2F" w:val="clear"/>
            <w:tcMar>
              <w:top w:type="dxa" w:w="60"/>
              <w:left w:type="dxa" w:w="100"/>
              <w:bottom w:type="dxa" w:w="60"/>
              <w:right w:type="dxa" w:w="100"/>
            </w:tcMar>
            <w:vAlign w:val="center"/>
          </w:tcPr>
          <w:p>
            <w:pPr>
              <w:jc w:val="center"/>
            </w:pPr>
            <w:r>
              <w:rPr>
                <w:b/>
                <w:bCs/>
                <w:color w:val="FFFFFF"/>
                <w:sz w:val="19"/>
                <w:szCs w:val="19"/>
              </w:rPr>
              <w:t xml:space="preserve">Core Sales 2025</w:t>
            </w:r>
          </w:p>
        </w:tc>
        <w:tc>
          <w:tcPr>
            <w:tcW w:type="dxa" w:w="1900"/>
            <w:shd w:fill="2F2F2F" w:val="clear"/>
            <w:tcMar>
              <w:top w:type="dxa" w:w="60"/>
              <w:left w:type="dxa" w:w="100"/>
              <w:bottom w:type="dxa" w:w="60"/>
              <w:right w:type="dxa" w:w="100"/>
            </w:tcMar>
            <w:vAlign w:val="center"/>
          </w:tcPr>
          <w:p>
            <w:pPr>
              <w:jc w:val="center"/>
            </w:pPr>
            <w:r>
              <w:rPr>
                <w:b/>
                <w:bCs/>
                <w:color w:val="FFFFFF"/>
                <w:sz w:val="19"/>
                <w:szCs w:val="19"/>
              </w:rPr>
              <w:t xml:space="preserve">Special-Acct Sales 2025</w:t>
            </w:r>
          </w:p>
        </w:tc>
        <w:tc>
          <w:tcPr>
            <w:tcW w:type="dxa" w:w="2700"/>
            <w:shd w:fill="2F2F2F" w:val="clear"/>
            <w:tcMar>
              <w:top w:type="dxa" w:w="60"/>
              <w:left w:type="dxa" w:w="100"/>
              <w:bottom w:type="dxa" w:w="60"/>
              <w:right w:type="dxa" w:w="100"/>
            </w:tcMar>
            <w:vAlign w:val="center"/>
          </w:tcPr>
          <w:p>
            <w:pPr>
              <w:jc w:val="center"/>
            </w:pPr>
            <w:r>
              <w:rPr>
                <w:b/>
                <w:bCs/>
                <w:color w:val="FFFFFF"/>
                <w:sz w:val="19"/>
                <w:szCs w:val="19"/>
              </w:rPr>
              <w:t xml:space="preserve">Recommended default action</w:t>
            </w:r>
          </w:p>
        </w:tc>
      </w:tr>
      <w:tr>
        <w:tc>
          <w:tcPr>
            <w:tcW w:type="dxa" w:w="2500"/>
            <w:tcMar>
              <w:top w:type="dxa" w:w="60"/>
              <w:left w:type="dxa" w:w="100"/>
              <w:bottom w:type="dxa" w:w="60"/>
              <w:right w:type="dxa" w:w="100"/>
            </w:tcMar>
            <w:vAlign w:val="center"/>
          </w:tcPr>
          <w:p>
            <w:pPr>
              <w:jc w:val="left"/>
            </w:pPr>
            <w:r>
              <w:rPr>
                <w:b w:val="false"/>
                <w:bCs w:val="false"/>
                <w:color w:val="000000"/>
                <w:sz w:val="19"/>
                <w:szCs w:val="19"/>
              </w:rPr>
              <w:t xml:space="preserve">Shrinking trace, still limping</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393</w:t>
            </w:r>
          </w:p>
        </w:tc>
        <w:tc>
          <w:tcPr>
            <w:tcW w:type="dxa" w:w="1550"/>
            <w:tcMar>
              <w:top w:type="dxa" w:w="60"/>
              <w:left w:type="dxa" w:w="100"/>
              <w:bottom w:type="dxa" w:w="60"/>
              <w:right w:type="dxa" w:w="100"/>
            </w:tcMar>
            <w:vAlign w:val="center"/>
          </w:tcPr>
          <w:p>
            <w:pPr>
              <w:jc w:val="center"/>
            </w:pPr>
            <w:r>
              <w:rPr>
                <w:b w:val="false"/>
                <w:bCs w:val="false"/>
                <w:color w:val="000000"/>
                <w:sz w:val="19"/>
                <w:szCs w:val="19"/>
              </w:rPr>
              <w:t xml:space="preserve">4.5M</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0.4M</w:t>
            </w:r>
          </w:p>
        </w:tc>
        <w:tc>
          <w:tcPr>
            <w:tcW w:type="dxa" w:w="2700"/>
            <w:tcMar>
              <w:top w:type="dxa" w:w="60"/>
              <w:left w:type="dxa" w:w="100"/>
              <w:bottom w:type="dxa" w:w="60"/>
              <w:right w:type="dxa" w:w="100"/>
            </w:tcMar>
            <w:vAlign w:val="center"/>
          </w:tcPr>
          <w:p>
            <w:pPr>
              <w:jc w:val="center"/>
            </w:pPr>
            <w:r>
              <w:rPr>
                <w:b w:val="false"/>
                <w:bCs w:val="false"/>
                <w:color w:val="000000"/>
                <w:sz w:val="19"/>
                <w:szCs w:val="19"/>
              </w:rPr>
              <w:t xml:space="preserve">Kill candidate — formalize exit, lowest-effort largest cleanup</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Faded to zero</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227</w:t>
            </w:r>
          </w:p>
        </w:tc>
        <w:tc>
          <w:tcPr>
            <w:tcW w:type="dxa" w:w="15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~0</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0</w:t>
            </w:r>
          </w:p>
        </w:tc>
        <w:tc>
          <w:tcPr>
            <w:tcW w:type="dxa" w:w="2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Kill candidate — already effectively dead, formalize the exit record</w:t>
            </w:r>
          </w:p>
        </w:tc>
      </w:tr>
      <w:tr>
        <w:tc>
          <w:tcPr>
            <w:tcW w:type="dxa" w:w="2500"/>
            <w:tcMar>
              <w:top w:type="dxa" w:w="60"/>
              <w:left w:type="dxa" w:w="100"/>
              <w:bottom w:type="dxa" w:w="60"/>
              <w:right w:type="dxa" w:w="100"/>
            </w:tcMar>
            <w:vAlign w:val="center"/>
          </w:tcPr>
          <w:p>
            <w:pPr>
              <w:jc w:val="left"/>
            </w:pPr>
            <w:r>
              <w:rPr>
                <w:b w:val="false"/>
                <w:bCs w:val="false"/>
                <w:color w:val="000000"/>
                <w:sz w:val="19"/>
                <w:szCs w:val="19"/>
              </w:rPr>
              <w:t xml:space="preserve">Too new to judge</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84</w:t>
            </w:r>
          </w:p>
        </w:tc>
        <w:tc>
          <w:tcPr>
            <w:tcW w:type="dxa" w:w="1550"/>
            <w:tcMar>
              <w:top w:type="dxa" w:w="60"/>
              <w:left w:type="dxa" w:w="100"/>
              <w:bottom w:type="dxa" w:w="60"/>
              <w:right w:type="dxa" w:w="100"/>
            </w:tcMar>
            <w:vAlign w:val="center"/>
          </w:tcPr>
          <w:p>
            <w:pPr>
              <w:jc w:val="center"/>
            </w:pPr>
            <w:r>
              <w:rPr>
                <w:b w:val="false"/>
                <w:bCs w:val="false"/>
                <w:color w:val="000000"/>
                <w:sz w:val="19"/>
                <w:szCs w:val="19"/>
              </w:rPr>
              <w:t xml:space="preserve">1.5M</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0.3M</w:t>
            </w:r>
          </w:p>
        </w:tc>
        <w:tc>
          <w:tcPr>
            <w:tcW w:type="dxa" w:w="2700"/>
            <w:tcMar>
              <w:top w:type="dxa" w:w="60"/>
              <w:left w:type="dxa" w:w="100"/>
              <w:bottom w:type="dxa" w:w="60"/>
              <w:right w:type="dxa" w:w="100"/>
            </w:tcMar>
            <w:vAlign w:val="center"/>
          </w:tcPr>
          <w:p>
            <w:pPr>
              <w:jc w:val="center"/>
            </w:pPr>
            <w:r>
              <w:rPr>
                <w:b w:val="false"/>
                <w:bCs w:val="false"/>
                <w:color w:val="000000"/>
                <w:sz w:val="19"/>
                <w:szCs w:val="19"/>
              </w:rPr>
              <w:t xml:space="preserve">Give it another season before any decision</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Actually alive in outlet</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81</w:t>
            </w:r>
          </w:p>
        </w:tc>
        <w:tc>
          <w:tcPr>
            <w:tcW w:type="dxa" w:w="15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2.1M</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40.2M</w:t>
            </w:r>
          </w:p>
        </w:tc>
        <w:tc>
          <w:tcPr>
            <w:tcW w:type="dxa" w:w="2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NOT a kill candidate — re-tag as outlet/clearance, not exited</w:t>
            </w:r>
          </w:p>
        </w:tc>
      </w:tr>
      <w:tr>
        <w:tc>
          <w:tcPr>
            <w:tcW w:type="dxa" w:w="2500"/>
            <w:tcMar>
              <w:top w:type="dxa" w:w="60"/>
              <w:left w:type="dxa" w:w="100"/>
              <w:bottom w:type="dxa" w:w="60"/>
              <w:right w:type="dxa" w:w="100"/>
            </w:tcMar>
            <w:vAlign w:val="center"/>
          </w:tcPr>
          <w:p>
            <w:pPr>
              <w:jc w:val="left"/>
            </w:pPr>
            <w:r>
              <w:rPr>
                <w:b w:val="false"/>
                <w:bCs w:val="false"/>
                <w:color w:val="000000"/>
                <w:sz w:val="19"/>
                <w:szCs w:val="19"/>
              </w:rPr>
              <w:t xml:space="preserve">No presence either year</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79</w:t>
            </w:r>
          </w:p>
        </w:tc>
        <w:tc>
          <w:tcPr>
            <w:tcW w:type="dxa" w:w="1550"/>
            <w:tcMar>
              <w:top w:type="dxa" w:w="60"/>
              <w:left w:type="dxa" w:w="100"/>
              <w:bottom w:type="dxa" w:w="60"/>
              <w:right w:type="dxa" w:w="100"/>
            </w:tcMar>
            <w:vAlign w:val="center"/>
          </w:tcPr>
          <w:p>
            <w:pPr>
              <w:jc w:val="center"/>
            </w:pPr>
            <w:r>
              <w:rPr>
                <w:b w:val="false"/>
                <w:bCs w:val="false"/>
                <w:color w:val="000000"/>
                <w:sz w:val="19"/>
                <w:szCs w:val="19"/>
              </w:rPr>
              <w:t xml:space="preserve">~0</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0</w:t>
            </w:r>
          </w:p>
        </w:tc>
        <w:tc>
          <w:tcPr>
            <w:tcW w:type="dxa" w:w="2700"/>
            <w:tcMar>
              <w:top w:type="dxa" w:w="60"/>
              <w:left w:type="dxa" w:w="100"/>
              <w:bottom w:type="dxa" w:w="60"/>
              <w:right w:type="dxa" w:w="100"/>
            </w:tcMar>
            <w:vAlign w:val="center"/>
          </w:tcPr>
          <w:p>
            <w:pPr>
              <w:jc w:val="center"/>
            </w:pPr>
            <w:r>
              <w:rPr>
                <w:b w:val="false"/>
                <w:bCs w:val="false"/>
                <w:color w:val="000000"/>
                <w:sz w:val="19"/>
                <w:szCs w:val="19"/>
              </w:rPr>
              <w:t xml:space="preserve">Data noise — ignore, no decision needed</w:t>
            </w:r>
          </w:p>
        </w:tc>
      </w:tr>
    </w:tbl>
    <w:p>
      <w:pPr>
        <w:pBdr>
          <w:left w:val="single" w:color="3C8A4C" w:sz="18"/>
        </w:pBdr>
        <w:shd w:fill="EAF3EA" w:val="clear"/>
        <w:spacing w:after="120" w:before="100"/>
        <w:ind w:left="150" w:right="100"/>
      </w:pPr>
      <w:r>
        <w:rPr>
          <w:b/>
          <w:bCs/>
          <w:color w:val="1F5C2E"/>
        </w:rPr>
        <w:t xml:space="preserve">DATA SHOWS: </w:t>
      </w:r>
      <w:r>
        <w:t xml:space="preserve">The 81-franchise 'alive in outlet' segment is the one genuine trap in this tier: it looks worthless in the core-scope view (2.1M SEK) but carries 40.2M SEK of special-account/outlet sales — nearly 20x the core figure. Applying a blanket 'Thin = kill' rule without this check would have wrongly flagged 40.2M SEK of real (if low-margin) outlet revenue for exit.</w:t>
      </w:r>
    </w:p>
    <w:p>
      <w:pPr>
        <w:pStyle w:val="ListParagraph"/>
        <w:numPr>
          <w:ilvl w:val="0"/>
          <w:numId w:val="2"/>
        </w:numPr>
        <w:spacing w:after="80"/>
      </w:pPr>
      <w:r>
        <w:t xml:space="preserve">Practical recommendation: the 620 franchises in 'Shrinking trace' + 'Faded to zero' (4.5M SEK combined core sales) can be formally exited as a single batch decision rather than reviewed line by line — the SEK at stake does not justify individual review.</w:t>
      </w:r>
    </w:p>
    <w:p>
      <w:pPr>
        <w:pStyle w:val="ListParagraph"/>
        <w:numPr>
          <w:ilvl w:val="0"/>
          <w:numId w:val="2"/>
        </w:numPr>
        <w:spacing w:after="80"/>
      </w:pPr>
      <w:r>
        <w:t xml:space="preserve">The 84 'too new to judge' franchises should roll into the New/Test Tier-1 scorecard process (Section 9) once they clear the 100-unit real-trading threshold.</w:t>
      </w:r>
    </w:p>
    <w:p>
      <w:pPr>
        <w:pBdr>
          <w:left w:val="single" w:color="C97A1A" w:sz="18"/>
        </w:pBdr>
        <w:shd w:fill="FCEFDC" w:val="clear"/>
        <w:spacing w:after="120" w:before="100"/>
        <w:ind w:left="150" w:right="100"/>
      </w:pPr>
      <w:r>
        <w:rPr>
          <w:b/>
          <w:bCs/>
          <w:color w:val="8A4B00"/>
        </w:rPr>
        <w:t xml:space="preserve">NOT ANSWERABLE FROM DATA — ASK: </w:t>
      </w:r>
      <w:r>
        <w:t xml:space="preserve">Is there an appetite to formally close ~620 dead SKUs as a batch housekeeping exercise (system/catalog cleanup), even though the SEK impact is immaterial — i.e. is this worth doing for catalog hygiene and team time saved, not for P&amp;L impact? Owner: whoever owns the article master/catalog system.</w:t>
      </w:r>
    </w:p>
    <w:p>
      <w:r>
        <w:br w:type="page"/>
      </w:r>
    </w:p>
    <w:p>
      <w:pPr>
        <w:pStyle w:val="Heading1"/>
        <w:spacing w:after="160" w:before="320"/>
      </w:pPr>
      <w:r>
        <w:t xml:space="preserve">11. Cross-tier FW27 Confirm-or-Exit list (211 franchises, 87.4M SEK)</w:t>
      </w:r>
    </w:p>
    <w:p>
      <w:pPr>
        <w:spacing w:after="160"/>
      </w:pPr>
      <w:r>
        <w:t xml:space="preserve">The single most time-sensitive list in this pack. Every Problem Child, Harvest and Workhorse franchise was checked against the Assortment Attribution Review for a confirmed FW27 continuation. These 211 franchises — split across three tiers with very different underlying stories — have none found.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700"/>
        <w:gridCol w:w="1300"/>
        <w:gridCol w:w="3450"/>
      </w:tblGrid>
      <w:tr>
        <w:trPr>
          <w:tblHeader/>
        </w:trPr>
        <w:tc>
          <w:tcPr>
            <w:tcW w:type="dxa" w:w="2200"/>
            <w:shd w:fill="2F2F2F" w:val="clear"/>
            <w:tcMar>
              <w:top w:type="dxa" w:w="60"/>
              <w:left w:type="dxa" w:w="100"/>
              <w:bottom w:type="dxa" w:w="60"/>
              <w:right w:type="dxa" w:w="100"/>
            </w:tcMar>
            <w:vAlign w:val="center"/>
          </w:tcPr>
          <w:p>
            <w:pPr>
              <w:jc w:val="left"/>
            </w:pPr>
            <w:r>
              <w:rPr>
                <w:b/>
                <w:bCs/>
                <w:color w:val="FFFFFF"/>
                <w:sz w:val="19"/>
                <w:szCs w:val="19"/>
              </w:rPr>
              <w:t xml:space="preserve">Source tier</w:t>
            </w:r>
          </w:p>
        </w:tc>
        <w:tc>
          <w:tcPr>
            <w:tcW w:type="dxa" w:w="1700"/>
            <w:shd w:fill="2F2F2F" w:val="clear"/>
            <w:tcMar>
              <w:top w:type="dxa" w:w="60"/>
              <w:left w:type="dxa" w:w="100"/>
              <w:bottom w:type="dxa" w:w="60"/>
              <w:right w:type="dxa" w:w="100"/>
            </w:tcMar>
            <w:vAlign w:val="center"/>
          </w:tcPr>
          <w:p>
            <w:pPr>
              <w:jc w:val="center"/>
            </w:pPr>
            <w:r>
              <w:rPr>
                <w:b/>
                <w:bCs/>
                <w:color w:val="FFFFFF"/>
                <w:sz w:val="19"/>
                <w:szCs w:val="19"/>
              </w:rPr>
              <w:t xml:space="preserve">Growth direction</w:t>
            </w:r>
          </w:p>
        </w:tc>
        <w:tc>
          <w:tcPr>
            <w:tcW w:type="dxa" w:w="700"/>
            <w:shd w:fill="2F2F2F" w:val="clear"/>
            <w:tcMar>
              <w:top w:type="dxa" w:w="60"/>
              <w:left w:type="dxa" w:w="100"/>
              <w:bottom w:type="dxa" w:w="60"/>
              <w:right w:type="dxa" w:w="100"/>
            </w:tcMar>
            <w:vAlign w:val="center"/>
          </w:tcPr>
          <w:p>
            <w:pPr>
              <w:jc w:val="center"/>
            </w:pPr>
            <w:r>
              <w:rPr>
                <w:b/>
                <w:bCs/>
                <w:color w:val="FFFFFF"/>
                <w:sz w:val="19"/>
                <w:szCs w:val="19"/>
              </w:rPr>
              <w:t xml:space="preserve">N</w:t>
            </w:r>
          </w:p>
        </w:tc>
        <w:tc>
          <w:tcPr>
            <w:tcW w:type="dxa" w:w="1300"/>
            <w:shd w:fill="2F2F2F" w:val="clear"/>
            <w:tcMar>
              <w:top w:type="dxa" w:w="60"/>
              <w:left w:type="dxa" w:w="100"/>
              <w:bottom w:type="dxa" w:w="60"/>
              <w:right w:type="dxa" w:w="100"/>
            </w:tcMar>
            <w:vAlign w:val="center"/>
          </w:tcPr>
          <w:p>
            <w:pPr>
              <w:jc w:val="center"/>
            </w:pPr>
            <w:r>
              <w:rPr>
                <w:b/>
                <w:bCs/>
                <w:color w:val="FFFFFF"/>
                <w:sz w:val="19"/>
                <w:szCs w:val="19"/>
              </w:rPr>
              <w:t xml:space="preserve">Sales 2025</w:t>
            </w:r>
          </w:p>
        </w:tc>
        <w:tc>
          <w:tcPr>
            <w:tcW w:type="dxa" w:w="3450"/>
            <w:shd w:fill="2F2F2F" w:val="clear"/>
            <w:tcMar>
              <w:top w:type="dxa" w:w="60"/>
              <w:left w:type="dxa" w:w="100"/>
              <w:bottom w:type="dxa" w:w="60"/>
              <w:right w:type="dxa" w:w="100"/>
            </w:tcMar>
            <w:vAlign w:val="center"/>
          </w:tcPr>
          <w:p>
            <w:pPr>
              <w:jc w:val="center"/>
            </w:pPr>
            <w:r>
              <w:rPr>
                <w:b/>
                <w:bCs/>
                <w:color w:val="FFFFFF"/>
                <w:sz w:val="19"/>
                <w:szCs w:val="19"/>
              </w:rPr>
              <w:t xml:space="preserve">Read</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Harvest</w:t>
            </w:r>
          </w:p>
        </w:tc>
        <w:tc>
          <w:tcPr>
            <w:tcW w:type="dxa" w:w="1700"/>
            <w:tcMar>
              <w:top w:type="dxa" w:w="60"/>
              <w:left w:type="dxa" w:w="100"/>
              <w:bottom w:type="dxa" w:w="60"/>
              <w:right w:type="dxa" w:w="100"/>
            </w:tcMar>
            <w:vAlign w:val="center"/>
          </w:tcPr>
          <w:p>
            <w:pPr>
              <w:jc w:val="center"/>
            </w:pPr>
            <w:r>
              <w:rPr>
                <w:b w:val="false"/>
                <w:bCs w:val="false"/>
                <w:color w:val="000000"/>
                <w:sz w:val="19"/>
                <w:szCs w:val="19"/>
              </w:rPr>
              <w:t xml:space="preserve">Flat/declining</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94</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31.5M</w:t>
            </w:r>
          </w:p>
        </w:tc>
        <w:tc>
          <w:tcPr>
            <w:tcW w:type="dxa" w:w="3450"/>
            <w:tcMar>
              <w:top w:type="dxa" w:w="60"/>
              <w:left w:type="dxa" w:w="100"/>
              <w:bottom w:type="dxa" w:w="60"/>
              <w:right w:type="dxa" w:w="100"/>
            </w:tcMar>
            <w:vAlign w:val="center"/>
          </w:tcPr>
          <w:p>
            <w:pPr>
              <w:jc w:val="center"/>
            </w:pPr>
            <w:r>
              <w:rPr>
                <w:b w:val="false"/>
                <w:bCs w:val="false"/>
                <w:color w:val="000000"/>
                <w:sz w:val="19"/>
                <w:szCs w:val="19"/>
              </w:rPr>
              <w:t xml:space="preserve">Consistent with the broader Harvest decline — plausibly a deliberate range cut</w:t>
            </w:r>
          </w:p>
        </w:tc>
      </w:tr>
      <w:tr>
        <w:tc>
          <w:tcPr>
            <w:tcW w:type="dxa" w:w="22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Workhorse</w:t>
            </w:r>
          </w:p>
        </w:tc>
        <w:tc>
          <w:tcPr>
            <w:tcW w:type="dxa" w:w="1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Growing</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50</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26.9M</w:t>
            </w:r>
          </w:p>
        </w:tc>
        <w:tc>
          <w:tcPr>
            <w:tcW w:type="dxa" w:w="34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HIGHEST URGENCY — a working, growing product with apparently no FW27 plan</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Workhorse</w:t>
            </w:r>
          </w:p>
        </w:tc>
        <w:tc>
          <w:tcPr>
            <w:tcW w:type="dxa" w:w="1700"/>
            <w:tcMar>
              <w:top w:type="dxa" w:w="60"/>
              <w:left w:type="dxa" w:w="100"/>
              <w:bottom w:type="dxa" w:w="60"/>
              <w:right w:type="dxa" w:w="100"/>
            </w:tcMar>
            <w:vAlign w:val="center"/>
          </w:tcPr>
          <w:p>
            <w:pPr>
              <w:jc w:val="center"/>
            </w:pPr>
            <w:r>
              <w:rPr>
                <w:b w:val="false"/>
                <w:bCs w:val="false"/>
                <w:color w:val="000000"/>
                <w:sz w:val="19"/>
                <w:szCs w:val="19"/>
              </w:rPr>
              <w:t xml:space="preserve">Flat/declining</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18</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13.6M</w:t>
            </w:r>
          </w:p>
        </w:tc>
        <w:tc>
          <w:tcPr>
            <w:tcW w:type="dxa" w:w="3450"/>
            <w:tcMar>
              <w:top w:type="dxa" w:w="60"/>
              <w:left w:type="dxa" w:w="100"/>
              <w:bottom w:type="dxa" w:w="60"/>
              <w:right w:type="dxa" w:w="100"/>
            </w:tcMar>
            <w:vAlign w:val="center"/>
          </w:tcPr>
          <w:p>
            <w:pPr>
              <w:jc w:val="center"/>
            </w:pPr>
            <w:r>
              <w:rPr>
                <w:b w:val="false"/>
                <w:bCs w:val="false"/>
                <w:color w:val="000000"/>
                <w:sz w:val="19"/>
                <w:szCs w:val="19"/>
              </w:rPr>
              <w:t xml:space="preserve">Lower urgency — declining anyway, exit is plausibly already the right call</w:t>
            </w:r>
          </w:p>
        </w:tc>
      </w:tr>
      <w:tr>
        <w:tc>
          <w:tcPr>
            <w:tcW w:type="dxa" w:w="22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Problem Child</w:t>
            </w:r>
          </w:p>
        </w:tc>
        <w:tc>
          <w:tcPr>
            <w:tcW w:type="dxa" w:w="1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Growing</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20</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10.8M</w:t>
            </w:r>
          </w:p>
        </w:tc>
        <w:tc>
          <w:tcPr>
            <w:tcW w:type="dxa" w:w="34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Growing despite a margin problem — worth checking if it's a pricing fix, not an exit</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Problem Child</w:t>
            </w:r>
          </w:p>
        </w:tc>
        <w:tc>
          <w:tcPr>
            <w:tcW w:type="dxa" w:w="1700"/>
            <w:tcMar>
              <w:top w:type="dxa" w:w="60"/>
              <w:left w:type="dxa" w:w="100"/>
              <w:bottom w:type="dxa" w:w="60"/>
              <w:right w:type="dxa" w:w="100"/>
            </w:tcMar>
            <w:vAlign w:val="center"/>
          </w:tcPr>
          <w:p>
            <w:pPr>
              <w:jc w:val="center"/>
            </w:pPr>
            <w:r>
              <w:rPr>
                <w:b w:val="false"/>
                <w:bCs w:val="false"/>
                <w:color w:val="000000"/>
                <w:sz w:val="19"/>
                <w:szCs w:val="19"/>
              </w:rPr>
              <w:t xml:space="preserve">Flat/declining</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29</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4.6M</w:t>
            </w:r>
          </w:p>
        </w:tc>
        <w:tc>
          <w:tcPr>
            <w:tcW w:type="dxa" w:w="3450"/>
            <w:tcMar>
              <w:top w:type="dxa" w:w="60"/>
              <w:left w:type="dxa" w:w="100"/>
              <w:bottom w:type="dxa" w:w="60"/>
              <w:right w:type="dxa" w:w="100"/>
            </w:tcMar>
            <w:vAlign w:val="center"/>
          </w:tcPr>
          <w:p>
            <w:pPr>
              <w:jc w:val="center"/>
            </w:pPr>
            <w:r>
              <w:rPr>
                <w:b w:val="false"/>
                <w:bCs w:val="false"/>
                <w:color w:val="000000"/>
                <w:sz w:val="19"/>
                <w:szCs w:val="19"/>
              </w:rPr>
              <w:t xml:space="preserve">Lowest urgency — declining and already a margin problem, exit is plausibly correct</w:t>
            </w:r>
          </w:p>
        </w:tc>
      </w:tr>
    </w:tbl>
    <w:p>
      <w:pPr>
        <w:pBdr>
          <w:top w:val="single" w:color="999999" w:sz="6"/>
          <w:bottom w:val="single" w:color="999999" w:sz="6"/>
          <w:left w:val="single" w:color="999999" w:sz="6"/>
          <w:right w:val="single" w:color="999999" w:sz="6"/>
        </w:pBdr>
        <w:shd w:fill="EFEFEF" w:val="clear"/>
        <w:spacing w:after="240" w:before="160"/>
        <w:ind w:left="100" w:right="100"/>
      </w:pPr>
      <w:r>
        <w:rPr>
          <w:b/>
          <w:bCs/>
          <w:sz w:val="22"/>
          <w:szCs w:val="22"/>
        </w:rPr>
        <w:t xml:space="preserve">Priority subset: 42 franchises (33.5M SEK) are GROWING today with no confirmed FW27 plan found. Whatever the right call is per franchise — confirm, formally exit, or investigate a matching-heuristic miss — these are the ones that risk silently disappearing from FW27 despite being commercially healthy right now. This list should go to whoever owns range-planning sign-off before the workshop, not be a workshop discussion item itself.</w:t>
      </w:r>
    </w:p>
    <w:p>
      <w:pPr>
        <w:pBdr>
          <w:left w:val="single" w:color="C97A1A" w:sz="18"/>
        </w:pBdr>
        <w:shd w:fill="FCEFDC" w:val="clear"/>
        <w:spacing w:after="120" w:before="100"/>
        <w:ind w:left="150" w:right="100"/>
      </w:pPr>
      <w:r>
        <w:rPr>
          <w:b/>
          <w:bCs/>
          <w:color w:val="8A4B00"/>
        </w:rPr>
        <w:t xml:space="preserve">NOT ANSWERABLE FROM DATA — ASK: </w:t>
      </w:r>
      <w:r>
        <w:t xml:space="preserve">For the 211-franchise list: how many of these are genuine range-planning decisions already made (and simply not yet reflected as this fuzzy-matching heuristic can't confirm), versus items that fell through the cracks? A direct reconciliation against the FW27 range plan (not just the Assortment Attribution Review extract) would resolve this in one pass. Owner: whoever owns FW27 range-planning sign-off.</w:t>
      </w:r>
    </w:p>
    <w:p>
      <w:pPr>
        <w:pStyle w:val="Heading1"/>
        <w:spacing w:after="160" w:before="320"/>
      </w:pPr>
      <w:r>
        <w:t xml:space="preserve">12. Five cross-tier levers: reorganizing the tier findings into an action framework</w:t>
      </w:r>
    </w:p>
    <w:p>
      <w:pPr>
        <w:spacing w:after="160"/>
      </w:pPr>
      <w:r>
        <w:t xml:space="preserve">The eight diagnostic tiers above answer 'what is this franchise.' The five levers below answer 'what do we do about it' — because the same action (a pricing fix, a channel-distribution push, an FW27 decision) recurs across multiple tiers, and the workshop will move faster organized this way than tier-by-tier.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700"/>
        <w:gridCol w:w="2050"/>
      </w:tblGrid>
      <w:tr>
        <w:trPr>
          <w:tblHeader/>
        </w:trPr>
        <w:tc>
          <w:tcPr>
            <w:tcW w:type="dxa" w:w="3300"/>
            <w:shd w:fill="2F2F2F" w:val="clear"/>
            <w:tcMar>
              <w:top w:type="dxa" w:w="60"/>
              <w:left w:type="dxa" w:w="100"/>
              <w:bottom w:type="dxa" w:w="60"/>
              <w:right w:type="dxa" w:w="100"/>
            </w:tcMar>
            <w:vAlign w:val="center"/>
          </w:tcPr>
          <w:p>
            <w:pPr>
              <w:jc w:val="left"/>
            </w:pPr>
            <w:r>
              <w:rPr>
                <w:b/>
                <w:bCs/>
                <w:color w:val="FFFFFF"/>
                <w:sz w:val="19"/>
                <w:szCs w:val="19"/>
              </w:rPr>
              <w:t xml:space="preserve">Lever</w:t>
            </w:r>
          </w:p>
        </w:tc>
        <w:tc>
          <w:tcPr>
            <w:tcW w:type="dxa" w:w="3300"/>
            <w:shd w:fill="2F2F2F" w:val="clear"/>
            <w:tcMar>
              <w:top w:type="dxa" w:w="60"/>
              <w:left w:type="dxa" w:w="100"/>
              <w:bottom w:type="dxa" w:w="60"/>
              <w:right w:type="dxa" w:w="100"/>
            </w:tcMar>
            <w:vAlign w:val="center"/>
          </w:tcPr>
          <w:p>
            <w:pPr>
              <w:jc w:val="center"/>
            </w:pPr>
            <w:r>
              <w:rPr>
                <w:b/>
                <w:bCs/>
                <w:color w:val="FFFFFF"/>
                <w:sz w:val="19"/>
                <w:szCs w:val="19"/>
              </w:rPr>
              <w:t xml:space="preserve">Where it comes from</w:t>
            </w:r>
          </w:p>
        </w:tc>
        <w:tc>
          <w:tcPr>
            <w:tcW w:type="dxa" w:w="700"/>
            <w:shd w:fill="2F2F2F" w:val="clear"/>
            <w:tcMar>
              <w:top w:type="dxa" w:w="60"/>
              <w:left w:type="dxa" w:w="100"/>
              <w:bottom w:type="dxa" w:w="60"/>
              <w:right w:type="dxa" w:w="100"/>
            </w:tcMar>
            <w:vAlign w:val="center"/>
          </w:tcPr>
          <w:p>
            <w:pPr>
              <w:jc w:val="center"/>
            </w:pPr>
            <w:r>
              <w:rPr>
                <w:b/>
                <w:bCs/>
                <w:color w:val="FFFFFF"/>
                <w:sz w:val="19"/>
                <w:szCs w:val="19"/>
              </w:rPr>
              <w:t xml:space="preserve">N</w:t>
            </w:r>
          </w:p>
        </w:tc>
        <w:tc>
          <w:tcPr>
            <w:tcW w:type="dxa" w:w="2050"/>
            <w:shd w:fill="2F2F2F" w:val="clear"/>
            <w:tcMar>
              <w:top w:type="dxa" w:w="60"/>
              <w:left w:type="dxa" w:w="100"/>
              <w:bottom w:type="dxa" w:w="60"/>
              <w:right w:type="dxa" w:w="100"/>
            </w:tcMar>
            <w:vAlign w:val="center"/>
          </w:tcPr>
          <w:p>
            <w:pPr>
              <w:jc w:val="center"/>
            </w:pPr>
            <w:r>
              <w:rPr>
                <w:b/>
                <w:bCs/>
                <w:color w:val="FFFFFF"/>
                <w:sz w:val="19"/>
                <w:szCs w:val="19"/>
              </w:rPr>
              <w:t xml:space="preserve">SEK</w:t>
            </w:r>
          </w:p>
        </w:tc>
      </w:tr>
      <w:tr>
        <w:tc>
          <w:tcPr>
            <w:tcW w:type="dxa" w:w="3300"/>
            <w:tcMar>
              <w:top w:type="dxa" w:w="60"/>
              <w:left w:type="dxa" w:w="100"/>
              <w:bottom w:type="dxa" w:w="60"/>
              <w:right w:type="dxa" w:w="100"/>
            </w:tcMar>
            <w:vAlign w:val="center"/>
          </w:tcPr>
          <w:p>
            <w:pPr>
              <w:jc w:val="left"/>
            </w:pPr>
            <w:r>
              <w:rPr>
                <w:b w:val="false"/>
                <w:bCs w:val="false"/>
                <w:color w:val="000000"/>
                <w:sz w:val="19"/>
                <w:szCs w:val="19"/>
              </w:rPr>
              <w:t xml:space="preserve">1. Core pricing/margin discipline</w:t>
            </w:r>
          </w:p>
        </w:tc>
        <w:tc>
          <w:tcPr>
            <w:tcW w:type="dxa" w:w="3300"/>
            <w:tcMar>
              <w:top w:type="dxa" w:w="60"/>
              <w:left w:type="dxa" w:w="100"/>
              <w:bottom w:type="dxa" w:w="60"/>
              <w:right w:type="dxa" w:w="100"/>
            </w:tcMar>
            <w:vAlign w:val="center"/>
          </w:tcPr>
          <w:p>
            <w:pPr>
              <w:jc w:val="center"/>
            </w:pPr>
            <w:r>
              <w:rPr>
                <w:b w:val="false"/>
                <w:bCs w:val="false"/>
                <w:color w:val="000000"/>
                <w:sz w:val="19"/>
                <w:szCs w:val="19"/>
              </w:rPr>
              <w:t xml:space="preserve">Problem Child — Core Pricing Fix (Section 6)</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129</w:t>
            </w:r>
          </w:p>
        </w:tc>
        <w:tc>
          <w:tcPr>
            <w:tcW w:type="dxa" w:w="2050"/>
            <w:tcMar>
              <w:top w:type="dxa" w:w="60"/>
              <w:left w:type="dxa" w:w="100"/>
              <w:bottom w:type="dxa" w:w="60"/>
              <w:right w:type="dxa" w:w="100"/>
            </w:tcMar>
            <w:vAlign w:val="center"/>
          </w:tcPr>
          <w:p>
            <w:pPr>
              <w:jc w:val="center"/>
            </w:pPr>
            <w:r>
              <w:rPr>
                <w:b w:val="false"/>
                <w:bCs w:val="false"/>
                <w:color w:val="000000"/>
                <w:sz w:val="19"/>
                <w:szCs w:val="19"/>
              </w:rPr>
              <w:t xml:space="preserve">88.5M</w:t>
            </w:r>
          </w:p>
        </w:tc>
      </w:tr>
      <w:tr>
        <w:tc>
          <w:tcPr>
            <w:tcW w:type="dxa" w:w="33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2. FW27 confirm-or-exit</w:t>
            </w:r>
          </w:p>
        </w:tc>
        <w:tc>
          <w:tcPr>
            <w:tcW w:type="dxa" w:w="3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Problem Child + Harvest + Workhorse, no FW27 match (Section 11)</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211</w:t>
            </w:r>
          </w:p>
        </w:tc>
        <w:tc>
          <w:tcPr>
            <w:tcW w:type="dxa" w:w="20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87.4M</w:t>
            </w:r>
          </w:p>
        </w:tc>
      </w:tr>
      <w:tr>
        <w:tc>
          <w:tcPr>
            <w:tcW w:type="dxa" w:w="3300"/>
            <w:tcMar>
              <w:top w:type="dxa" w:w="60"/>
              <w:left w:type="dxa" w:w="100"/>
              <w:bottom w:type="dxa" w:w="60"/>
              <w:right w:type="dxa" w:w="100"/>
            </w:tcMar>
            <w:vAlign w:val="center"/>
          </w:tcPr>
          <w:p>
            <w:pPr>
              <w:jc w:val="left"/>
            </w:pPr>
            <w:r>
              <w:rPr>
                <w:b w:val="false"/>
                <w:bCs w:val="false"/>
                <w:color w:val="000000"/>
                <w:sz w:val="19"/>
                <w:szCs w:val="19"/>
              </w:rPr>
              <w:t xml:space="preserve">3. Wholesale distribution expansion</w:t>
            </w:r>
          </w:p>
        </w:tc>
        <w:tc>
          <w:tcPr>
            <w:tcW w:type="dxa" w:w="3300"/>
            <w:tcMar>
              <w:top w:type="dxa" w:w="60"/>
              <w:left w:type="dxa" w:w="100"/>
              <w:bottom w:type="dxa" w:w="60"/>
              <w:right w:type="dxa" w:w="100"/>
            </w:tcMar>
            <w:vAlign w:val="center"/>
          </w:tcPr>
          <w:p>
            <w:pPr>
              <w:jc w:val="center"/>
            </w:pPr>
            <w:r>
              <w:rPr>
                <w:b w:val="false"/>
                <w:bCs w:val="false"/>
                <w:color w:val="000000"/>
                <w:sz w:val="19"/>
                <w:szCs w:val="19"/>
              </w:rPr>
              <w:t xml:space="preserve">Workhorse scale-up shortlist, WS-lever franchises (Section 7)</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39</w:t>
            </w:r>
          </w:p>
        </w:tc>
        <w:tc>
          <w:tcPr>
            <w:tcW w:type="dxa" w:w="2050"/>
            <w:tcMar>
              <w:top w:type="dxa" w:w="60"/>
              <w:left w:type="dxa" w:w="100"/>
              <w:bottom w:type="dxa" w:w="60"/>
              <w:right w:type="dxa" w:w="100"/>
            </w:tcMar>
            <w:vAlign w:val="center"/>
          </w:tcPr>
          <w:p>
            <w:pPr>
              <w:jc w:val="center"/>
            </w:pPr>
            <w:r>
              <w:rPr>
                <w:b w:val="false"/>
                <w:bCs w:val="false"/>
                <w:color w:val="000000"/>
                <w:sz w:val="19"/>
                <w:szCs w:val="19"/>
              </w:rPr>
              <w:t xml:space="preserve">of 21.9M shortlist</w:t>
            </w:r>
          </w:p>
        </w:tc>
      </w:tr>
      <w:tr>
        <w:tc>
          <w:tcPr>
            <w:tcW w:type="dxa" w:w="33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4. DTC content/marketing investment</w:t>
            </w:r>
          </w:p>
        </w:tc>
        <w:tc>
          <w:tcPr>
            <w:tcW w:type="dxa" w:w="3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Workhorse scale-up shortlist, DTC-lever franchises (Section 7)</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18</w:t>
            </w:r>
          </w:p>
        </w:tc>
        <w:tc>
          <w:tcPr>
            <w:tcW w:type="dxa" w:w="20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of 21.9M shortlist</w:t>
            </w:r>
          </w:p>
        </w:tc>
      </w:tr>
      <w:tr>
        <w:tc>
          <w:tcPr>
            <w:tcW w:type="dxa" w:w="3300"/>
            <w:tcMar>
              <w:top w:type="dxa" w:w="60"/>
              <w:left w:type="dxa" w:w="100"/>
              <w:bottom w:type="dxa" w:w="60"/>
              <w:right w:type="dxa" w:w="100"/>
            </w:tcMar>
            <w:vAlign w:val="center"/>
          </w:tcPr>
          <w:p>
            <w:pPr>
              <w:jc w:val="left"/>
            </w:pPr>
            <w:r>
              <w:rPr>
                <w:b w:val="false"/>
                <w:bCs w:val="false"/>
                <w:color w:val="000000"/>
                <w:sz w:val="19"/>
                <w:szCs w:val="19"/>
              </w:rPr>
              <w:t xml:space="preserve">5. Outlet/special-account re-tagging (not a 'fix' — a reclassification)</w:t>
            </w:r>
          </w:p>
        </w:tc>
        <w:tc>
          <w:tcPr>
            <w:tcW w:type="dxa" w:w="3300"/>
            <w:tcMar>
              <w:top w:type="dxa" w:w="60"/>
              <w:left w:type="dxa" w:w="100"/>
              <w:bottom w:type="dxa" w:w="60"/>
              <w:right w:type="dxa" w:w="100"/>
            </w:tcMar>
            <w:vAlign w:val="center"/>
          </w:tcPr>
          <w:p>
            <w:pPr>
              <w:jc w:val="center"/>
            </w:pPr>
            <w:r>
              <w:rPr>
                <w:b w:val="false"/>
                <w:bCs w:val="false"/>
                <w:color w:val="000000"/>
                <w:sz w:val="19"/>
                <w:szCs w:val="19"/>
              </w:rPr>
              <w:t xml:space="preserve">Problem Child Outlet-Migrated (6.3M) + Thin Alive-in-outlet (2.1M core / 40.2M special)</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103</w:t>
            </w:r>
          </w:p>
        </w:tc>
        <w:tc>
          <w:tcPr>
            <w:tcW w:type="dxa" w:w="2050"/>
            <w:tcMar>
              <w:top w:type="dxa" w:w="60"/>
              <w:left w:type="dxa" w:w="100"/>
              <w:bottom w:type="dxa" w:w="60"/>
              <w:right w:type="dxa" w:w="100"/>
            </w:tcMar>
            <w:vAlign w:val="center"/>
          </w:tcPr>
          <w:p>
            <w:pPr>
              <w:jc w:val="center"/>
            </w:pPr>
            <w:r>
              <w:rPr>
                <w:b w:val="false"/>
                <w:bCs w:val="false"/>
                <w:color w:val="000000"/>
                <w:sz w:val="19"/>
                <w:szCs w:val="19"/>
              </w:rPr>
              <w:t xml:space="preserve">8.4M core / 40.2M special</w:t>
            </w:r>
          </w:p>
        </w:tc>
      </w:tr>
    </w:tbl>
    <w:p>
      <w:pPr>
        <w:pStyle w:val="ListParagraph"/>
        <w:numPr>
          <w:ilvl w:val="0"/>
          <w:numId w:val="2"/>
        </w:numPr>
        <w:spacing w:after="80"/>
      </w:pPr>
      <w:r>
        <w:t xml:space="preserve">Levers 1 and 2 are the two big-ticket items (88.5M and 87.4M SEK respectively) and should anchor the workshop discussion — both are concentrated, well-defined lists ready for named-owner follow-up, not open-ended investigations.</w:t>
      </w:r>
    </w:p>
    <w:p>
      <w:pPr>
        <w:pStyle w:val="ListParagraph"/>
        <w:numPr>
          <w:ilvl w:val="0"/>
          <w:numId w:val="2"/>
        </w:numPr>
        <w:spacing w:after="80"/>
      </w:pPr>
      <w:r>
        <w:t xml:space="preserve">Levers 3–4 are smaller in SEK today (21.9M current sales across 57 franchises) but have a genuinely small gap to close (1.85M SEK to cross the missing-channel presence bar) and are the cleanest 'quick win' — each franchise already works in one channel, this is a distribution/marketing execution question, not a product-market-fit question.</w:t>
      </w:r>
    </w:p>
    <w:p>
      <w:pPr>
        <w:pStyle w:val="ListParagraph"/>
        <w:numPr>
          <w:ilvl w:val="0"/>
          <w:numId w:val="2"/>
        </w:numPr>
        <w:spacing w:after="80"/>
      </w:pPr>
      <w:r>
        <w:t xml:space="preserve">Lever 5 is explicitly NOT a discount-discipline problem — it is a mis-tagging problem. 8.4M SEK of core-scope sales and 40.2M SEK of special-account sales are being judged against core-channel margin/growth norms when they are structurally outlet product. Fixing the tagging (not the pricing) is the correct action.</w:t>
      </w:r>
    </w:p>
    <w:p>
      <w:pPr>
        <w:pStyle w:val="ListParagraph"/>
        <w:numPr>
          <w:ilvl w:val="0"/>
          <w:numId w:val="2"/>
        </w:numPr>
        <w:spacing w:after="80"/>
      </w:pPr>
      <w:r>
        <w:t xml:space="preserve">Not yet a lever, deliberately: New/Test (Section 9) and Harvest's non-FW27-gap remainder (Section 8) both need a person, not a rule — a launch-review checkpoint and a range-planning reconciliation respectively — these are process asks, covered in Section 13, not SEK-sized levers.</w:t>
      </w:r>
    </w:p>
    <w:p>
      <w:r>
        <w:br w:type="page"/>
      </w:r>
    </w:p>
    <w:p>
      <w:pPr>
        <w:pStyle w:val="Heading1"/>
        <w:spacing w:after="160" w:before="320"/>
      </w:pPr>
      <w:r>
        <w:t xml:space="preserve">13. Action plan by owner</w:t>
      </w:r>
    </w:p>
    <w:p>
      <w:pPr>
        <w:pStyle w:val="Heading3"/>
        <w:spacing w:after="100" w:before="200"/>
      </w:pPr>
      <w:r>
        <w:t xml:space="preserve">CPO / Merchandising Director — pricing and product</w:t>
      </w:r>
    </w:p>
    <w:p>
      <w:pPr>
        <w:pStyle w:val="ListParagraph"/>
        <w:numPr>
          <w:ilvl w:val="0"/>
          <w:numId w:val="2"/>
        </w:numPr>
        <w:spacing w:after="80"/>
      </w:pPr>
      <w:r>
        <w:t xml:space="preserve">Own the 129-franchise (88.5M SEK) Core Pricing Fix list: decide pricing fix, cost fix, or exit, per franchise or layer group.</w:t>
      </w:r>
    </w:p>
    <w:p>
      <w:pPr>
        <w:pStyle w:val="ListParagraph"/>
        <w:numPr>
          <w:ilvl w:val="0"/>
          <w:numId w:val="2"/>
        </w:numPr>
        <w:spacing w:after="80"/>
      </w:pPr>
      <w:r>
        <w:t xml:space="preserve">Own the Legwear/Sleeping Bags cost-overrun review flagged in Item 2, which overlaps this tier's diagnosis.</w:t>
      </w:r>
    </w:p>
    <w:p>
      <w:pPr>
        <w:pStyle w:val="Heading3"/>
        <w:spacing w:after="100" w:before="200"/>
      </w:pPr>
      <w:r>
        <w:t xml:space="preserve">Whoever owns FW27 range-planning sign-off</w:t>
      </w:r>
    </w:p>
    <w:p>
      <w:pPr>
        <w:pStyle w:val="ListParagraph"/>
        <w:numPr>
          <w:ilvl w:val="0"/>
          <w:numId w:val="2"/>
        </w:numPr>
        <w:spacing w:after="80"/>
      </w:pPr>
      <w:r>
        <w:t xml:space="preserve">Reconcile the 211-franchise (87.4M SEK) FW27 gap list against the actual range plan, prioritizing the 42 growing-with-no-plan franchises (33.5M SEK) first.</w:t>
      </w:r>
    </w:p>
    <w:p>
      <w:pPr>
        <w:pStyle w:val="ListParagraph"/>
        <w:numPr>
          <w:ilvl w:val="0"/>
          <w:numId w:val="2"/>
        </w:numPr>
        <w:spacing w:after="80"/>
      </w:pPr>
      <w:r>
        <w:t xml:space="preserve">Confirm whether the 142 Harvest franchises continuing in FW27 despite decline are deliberate keeps.</w:t>
      </w:r>
    </w:p>
    <w:p>
      <w:pPr>
        <w:pStyle w:val="Heading3"/>
        <w:spacing w:after="100" w:before="200"/>
      </w:pPr>
      <w:r>
        <w:t xml:space="preserve">Wholesale Director — distribution</w:t>
      </w:r>
    </w:p>
    <w:p>
      <w:pPr>
        <w:pStyle w:val="ListParagraph"/>
        <w:numPr>
          <w:ilvl w:val="0"/>
          <w:numId w:val="2"/>
        </w:numPr>
        <w:spacing w:after="80"/>
      </w:pPr>
      <w:r>
        <w:t xml:space="preserve">Own the 39-franchise Wholesale-distribution-lever shortlist from the Workhorse scale-up list.</w:t>
      </w:r>
    </w:p>
    <w:p>
      <w:pPr>
        <w:pStyle w:val="ListParagraph"/>
        <w:numPr>
          <w:ilvl w:val="0"/>
          <w:numId w:val="2"/>
        </w:numPr>
        <w:spacing w:after="80"/>
      </w:pPr>
      <w:r>
        <w:t xml:space="preserve">Investigate whether the 218-franchise channel-substitution pattern (Section 3) reflects a distribution pull-back.</w:t>
      </w:r>
    </w:p>
    <w:p>
      <w:pPr>
        <w:pStyle w:val="Heading3"/>
        <w:spacing w:after="100" w:before="200"/>
      </w:pPr>
      <w:r>
        <w:t xml:space="preserve">Merchandising Director / Brand &amp; Marketing — DTC and Hero</w:t>
      </w:r>
    </w:p>
    <w:p>
      <w:pPr>
        <w:pStyle w:val="ListParagraph"/>
        <w:numPr>
          <w:ilvl w:val="0"/>
          <w:numId w:val="2"/>
        </w:numPr>
        <w:spacing w:after="80"/>
      </w:pPr>
      <w:r>
        <w:t xml:space="preserve">Own the 18-franchise DTC-content-lever shortlist from the Workhorse scale-up list.</w:t>
      </w:r>
    </w:p>
    <w:p>
      <w:pPr>
        <w:pStyle w:val="ListParagraph"/>
        <w:numPr>
          <w:ilvl w:val="0"/>
          <w:numId w:val="2"/>
        </w:numPr>
        <w:spacing w:after="80"/>
      </w:pPr>
      <w:r>
        <w:t xml:space="preserve">Decide whether the 34-franchise Hero/Near-Hero list becomes the formal basis for content/marketing investment prioritization.</w:t>
      </w:r>
    </w:p>
    <w:p>
      <w:pPr>
        <w:pStyle w:val="Heading3"/>
        <w:spacing w:after="100" w:before="200"/>
      </w:pPr>
      <w:r>
        <w:t xml:space="preserve">Whoever owns the product lifecycle process</w:t>
      </w:r>
    </w:p>
    <w:p>
      <w:pPr>
        <w:pStyle w:val="ListParagraph"/>
        <w:numPr>
          <w:ilvl w:val="0"/>
          <w:numId w:val="2"/>
        </w:numPr>
        <w:spacing w:after="80"/>
      </w:pPr>
      <w:r>
        <w:t xml:space="preserve">Stand up a first-season launch review using the New/Test Tier-1 scorecard (13.0% reorder conversion, 30 priority-flagged launches) as the starting checkpoint.</w:t>
      </w:r>
    </w:p>
    <w:p>
      <w:pPr>
        <w:pStyle w:val="Heading3"/>
        <w:spacing w:after="100" w:before="200"/>
      </w:pPr>
      <w:r>
        <w:t xml:space="preserve">Whoever owns the article master/catalog system</w:t>
      </w:r>
    </w:p>
    <w:p>
      <w:pPr>
        <w:pStyle w:val="ListParagraph"/>
        <w:numPr>
          <w:ilvl w:val="0"/>
          <w:numId w:val="2"/>
        </w:numPr>
        <w:spacing w:after="80"/>
      </w:pPr>
      <w:r>
        <w:t xml:space="preserve">Batch-close the ~620 dead Thin-tier SKUs (Shrinking trace + Faded to zero) as a housekeeping exercise; re-tag the 103 outlet-migrated/alive-in-outlet franchises rather than treating them as core underperformers.</w:t>
      </w:r>
    </w:p>
    <w:p>
      <w:pPr>
        <w:pStyle w:val="Heading1"/>
        <w:spacing w:after="160" w:before="320"/>
      </w:pPr>
      <w:r>
        <w:t xml:space="preserve">14. Full list of open questions for stakeholders</w:t>
      </w:r>
    </w:p>
    <w:p>
      <w:pPr>
        <w:spacing w:after="160"/>
      </w:pPr>
      <w:r>
        <w:t xml:space="preserve">Consolidated from the boxes above, for use as a pre-read distribution list before the workshop: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00"/>
        <w:gridCol w:w="6650"/>
        <w:gridCol w:w="2300"/>
      </w:tblGrid>
      <w:tr>
        <w:trPr>
          <w:tblHeader/>
        </w:trPr>
        <w:tc>
          <w:tcPr>
            <w:tcW w:type="dxa" w:w="400"/>
            <w:shd w:fill="2F2F2F" w:val="clear"/>
            <w:tcMar>
              <w:top w:type="dxa" w:w="60"/>
              <w:left w:type="dxa" w:w="100"/>
              <w:bottom w:type="dxa" w:w="60"/>
              <w:right w:type="dxa" w:w="100"/>
            </w:tcMar>
            <w:vAlign w:val="center"/>
          </w:tcPr>
          <w:p>
            <w:pPr>
              <w:jc w:val="left"/>
            </w:pPr>
            <w:r>
              <w:rPr>
                <w:b/>
                <w:bCs/>
                <w:color w:val="FFFFFF"/>
                <w:sz w:val="19"/>
                <w:szCs w:val="19"/>
              </w:rPr>
              <w:t xml:space="preserve">#</w:t>
            </w:r>
          </w:p>
        </w:tc>
        <w:tc>
          <w:tcPr>
            <w:tcW w:type="dxa" w:w="6650"/>
            <w:shd w:fill="2F2F2F" w:val="clear"/>
            <w:tcMar>
              <w:top w:type="dxa" w:w="60"/>
              <w:left w:type="dxa" w:w="100"/>
              <w:bottom w:type="dxa" w:w="60"/>
              <w:right w:type="dxa" w:w="100"/>
            </w:tcMar>
            <w:vAlign w:val="center"/>
          </w:tcPr>
          <w:p>
            <w:pPr>
              <w:jc w:val="center"/>
            </w:pPr>
            <w:r>
              <w:rPr>
                <w:b/>
                <w:bCs/>
                <w:color w:val="FFFFFF"/>
                <w:sz w:val="19"/>
                <w:szCs w:val="19"/>
              </w:rPr>
              <w:t xml:space="preserve">Question</w:t>
            </w:r>
          </w:p>
        </w:tc>
        <w:tc>
          <w:tcPr>
            <w:tcW w:type="dxa" w:w="2300"/>
            <w:shd w:fill="2F2F2F" w:val="clear"/>
            <w:tcMar>
              <w:top w:type="dxa" w:w="60"/>
              <w:left w:type="dxa" w:w="100"/>
              <w:bottom w:type="dxa" w:w="60"/>
              <w:right w:type="dxa" w:w="100"/>
            </w:tcMar>
            <w:vAlign w:val="center"/>
          </w:tcPr>
          <w:p>
            <w:pPr>
              <w:jc w:val="center"/>
            </w:pPr>
            <w:r>
              <w:rPr>
                <w:b/>
                <w:bCs/>
                <w:color w:val="FFFFFF"/>
                <w:sz w:val="19"/>
                <w:szCs w:val="19"/>
              </w:rPr>
              <w:t xml:space="preserve">Owner</w:t>
            </w:r>
          </w:p>
        </w:tc>
      </w:tr>
      <w:tr>
        <w:tc>
          <w:tcPr>
            <w:tcW w:type="dxa" w:w="400"/>
            <w:tcMar>
              <w:top w:type="dxa" w:w="60"/>
              <w:left w:type="dxa" w:w="100"/>
              <w:bottom w:type="dxa" w:w="60"/>
              <w:right w:type="dxa" w:w="100"/>
            </w:tcMar>
            <w:vAlign w:val="center"/>
          </w:tcPr>
          <w:p>
            <w:pPr>
              <w:jc w:val="left"/>
            </w:pPr>
            <w:r>
              <w:rPr>
                <w:b w:val="false"/>
                <w:bCs w:val="false"/>
                <w:color w:val="000000"/>
                <w:sz w:val="19"/>
                <w:szCs w:val="19"/>
              </w:rPr>
              <w:t xml:space="preserve">1</w:t>
            </w:r>
          </w:p>
        </w:tc>
        <w:tc>
          <w:tcPr>
            <w:tcW w:type="dxa" w:w="6650"/>
            <w:tcMar>
              <w:top w:type="dxa" w:w="60"/>
              <w:left w:type="dxa" w:w="100"/>
              <w:bottom w:type="dxa" w:w="60"/>
              <w:right w:type="dxa" w:w="100"/>
            </w:tcMar>
            <w:vAlign w:val="center"/>
          </w:tcPr>
          <w:p>
            <w:pPr>
              <w:jc w:val="center"/>
            </w:pPr>
            <w:r>
              <w:rPr>
                <w:b w:val="false"/>
                <w:bCs w:val="false"/>
                <w:color w:val="000000"/>
                <w:sz w:val="19"/>
                <w:szCs w:val="19"/>
              </w:rPr>
              <w:t xml:space="preserve">For the 218 substitution-pattern franchises — is the Wholesale decline a distribution pull-back, a sell-through problem, or genuine channel preference?</w:t>
            </w:r>
          </w:p>
        </w:tc>
        <w:tc>
          <w:tcPr>
            <w:tcW w:type="dxa" w:w="2300"/>
            <w:tcMar>
              <w:top w:type="dxa" w:w="60"/>
              <w:left w:type="dxa" w:w="100"/>
              <w:bottom w:type="dxa" w:w="60"/>
              <w:right w:type="dxa" w:w="100"/>
            </w:tcMar>
            <w:vAlign w:val="center"/>
          </w:tcPr>
          <w:p>
            <w:pPr>
              <w:jc w:val="center"/>
            </w:pPr>
            <w:r>
              <w:rPr>
                <w:b w:val="false"/>
                <w:bCs w:val="false"/>
                <w:color w:val="000000"/>
                <w:sz w:val="19"/>
                <w:szCs w:val="19"/>
              </w:rPr>
              <w:t xml:space="preserve">Wholesale Director / Merchandising Director</w:t>
            </w:r>
          </w:p>
        </w:tc>
      </w:tr>
      <w:tr>
        <w:tc>
          <w:tcPr>
            <w:tcW w:type="dxa" w:w="4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2</w:t>
            </w:r>
          </w:p>
        </w:tc>
        <w:tc>
          <w:tcPr>
            <w:tcW w:type="dxa" w:w="66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Should the 34-franchise Hero/Near-Hero list become the formal basis for marketing/content investment prioritization?</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CEO / Brand &amp; Marketing Director</w:t>
            </w:r>
          </w:p>
        </w:tc>
      </w:tr>
      <w:tr>
        <w:tc>
          <w:tcPr>
            <w:tcW w:type="dxa" w:w="400"/>
            <w:tcMar>
              <w:top w:type="dxa" w:w="60"/>
              <w:left w:type="dxa" w:w="100"/>
              <w:bottom w:type="dxa" w:w="60"/>
              <w:right w:type="dxa" w:w="100"/>
            </w:tcMar>
            <w:vAlign w:val="center"/>
          </w:tcPr>
          <w:p>
            <w:pPr>
              <w:jc w:val="left"/>
            </w:pPr>
            <w:r>
              <w:rPr>
                <w:b w:val="false"/>
                <w:bCs w:val="false"/>
                <w:color w:val="000000"/>
                <w:sz w:val="19"/>
                <w:szCs w:val="19"/>
              </w:rPr>
              <w:t xml:space="preserve">3</w:t>
            </w:r>
          </w:p>
        </w:tc>
        <w:tc>
          <w:tcPr>
            <w:tcW w:type="dxa" w:w="6650"/>
            <w:tcMar>
              <w:top w:type="dxa" w:w="60"/>
              <w:left w:type="dxa" w:w="100"/>
              <w:bottom w:type="dxa" w:w="60"/>
              <w:right w:type="dxa" w:w="100"/>
            </w:tcMar>
            <w:vAlign w:val="center"/>
          </w:tcPr>
          <w:p>
            <w:pPr>
              <w:jc w:val="center"/>
            </w:pPr>
            <w:r>
              <w:rPr>
                <w:b w:val="false"/>
                <w:bCs w:val="false"/>
                <w:color w:val="000000"/>
                <w:sz w:val="19"/>
                <w:szCs w:val="19"/>
              </w:rPr>
              <w:t xml:space="preserve">For the 129 Core Pricing Fix franchises — pricing, cost, or exit, per franchise/layer?</w:t>
            </w:r>
          </w:p>
        </w:tc>
        <w:tc>
          <w:tcPr>
            <w:tcW w:type="dxa" w:w="2300"/>
            <w:tcMar>
              <w:top w:type="dxa" w:w="60"/>
              <w:left w:type="dxa" w:w="100"/>
              <w:bottom w:type="dxa" w:w="60"/>
              <w:right w:type="dxa" w:w="100"/>
            </w:tcMar>
            <w:vAlign w:val="center"/>
          </w:tcPr>
          <w:p>
            <w:pPr>
              <w:jc w:val="center"/>
            </w:pPr>
            <w:r>
              <w:rPr>
                <w:b w:val="false"/>
                <w:bCs w:val="false"/>
                <w:color w:val="000000"/>
                <w:sz w:val="19"/>
                <w:szCs w:val="19"/>
              </w:rPr>
              <w:t xml:space="preserve">CPO / Merchandising Director</w:t>
            </w:r>
          </w:p>
        </w:tc>
      </w:tr>
      <w:tr>
        <w:tc>
          <w:tcPr>
            <w:tcW w:type="dxa" w:w="4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4</w:t>
            </w:r>
          </w:p>
        </w:tc>
        <w:tc>
          <w:tcPr>
            <w:tcW w:type="dxa" w:w="66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For the 13 franchises needing Wholesale distribution — listing/account gap, or genuine lack of buyer interest?</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Wholesale Director</w:t>
            </w:r>
          </w:p>
        </w:tc>
      </w:tr>
      <w:tr>
        <w:tc>
          <w:tcPr>
            <w:tcW w:type="dxa" w:w="400"/>
            <w:tcMar>
              <w:top w:type="dxa" w:w="60"/>
              <w:left w:type="dxa" w:w="100"/>
              <w:bottom w:type="dxa" w:w="60"/>
              <w:right w:type="dxa" w:w="100"/>
            </w:tcMar>
            <w:vAlign w:val="center"/>
          </w:tcPr>
          <w:p>
            <w:pPr>
              <w:jc w:val="left"/>
            </w:pPr>
            <w:r>
              <w:rPr>
                <w:b w:val="false"/>
                <w:bCs w:val="false"/>
                <w:color w:val="000000"/>
                <w:sz w:val="19"/>
                <w:szCs w:val="19"/>
              </w:rPr>
              <w:t xml:space="preserve">5</w:t>
            </w:r>
          </w:p>
        </w:tc>
        <w:tc>
          <w:tcPr>
            <w:tcW w:type="dxa" w:w="6650"/>
            <w:tcMar>
              <w:top w:type="dxa" w:w="60"/>
              <w:left w:type="dxa" w:w="100"/>
              <w:bottom w:type="dxa" w:w="60"/>
              <w:right w:type="dxa" w:w="100"/>
            </w:tcMar>
            <w:vAlign w:val="center"/>
          </w:tcPr>
          <w:p>
            <w:pPr>
              <w:jc w:val="center"/>
            </w:pPr>
            <w:r>
              <w:rPr>
                <w:b w:val="false"/>
                <w:bCs w:val="false"/>
                <w:color w:val="000000"/>
                <w:sz w:val="19"/>
                <w:szCs w:val="19"/>
              </w:rPr>
              <w:t xml:space="preserve">For the 142 Harvest franchises confirmed continuing in FW27 despite decline — deliberate keeps or unreviewed?</w:t>
            </w:r>
          </w:p>
        </w:tc>
        <w:tc>
          <w:tcPr>
            <w:tcW w:type="dxa" w:w="2300"/>
            <w:tcMar>
              <w:top w:type="dxa" w:w="60"/>
              <w:left w:type="dxa" w:w="100"/>
              <w:bottom w:type="dxa" w:w="60"/>
              <w:right w:type="dxa" w:w="100"/>
            </w:tcMar>
            <w:vAlign w:val="center"/>
          </w:tcPr>
          <w:p>
            <w:pPr>
              <w:jc w:val="center"/>
            </w:pPr>
            <w:r>
              <w:rPr>
                <w:b w:val="false"/>
                <w:bCs w:val="false"/>
                <w:color w:val="000000"/>
                <w:sz w:val="19"/>
                <w:szCs w:val="19"/>
              </w:rPr>
              <w:t xml:space="preserve">FW27 range-planning owner</w:t>
            </w:r>
          </w:p>
        </w:tc>
      </w:tr>
      <w:tr>
        <w:tc>
          <w:tcPr>
            <w:tcW w:type="dxa" w:w="4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6</w:t>
            </w:r>
          </w:p>
        </w:tc>
        <w:tc>
          <w:tcPr>
            <w:tcW w:type="dxa" w:w="66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Is there appetite to batch-close ~620 dead Thin-tier SKUs for catalog hygiene, independent of the immaterial P&amp;L impact?</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Article master/catalog system owner</w:t>
            </w:r>
          </w:p>
        </w:tc>
      </w:tr>
      <w:tr>
        <w:tc>
          <w:tcPr>
            <w:tcW w:type="dxa" w:w="400"/>
            <w:tcMar>
              <w:top w:type="dxa" w:w="60"/>
              <w:left w:type="dxa" w:w="100"/>
              <w:bottom w:type="dxa" w:w="60"/>
              <w:right w:type="dxa" w:w="100"/>
            </w:tcMar>
            <w:vAlign w:val="center"/>
          </w:tcPr>
          <w:p>
            <w:pPr>
              <w:jc w:val="left"/>
            </w:pPr>
            <w:r>
              <w:rPr>
                <w:b w:val="false"/>
                <w:bCs w:val="false"/>
                <w:color w:val="000000"/>
                <w:sz w:val="19"/>
                <w:szCs w:val="19"/>
              </w:rPr>
              <w:t xml:space="preserve">7</w:t>
            </w:r>
          </w:p>
        </w:tc>
        <w:tc>
          <w:tcPr>
            <w:tcW w:type="dxa" w:w="6650"/>
            <w:tcMar>
              <w:top w:type="dxa" w:w="60"/>
              <w:left w:type="dxa" w:w="100"/>
              <w:bottom w:type="dxa" w:w="60"/>
              <w:right w:type="dxa" w:w="100"/>
            </w:tcMar>
            <w:vAlign w:val="center"/>
          </w:tcPr>
          <w:p>
            <w:pPr>
              <w:jc w:val="center"/>
            </w:pPr>
            <w:r>
              <w:rPr>
                <w:b w:val="false"/>
                <w:bCs w:val="false"/>
                <w:color w:val="000000"/>
                <w:sz w:val="19"/>
                <w:szCs w:val="19"/>
              </w:rPr>
              <w:t xml:space="preserve">For the 211-franchise FW27 gap list — how many are already-made range decisions vs. genuine gaps, especially the 42 growing-with-no-plan franchises?</w:t>
            </w:r>
          </w:p>
        </w:tc>
        <w:tc>
          <w:tcPr>
            <w:tcW w:type="dxa" w:w="2300"/>
            <w:tcMar>
              <w:top w:type="dxa" w:w="60"/>
              <w:left w:type="dxa" w:w="100"/>
              <w:bottom w:type="dxa" w:w="60"/>
              <w:right w:type="dxa" w:w="100"/>
            </w:tcMar>
            <w:vAlign w:val="center"/>
          </w:tcPr>
          <w:p>
            <w:pPr>
              <w:jc w:val="center"/>
            </w:pPr>
            <w:r>
              <w:rPr>
                <w:b w:val="false"/>
                <w:bCs w:val="false"/>
                <w:color w:val="000000"/>
                <w:sz w:val="19"/>
                <w:szCs w:val="19"/>
              </w:rPr>
              <w:t xml:space="preserve">FW27 range-planning owner</w:t>
            </w:r>
          </w:p>
        </w:tc>
      </w:tr>
      <w:tr>
        <w:tc>
          <w:tcPr>
            <w:tcW w:type="dxa" w:w="4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8</w:t>
            </w:r>
          </w:p>
        </w:tc>
        <w:tc>
          <w:tcPr>
            <w:tcW w:type="dxa" w:w="66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Is there a formal post-launch review checkpoint for New/Test styles today, or should the Tier-1 scorecard become that process?</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CPO / Merchandising Director</w:t>
            </w:r>
          </w:p>
        </w:tc>
      </w:tr>
    </w:tbl>
    <w:p>
      <w:pPr>
        <w:spacing w:after="160"/>
      </w:pPr>
      <w:r>
        <w:t xml:space="preserve">One standing caveat, carried from Item 2 and applicable everywhere in this note: FW27-continuation matching is a fuzzy string-match heuristic with no reliable franchise key in the source data — treat any single franchise's 'no match found' status as a prompt to verify manually before acting on it, not as a confirmed fact. Aggregated across 200+ franchises the pattern is reliable; any individual franchise may be a false miss.</w:t>
      </w:r>
    </w:p>
    <w:p>
      <w:pPr>
        <w:pStyle w:val="Heading1"/>
        <w:spacing w:after="160" w:before="320"/>
      </w:pPr>
      <w:r>
        <w:t xml:space="preserve">15. Backup data</w:t>
      </w:r>
    </w:p>
    <w:p>
      <w:pPr>
        <w:pStyle w:val="ListParagraph"/>
        <w:numPr>
          <w:ilvl w:val="0"/>
          <w:numId w:val="2"/>
        </w:numPr>
        <w:spacing w:after="80"/>
      </w:pPr>
      <w:r>
        <w:t xml:space="preserve">bob_item3_portfolio_backup.xlsx — consolidated backup for this note: 19 sheets covering tier definitions, the full 1,860-franchise portfolio, Hero/Near-Hero detail, channel-mix patterns, Problem Child/Workhorse/Harvest/New-Test/Thin per-tier detail, the FW27 confirm-or-exit list, and the gender margin-gap check.</w:t>
      </w:r>
    </w:p>
    <w:p>
      <w:pPr>
        <w:pStyle w:val="ListParagraph"/>
        <w:numPr>
          <w:ilvl w:val="0"/>
          <w:numId w:val="2"/>
        </w:numPr>
        <w:spacing w:after="80"/>
      </w:pPr>
      <w:r>
        <w:t xml:space="preserve">channel_mix_substitution_analysis.xlsx, full_commercial_portfolio_v2.xlsx, workhorse_scaleup_shortlist_final.xlsx, fw27_confirm_or_exit_list.xlsx, new_test_launch_scorecard.xlsx — the individual working files this note's backup consolidates from.</w:t>
      </w:r>
    </w:p>
    <w:p>
      <w:pPr>
        <w:pStyle w:val="ListParagraph"/>
        <w:numPr>
          <w:ilvl w:val="0"/>
          <w:numId w:val="2"/>
        </w:numPr>
        <w:spacing w:after="80"/>
      </w:pPr>
      <w:r>
        <w:t xml:space="preserve">Assortment_Attribution_ReviewF27.xlsx — source for all FW27 continuation-status checks in Sections 6, 8, 11.</w:t>
      </w:r>
    </w:p>
    <w:p>
      <w:pPr>
        <w:pStyle w:val="ListParagraph"/>
        <w:numPr>
          <w:ilvl w:val="0"/>
          <w:numId w:val="2"/>
        </w:numPr>
        <w:spacing w:after="80"/>
      </w:pPr>
      <w:r>
        <w:t xml:space="preserve">All underlying analysis is reproducible from analysis.py / config.py / load_data.py in the project_bob repository, branch claude/project-bob-data-load-uywk15.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pPr>
    <w:rPr>
      <w:b/>
      <w:bCs/>
      <w:color w:val="1F3864"/>
      <w:sz w:val="32"/>
      <w:szCs w:val="32"/>
    </w:rPr>
  </w:style>
  <w:style w:type="paragraph" w:styleId="Heading2">
    <w:name w:val="Heading 2"/>
    <w:basedOn w:val="Normal"/>
    <w:next w:val="Normal"/>
    <w:qFormat/>
    <w:pPr>
      <w:spacing w:after="140" w:before="280"/>
    </w:pPr>
    <w:rPr>
      <w:b/>
      <w:bCs/>
      <w:color w:val="2E5395"/>
      <w:sz w:val="26"/>
      <w:szCs w:val="26"/>
    </w:rPr>
  </w:style>
  <w:style w:type="paragraph" w:styleId="Heading3">
    <w:name w:val="Heading 3"/>
    <w:basedOn w:val="Normal"/>
    <w:next w:val="Normal"/>
    <w:qFormat/>
    <w:pPr>
      <w:spacing w:after="100" w:before="200"/>
    </w:pPr>
    <w:rPr>
      <w:b/>
      <w:bCs/>
      <w:color w:val="444444"/>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2026-07-27T16:00:25.046Z</dcterms:created>
  <dcterms:modified xsi:type="dcterms:W3CDTF">2026-07-27T16:00:25.065Z</dcterms:modified>
</cp:coreProperties>
</file>

<file path=docProps/custom.xml><?xml version="1.0" encoding="utf-8"?>
<Properties xmlns="http://schemas.openxmlformats.org/officeDocument/2006/custom-properties" xmlns:vt="http://schemas.openxmlformats.org/officeDocument/2006/docPropsVTypes"/>
</file>