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5: Wholesale — Preorder/Reorder Economics &amp; Q2 2026 Cross-Reference</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contrary to the standard theory, Wholesale Reorder margin runs BELOW Preorder margin (38.7% vs 40.9% company-wide, and still 43.4% vs 44.9% after excluding special accounts) — the reorder mechanism isn't functioning as intended. Reorder strength is, however, a genuine cross-channel demand signal: it correlates meaningfully with DTC presence (Spearman 0.67), and franchises that never reorder in Wholesale essentially never appear in DTC either. A newly-received Q2 2026 Key Account report — several months more current than any other data in this engagement — confirms and sharpens several open questions from Items 2 and 4: the XXL revenue gap has now materialized (Q2 sell-in −100% YoY), a live price increase on the #1 reordered franchise (Astral GTX) is visibly costing volume at two accounts, and a concrete, fixable data error was found distorting Benelux margin. Section 8 is written as a standalone one-page cross-reference for quick circulation.</w:t>
      </w:r>
    </w:p>
    <w:p>
      <w:pPr>
        <w:pStyle w:val="Heading1"/>
        <w:spacing w:after="160" w:before="320"/>
      </w:pPr>
      <w:r>
        <w:t xml:space="preserve">1. Purpose and scope</w:t>
      </w:r>
    </w:p>
    <w:p>
      <w:pPr>
        <w:spacing w:after="160"/>
      </w:pPr>
      <w:r>
        <w:t xml:space="preserve">This note covers Bridge Item 5 — Wholesale account and ordertype economics — built from three inputs: (a) 2025 full-year Preorder/Reorder/Closeout economics across all 498 Wholesale accounts, (b) an article- and franchise-level test of how much Reorder activity follows an initial Preorder commitment and whether it correlates with DTC performance, and (c) a Q2 2026 Key Account (KA) sell-in and sell-out report, provided directly and covering data through June 2026 — several months more current than the FY2025 sales extract used everywhere else in this engagement.</w:t>
      </w:r>
    </w:p>
    <w:p>
      <w:pPr>
        <w:pBdr>
          <w:left w:val="single" w:color="3C8A4C" w:sz="18"/>
        </w:pBdr>
        <w:shd w:fill="EAF3EA" w:val="clear"/>
        <w:spacing w:after="120" w:before="100"/>
        <w:ind w:left="150" w:right="100"/>
      </w:pPr>
      <w:r>
        <w:rPr>
          <w:b/>
          <w:bCs/>
          <w:color w:val="1F5C2E"/>
        </w:rPr>
        <w:t xml:space="preserve">DATA SHOWS: </w:t>
      </w:r>
      <w:r>
        <w:t xml:space="preserve">Scope note: 'Wholesale' here follows the same definition used throughout this engagement (Sales Channel = Wholesale), covering Preorder, Reorder and Closeout ordertypes. Special accounts (XXL, Zalando, China, Stadium) are included in the full account-level views but flagged throughout, consistent with the exclusion framework established in Items 1-4.</w:t>
      </w:r>
    </w:p>
    <w:p>
      <w:pPr>
        <w:pStyle w:val="Heading1"/>
        <w:spacing w:after="160" w:before="320"/>
      </w:pPr>
      <w:r>
        <w:t xml:space="preserve">2. Executive summary</w:t>
      </w:r>
    </w:p>
    <w:p>
      <w:pPr>
        <w:pStyle w:val="ListParagraph"/>
        <w:numPr>
          <w:ilvl w:val="0"/>
          <w:numId w:val="2"/>
        </w:numPr>
        <w:spacing w:after="80"/>
      </w:pPr>
      <w:r>
        <w:t xml:space="preserve">The theory that Reorder margin should exceed Preorder margin does not hold: company-wide, Preorder GM% is 40.9% vs. Reorder GM% 38.7% — a 2.2pt gap in the 'wrong' direction. It persists even after excluding special accounts (44.9% vs. 43.4%).</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p>
      <w:pPr>
        <w:pStyle w:val="ListParagraph"/>
        <w:numPr>
          <w:ilvl w:val="0"/>
          <w:numId w:val="2"/>
        </w:numPr>
        <w:spacing w:after="80"/>
      </w:pPr>
      <w:r>
        <w:t xml:space="preserve">But this aggregate hides a sharp split: accounts already flagged as structurally different in earlier items (XXL, Zalando, China, RCT Japan, Stadium) show 1-4% follow-through, while genuine specialty-retail accounts (Intersport 85%, Mega Sport 68%, SGN 67%, Outnorth 64%) show healthy 40-85% follow-through. Intersport is the best available internal benchmark for 'what good looks like.'</w:t>
      </w:r>
    </w:p>
    <w:p>
      <w:pPr>
        <w:pStyle w:val="ListParagraph"/>
        <w:numPr>
          <w:ilvl w:val="0"/>
          <w:numId w:val="2"/>
        </w:numPr>
        <w:spacing w:after="80"/>
      </w:pPr>
      <w:r>
        <w:t xml:space="preserve">Astral GTX Jacket is the single best-reordered franchise, company-wide and at Intersport specifically — and independently, it is also classified Hero/Workhorse in the Item 3 portfolio work. Four independent methods now agree on this franchise.</w:t>
      </w:r>
    </w:p>
    <w:p>
      <w:pPr>
        <w:pStyle w:val="ListParagraph"/>
        <w:numPr>
          <w:ilvl w:val="0"/>
          <w:numId w:val="2"/>
        </w:numPr>
        <w:spacing w:after="80"/>
      </w:pPr>
      <w:r>
        <w:t xml:space="preserve">Reorder strength correlates meaningfully with DTC (Retail+E-com) presence: Spearman 0.67 on absolute SEK, still 0.53 after controlling for scale. Franchises with any DTC presence average a 0.17 Reorder/Preorder ratio; franchises with none average 0.008 — essentially zero. Reorder behavior looks like a genuine, channel-agnostic demand signal, not an account-specific quirk.</w:t>
      </w:r>
    </w:p>
    <w:p>
      <w:pPr>
        <w:pStyle w:val="ListParagraph"/>
        <w:numPr>
          <w:ilvl w:val="0"/>
          <w:numId w:val="2"/>
        </w:numPr>
        <w:spacing w:after="80"/>
      </w:pPr>
      <w:r>
        <w:t xml:space="preserve">A year-over-year lead-lag test found no evidence that DTC precedes Wholesale reorder (the hypothesis tested); if anything the data leans the other way, though the honest read is that both are simultaneous symptoms of the same underlying demand, not one causing the other.</w:t>
      </w:r>
    </w:p>
    <w:p>
      <w:pPr>
        <w:pStyle w:val="ListParagraph"/>
        <w:numPr>
          <w:ilvl w:val="0"/>
          <w:numId w:val="2"/>
        </w:numPr>
        <w:spacing w:after="80"/>
      </w:pPr>
      <w:r>
        <w:t xml:space="preserve">A newly-provided Q2 2026 KA report — the most current data available in this engagement — confirms the XXL exit risk has now materialized (Q2 sell-in −100% YoY), documents a live price-increase test on Astral GTX that two accounts blame for lost volume, and surfaces a concrete Benelux data error. Full cross-reference in Section 8.</w:t>
      </w:r>
    </w:p>
    <w:p>
      <w:pPr>
        <w:pStyle w:val="ListParagraph"/>
        <w:numPr>
          <w:ilvl w:val="0"/>
          <w:numId w:val="2"/>
        </w:numPr>
        <w:spacing w:after="80"/>
      </w:pPr>
      <w:r>
        <w:t xml:space="preserve">2026 YTD check-in (Section 9): the Reorder-margin-below-Preorder gap has reversed company-wide (−2.2pt in FY2025 to +5.3pt in YTD2026), though the core-only (ex-special-account) view is more muted (−1.5pt to +0.6pt). At Intersport, Astral GTX Reorder units already exceed Preorder units in 2026 with no visible sign of the live price increase suppressing reorder volume there.</w:t>
      </w:r>
    </w:p>
    <w:p>
      <w:r>
        <w:br w:type="page"/>
      </w:r>
    </w:p>
    <w:p>
      <w:pPr>
        <w:pStyle w:val="Heading1"/>
        <w:spacing w:after="160" w:before="320"/>
      </w:pPr>
      <w:r>
        <w:t xml:space="preserve">3.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00"/>
        <w:gridCol w:w="2100"/>
        <w:gridCol w:w="2100"/>
        <w:gridCol w:w="1900"/>
      </w:tblGrid>
      <w:tr>
        <w:trPr>
          <w:tblHeader/>
        </w:trPr>
        <w:tc>
          <w:tcPr>
            <w:tcW w:type="dxa" w:w="165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Total Sales</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Preorder (GM%)</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Reorder (GM%)</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Closeout (GM%)</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XXL SE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81.9M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70.6M (38.3%)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0.01M (7.4%)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11.3M (−18.0%)</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Intersport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79.9M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66.2M (46.1%)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9.1M (38.5%)</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4.7M (37.5%)</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Zalando</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52.5M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10.1M (67.9%)</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0.4M (noise)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42.1M (27.4%)</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China</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49.1M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47.2M (10.6%)</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1.9M (11.1%)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XXL NO</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33.7M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26.3M (44.0%)</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7.4M (−20.8%)</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Outnorth</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30.8M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26.8M (44.3%)</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3.7M (45.4%)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0.4M (34.9%)</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Eventyr Sport</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26.7M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23.2M (53.3%)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2.3M (30.6%)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1.2M (loss)</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RCT Japan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21.2M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21.1M (40.3%)</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0.06M (40.1%)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SGN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17.9M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14.2M (46.4%)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2.6M (45.3%)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1.1M (26.6%)</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Mega Sport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15.7M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12.1M (35.2%)</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3.6M (30.8%)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r>
    </w:tbl>
    <w:p>
      <w:pPr>
        <w:spacing w:after="200"/>
      </w:pPr>
      <w:r>
        <w:rPr>
          <w:i/>
          <w:iCs/>
          <w:color w:val="555555"/>
          <w:sz w:val="18"/>
          <w:szCs w:val="18"/>
        </w:rPr>
        <w:t xml:space="preserve">Full 498-account table in the backup workbook, sheet 'Account Overview (all 498,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700"/>
        <w:gridCol w:w="16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9"/>
                <w:szCs w:val="19"/>
              </w:rPr>
              <w:t xml:space="preserve">Scope</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Preorder GM%</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Reorder GM%</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Gap</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All Wholesale accounts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40.9%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38.7%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Reorder −2.2pt</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Core only (ex XXL/Zalando/China/Stadium)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44.9%</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43.4%</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Reorder −1.5pt</w:t>
            </w:r>
          </w:p>
        </w:tc>
      </w:tr>
    </w:tbl>
    <w:p>
      <w:pPr>
        <w:pBdr>
          <w:left w:val="single" w:color="3C8A4C" w:sz="18"/>
        </w:pBdr>
        <w:shd w:fill="EAF3EA" w:val="clear"/>
        <w:spacing w:after="120" w:before="100"/>
        <w:ind w:left="150" w:right="100"/>
      </w:pPr>
      <w:r>
        <w:rPr>
          <w:b/>
          <w:bCs/>
          <w:color w:val="1F5C2E"/>
        </w:rPr>
        <w:t xml:space="preserve">DATA SHOWS: </w:t>
      </w:r>
      <w:r>
        <w:t xml:space="preserve">The margin gap holds with and without special accounts — it is not an artifact of them. This is consistent with, and a level-based confirmation of, the Item 2 finding that Reorder ASP declined more than Preorder ASP (−8.3% vs. −4.4% YoY). If Reorder pricing/allocation is being treated as an afterthought rather than a deliberate, planned top-up, that would explain both findings together.</w:t>
      </w:r>
    </w:p>
    <w:p>
      <w:pPr>
        <w:pStyle w:val="Heading1"/>
        <w:spacing w:after="160" w:before="320"/>
      </w:pPr>
      <w:r>
        <w:t xml:space="preserve">4. Reorder follow-through: how much Reorder actually follows Preorder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350"/>
        <w:gridCol w:w="3800"/>
      </w:tblGrid>
      <w:tr>
        <w:trPr>
          <w:tblHeader/>
        </w:trPr>
        <w:tc>
          <w:tcPr>
            <w:tcW w:type="dxa" w:w="3200"/>
            <w:shd w:fill="2F2F2F"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Follow-through rate</w:t>
            </w:r>
          </w:p>
        </w:tc>
        <w:tc>
          <w:tcPr>
            <w:tcW w:type="dxa" w:w="3800"/>
            <w:shd w:fill="2F2F2F" w:val="clear"/>
            <w:tcMar>
              <w:top w:type="dxa" w:w="60"/>
              <w:left w:type="dxa" w:w="100"/>
              <w:bottom w:type="dxa" w:w="60"/>
              <w:right w:type="dxa" w:w="100"/>
            </w:tcMar>
            <w:vAlign w:val="center"/>
          </w:tcPr>
          <w:p>
            <w:pPr>
              <w:jc w:val="center"/>
            </w:pPr>
            <w:r>
              <w:rPr>
                <w:b/>
                <w:bCs/>
                <w:color w:val="FFFFFF"/>
                <w:sz w:val="19"/>
                <w:szCs w:val="19"/>
              </w:rPr>
              <w:t xml:space="preserve">Examples</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'Special' accounts (flagged in Items 1-4)</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1-4% — essentially none</w:t>
            </w:r>
          </w:p>
        </w:tc>
        <w:tc>
          <w:tcPr>
            <w:tcW w:type="dxa" w:w="3800"/>
            <w:tcMar>
              <w:top w:type="dxa" w:w="60"/>
              <w:left w:type="dxa" w:w="100"/>
              <w:bottom w:type="dxa" w:w="60"/>
              <w:right w:type="dxa" w:w="100"/>
            </w:tcMar>
            <w:vAlign w:val="center"/>
          </w:tcPr>
          <w:p>
            <w:pPr>
              <w:jc w:val="center"/>
            </w:pPr>
            <w:r>
              <w:rPr>
                <w:b w:val="false"/>
                <w:bCs w:val="false"/>
                <w:color w:val="000000"/>
                <w:sz w:val="19"/>
                <w:szCs w:val="19"/>
              </w:rPr>
              <w:t xml:space="preserve">XXL SE 2.8%, XXL NO 4.2%, Zalando 1.3%, China 12.0%, RCT Japan 2.3%, Stadium 2.2%</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Genuine specialty-retail accounts</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40-85% — healthy</w:t>
            </w:r>
          </w:p>
        </w:tc>
        <w:tc>
          <w:tcPr>
            <w:tcW w:type="dxa" w:w="3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Intersport 85.0%, Mega Sport 68.0%, SGN 66.8%, Outnorth 63.6%, Scandinavian Outdoor 40.2%</w:t>
            </w:r>
          </w:p>
        </w:tc>
      </w:tr>
    </w:tbl>
    <w:p>
      <w:pPr>
        <w:pBdr>
          <w:left w:val="single" w:color="3C8A4C" w:sz="18"/>
        </w:pBdr>
        <w:shd w:fill="EAF3EA" w:val="clear"/>
        <w:spacing w:after="120" w:before="100"/>
        <w:ind w:left="150" w:right="100"/>
      </w:pPr>
      <w:r>
        <w:rPr>
          <w:b/>
          <w:bCs/>
          <w:color w:val="1F5C2E"/>
        </w:rPr>
        <w:t xml:space="preserve">DATA SHOWS: </w:t>
      </w:r>
      <w:r>
        <w:t xml:space="preserve">Every account with near-zero follow-through is one already flagged as structurally different for other reasons (planned wind-down, outlet mechanism, cost-plus arrangement,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pBdr>
          <w:left w:val="single" w:color="C97A1A" w:sz="18"/>
        </w:pBdr>
        <w:shd w:fill="FCEFDC" w:val="clear"/>
        <w:spacing w:after="120" w:before="100"/>
        <w:ind w:left="150" w:right="100"/>
      </w:pPr>
      <w:r>
        <w:rPr>
          <w:b/>
          <w:bCs/>
          <w:color w:val="8A4B00"/>
        </w:rPr>
        <w:t xml:space="preserve">NOT ANSWERABLE FROM DATA — ASK: </w:t>
      </w:r>
      <w:r>
        <w:t xml:space="preserve">No external industry benchmark exists for reorder-conversion rate or Preorder-vs-Reorder margin differential — this is treated as internal operating detail across the industry, not published in aggregate reports or earnings calls (confirmed via search of Columbia Sportswear and VF Corp public filings, among others). The closest public anchor is 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r>
        <w:br w:type="page"/>
      </w:r>
    </w:p>
    <w:p>
      <w:pPr>
        <w:pStyle w:val="Heading1"/>
        <w:spacing w:after="160" w:before="320"/>
      </w:pPr>
      <w:r>
        <w:t xml:space="preserve">5. Best reordered items: Astral GTX is the flagship, confirmed a fourth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50"/>
        <w:gridCol w:w="1500"/>
        <w:gridCol w:w="1900"/>
        <w:gridCol w:w="11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9"/>
                <w:szCs w:val="19"/>
              </w:rPr>
              <w:t xml:space="preserve">Rank (all accounts)</w:t>
            </w:r>
          </w:p>
        </w:tc>
        <w:tc>
          <w:tcPr>
            <w:tcW w:type="dxa" w:w="2650"/>
            <w:shd w:fill="2F2F2F" w:val="clear"/>
            <w:tcMar>
              <w:top w:type="dxa" w:w="60"/>
              <w:left w:type="dxa" w:w="100"/>
              <w:bottom w:type="dxa" w:w="60"/>
              <w:right w:type="dxa" w:w="100"/>
            </w:tcMar>
            <w:vAlign w:val="center"/>
          </w:tcPr>
          <w:p>
            <w:pPr>
              <w:jc w:val="center"/>
            </w:pPr>
            <w:r>
              <w:rPr>
                <w:b/>
                <w:bCs/>
                <w:color w:val="FFFFFF"/>
                <w:sz w:val="19"/>
                <w:szCs w:val="19"/>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Reorder SEK</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Reorder/Preorder ratio</w:t>
            </w:r>
          </w:p>
        </w:tc>
        <w:tc>
          <w:tcPr>
            <w:tcW w:type="dxa" w:w="1100"/>
            <w:shd w:fill="2F2F2F" w:val="clear"/>
            <w:tcMar>
              <w:top w:type="dxa" w:w="60"/>
              <w:left w:type="dxa" w:w="100"/>
              <w:bottom w:type="dxa" w:w="60"/>
              <w:right w:type="dxa" w:w="100"/>
            </w:tcMar>
            <w:vAlign w:val="center"/>
          </w:tcPr>
          <w:p>
            <w:pPr>
              <w:jc w:val="center"/>
            </w:pPr>
            <w:r>
              <w:rPr>
                <w:b/>
                <w:bCs/>
                <w:color w:val="FFFFFF"/>
                <w:sz w:val="19"/>
                <w:szCs w:val="19"/>
              </w:rPr>
              <w:t xml:space="preserve">Item 3 tier</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Astral GTX Jacket, Men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2.96M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0.30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Workhorse, +19.8% growth</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0.28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Hero, +20.2% growth</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Astral GTX Pant, Women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0.6M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0.54</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Hero, +110.7% growth</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Pant,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0.79M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0.54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Workhorse, +45.0% growth</w:t>
            </w:r>
          </w:p>
        </w:tc>
      </w:tr>
    </w:tbl>
    <w:p>
      <w:pPr>
        <w:spacing w:after="160"/>
      </w:pPr>
      <w:r>
        <w:t xml:space="preserve">Other top reorder drivers: Haglöfs Ridge GTX Low, Front Proof Jacket, Tight Large/Medium (base layer), Lava 50/Vide 25 (packs), Corker Large, ROC Flash GTX Jacket, Buteo Mid Jacket, Rosson Down Hood — a genuinely diverse spread across layers.</w:t>
      </w:r>
    </w:p>
    <w:p>
      <w:pPr>
        <w:pBdr>
          <w:left w:val="single" w:color="3C8A4C" w:sz="18"/>
        </w:pBdr>
        <w:shd w:fill="EAF3EA" w:val="clear"/>
        <w:spacing w:after="120" w:before="100"/>
        <w:ind w:left="150" w:right="100"/>
      </w:pPr>
      <w:r>
        <w:rPr>
          <w:b/>
          <w:bCs/>
          <w:color w:val="1F5C2E"/>
        </w:rPr>
        <w:t xml:space="preserve">DATA SHOWS: </w:t>
      </w:r>
      <w:r>
        <w:t xml:space="preserve">At Intersport specifically, Astral GTX also tops the list, but only 4 of the top 20 articles overlap between 'all accounts' and 'Intersport' — Intersport has real account-specific favorites (Husk Jacket, Sarna Mimic Hood, Moran Softshell Pant) beyond the universal winners. Intersport also reorders Astral GTX Pant unusually hard — a 0.84 (Men) / 1.00 (Women) reorder-to-preorder ratio, well above the 0.54 company average — worth asking Intersport's buyer directly what's different about their read on that style.</w:t>
      </w:r>
    </w:p>
    <w:p>
      <w:pPr>
        <w:pStyle w:val="Heading1"/>
        <w:spacing w:after="160" w:before="320"/>
      </w:pPr>
      <w:r>
        <w:t xml:space="preserve">6. Does Reorder strength correlate with DTC performance?</w:t>
      </w:r>
    </w:p>
    <w:p>
      <w:pPr>
        <w:spacing w:after="160"/>
      </w:pPr>
      <w:r>
        <w:t xml:space="preserve">Tested at franchise level (455 franchises with ≥100K SEK Wholesale Preorder in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2F2F2F" w:val="clear"/>
            <w:tcMar>
              <w:top w:type="dxa" w:w="60"/>
              <w:left w:type="dxa" w:w="100"/>
              <w:bottom w:type="dxa" w:w="60"/>
              <w:right w:type="dxa" w:w="100"/>
            </w:tcMar>
            <w:vAlign w:val="center"/>
          </w:tcPr>
          <w:p>
            <w:pPr>
              <w:jc w:val="left"/>
            </w:pPr>
            <w:r>
              <w:rPr>
                <w:b/>
                <w:bCs/>
                <w:color w:val="FFFFFF"/>
                <w:sz w:val="19"/>
                <w:szCs w:val="19"/>
              </w:rPr>
              <w:t xml:space="preserve">Test</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Result</w:t>
            </w:r>
          </w:p>
        </w:tc>
      </w:tr>
      <w:tr>
        <w:tc>
          <w:tcPr>
            <w:tcW w:type="dxa" w:w="6350"/>
            <w:tcMar>
              <w:top w:type="dxa" w:w="60"/>
              <w:left w:type="dxa" w:w="100"/>
              <w:bottom w:type="dxa" w:w="60"/>
              <w:right w:type="dxa" w:w="100"/>
            </w:tcMar>
            <w:vAlign w:val="center"/>
          </w:tcPr>
          <w:p>
            <w:pPr>
              <w:jc w:val="left"/>
            </w:pPr>
            <w:r>
              <w:rPr>
                <w:b w:val="false"/>
                <w:bCs w:val="false"/>
                <w:color w:val="000000"/>
                <w:sz w:val="19"/>
                <w:szCs w:val="19"/>
              </w:rPr>
              <w:t xml:space="preserve">Reorder SEK vs. DTC Sales (Spearman)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0.669</w:t>
            </w:r>
          </w:p>
        </w:tc>
      </w:tr>
      <w:tr>
        <w:tc>
          <w:tcPr>
            <w:tcW w:type="dxa" w:w="6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Reorder/Preorder ratio (scale-independent) vs. DTC Sales (Spearman)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0.526</w:t>
            </w:r>
          </w:p>
        </w:tc>
      </w:tr>
      <w:tr>
        <w:tc>
          <w:tcPr>
            <w:tcW w:type="dxa" w:w="6350"/>
            <w:tcMar>
              <w:top w:type="dxa" w:w="60"/>
              <w:left w:type="dxa" w:w="100"/>
              <w:bottom w:type="dxa" w:w="60"/>
              <w:right w:type="dxa" w:w="100"/>
            </w:tcMar>
            <w:vAlign w:val="center"/>
          </w:tcPr>
          <w:p>
            <w:pPr>
              <w:jc w:val="left"/>
            </w:pPr>
            <w:r>
              <w:rPr>
                <w:b w:val="false"/>
                <w:bCs w:val="false"/>
                <w:color w:val="000000"/>
                <w:sz w:val="19"/>
                <w:szCs w:val="19"/>
              </w:rPr>
              <w:t xml:space="preserve">Log-log correlation among franchises with both metrics &gt; 0 (N=366)</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0.469</w:t>
            </w:r>
          </w:p>
        </w:tc>
      </w:tr>
      <w:tr>
        <w:tc>
          <w:tcPr>
            <w:tcW w:type="dxa" w:w="6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Mean Reorder/Preorder ratio, franchises WITH DTC presence</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0.169 (median 0.127)</w:t>
            </w:r>
          </w:p>
        </w:tc>
      </w:tr>
      <w:tr>
        <w:tc>
          <w:tcPr>
            <w:tcW w:type="dxa" w:w="6350"/>
            <w:tcMar>
              <w:top w:type="dxa" w:w="60"/>
              <w:left w:type="dxa" w:w="100"/>
              <w:bottom w:type="dxa" w:w="60"/>
              <w:right w:type="dxa" w:w="100"/>
            </w:tcMar>
            <w:vAlign w:val="center"/>
          </w:tcPr>
          <w:p>
            <w:pPr>
              <w:jc w:val="left"/>
            </w:pPr>
            <w:r>
              <w:rPr>
                <w:b w:val="false"/>
                <w:bCs w:val="false"/>
                <w:color w:val="000000"/>
                <w:sz w:val="19"/>
                <w:szCs w:val="19"/>
              </w:rPr>
              <w:t xml:space="preserve">Mean Reorder/Preorder ratio, franchises WITHOUT DTC presence</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0.008 (median 0.000)</w:t>
            </w:r>
          </w:p>
        </w:tc>
      </w:tr>
    </w:tbl>
    <w:p>
      <w:pPr>
        <w:pBdr>
          <w:left w:val="single" w:color="3C8A4C" w:sz="18"/>
        </w:pBdr>
        <w:shd w:fill="EAF3EA" w:val="clear"/>
        <w:spacing w:after="120" w:before="100"/>
        <w:ind w:left="150" w:right="100"/>
      </w:pPr>
      <w:r>
        <w:rPr>
          <w:b/>
          <w:bCs/>
          <w:color w:val="1F5C2E"/>
        </w:rPr>
        <w:t xml:space="preserve">DATA SHOWS: </w:t>
      </w:r>
      <w:r>
        <w:t xml:space="preserve">The relationship survives controlling for scale — this is not simply 'big products sell everywhere.' The sharpest cut is the presence-rate gap: franchises with no DTC presence essentially never reorder in Wholesale either (&gt;20x gap in mean ratio). Reorder behavior and DTC success look like two measurements of the same underlying demand signal — which means reorder rate could serve as an early, cheap read on whether a style deserves DTC investment or Hero-track attention, without waiting a full season for DTC data.</w:t>
      </w:r>
    </w:p>
    <w:p>
      <w:pPr>
        <w:pStyle w:val="Heading1"/>
        <w:spacing w:after="160" w:before="320"/>
      </w:pPr>
      <w:r>
        <w:t xml:space="preserve">7. Does DTC lead Wholesale Reorder, or the reverse? A lead-lag test</w:t>
      </w:r>
    </w:p>
    <w:p>
      <w:pPr>
        <w:pBdr>
          <w:left w:val="single" w:color="C97A1A" w:sz="18"/>
        </w:pBdr>
        <w:shd w:fill="FCEFDC" w:val="clear"/>
        <w:spacing w:after="120" w:before="100"/>
        <w:ind w:left="150" w:right="100"/>
      </w:pPr>
      <w:r>
        <w:rPr>
          <w:b/>
          <w:bCs/>
          <w:color w:val="8A4B00"/>
        </w:rPr>
        <w:t xml:space="preserve">NOT ANSWERABLE FROM DATA — ASK: </w:t>
      </w:r>
      <w:r>
        <w:t xml:space="preserve">There is no date/month field anywhere in the sales extract (Wholesale, Retail, or E-com) — only Year. True within-season sequencing ('did this sell in DTC before it got reordered in Wholesale') cannot be tested with this data. This is the same standing gap flagged in Item 2. The best available proxy is a year-over-year lag using 2024 and 2025 annual figures.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9"/>
                <w:szCs w:val="19"/>
              </w:rPr>
              <w:t xml:space="preserve">Test (2024 → 2025)</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Spearman</w:t>
            </w:r>
          </w:p>
        </w:tc>
        <w:tc>
          <w:tcPr>
            <w:tcW w:type="dxa" w:w="4750"/>
            <w:shd w:fill="2F2F2F" w:val="clear"/>
            <w:tcMar>
              <w:top w:type="dxa" w:w="60"/>
              <w:left w:type="dxa" w:w="100"/>
              <w:bottom w:type="dxa" w:w="60"/>
              <w:right w:type="dxa" w:w="100"/>
            </w:tcMar>
            <w:vAlign w:val="center"/>
          </w:tcPr>
          <w:p>
            <w:pPr>
              <w:jc w:val="center"/>
            </w:pPr>
            <w:r>
              <w:rPr>
                <w:b/>
                <w:bCs/>
                <w:color w:val="FFFFFF"/>
                <w:sz w:val="19"/>
                <w:szCs w:val="19"/>
              </w:rPr>
              <w:t xml:space="preserve">Presence-rate gap</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'DTC-first': DTC 2024 → WS Reorder 2025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0.208</w:t>
            </w:r>
          </w:p>
        </w:tc>
        <w:tc>
          <w:tcPr>
            <w:tcW w:type="dxa" w:w="4750"/>
            <w:tcMar>
              <w:top w:type="dxa" w:w="60"/>
              <w:left w:type="dxa" w:w="100"/>
              <w:bottom w:type="dxa" w:w="60"/>
              <w:right w:type="dxa" w:w="100"/>
            </w:tcMar>
            <w:vAlign w:val="center"/>
          </w:tcPr>
          <w:p>
            <w:pPr>
              <w:jc w:val="center"/>
            </w:pPr>
            <w:r>
              <w:rPr>
                <w:b w:val="false"/>
                <w:bCs w:val="false"/>
                <w:color w:val="000000"/>
                <w:sz w:val="19"/>
                <w:szCs w:val="19"/>
              </w:rPr>
              <w:t xml:space="preserve">Had DTC '24: 85.2% got Reorder '25 vs. No DTC '24: 68.2% — 17pt gap</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'WS-Reorder-first': WS Reorder 2024 → DTC 2025</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0.616</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Had Reorder '24: 96.8% had DTC '25 vs. No Reorder '24: 61.1% — 35.7pt gap</w:t>
            </w:r>
          </w:p>
        </w:tc>
      </w:tr>
    </w:tbl>
    <w:p>
      <w:pPr>
        <w:pBdr>
          <w:left w:val="single" w:color="3C8A4C" w:sz="18"/>
        </w:pBdr>
        <w:shd w:fill="EAF3EA" w:val="clear"/>
        <w:spacing w:after="120" w:before="100"/>
        <w:ind w:left="150" w:right="100"/>
      </w:pPr>
      <w:r>
        <w:rPr>
          <w:b/>
          <w:bCs/>
          <w:color w:val="1F5C2E"/>
        </w:rPr>
        <w:t xml:space="preserve">DATA SHOWS: </w:t>
      </w:r>
      <w:r>
        <w:t xml:space="preserve">If anything, the data leans against the 'DTC proves it first' hypothesis — the WS-Reorder-first lag is notably stronger. But both cross-year figures are weaker than the same-year correlation (0.744 in 2024, 0.524 in 2025), which is the more honest read: a franchise's underlying health shows up in both channels at roughly the same time, rather than one channel clearly leading the other. For genuinely new launches (New/Test tier, no prior-year history to create persistence bias), 86.7% get a Wholesale reorder and 86.0% get DTC presence in their very first year — almost identical, both channels activate together.</w:t>
      </w:r>
    </w:p>
    <w:p>
      <w:r>
        <w:br w:type="page"/>
      </w:r>
    </w:p>
    <w:p>
      <w:pPr>
        <w:pStyle w:val="Heading1"/>
        <w:spacing w:after="160" w:before="320"/>
      </w:pPr>
      <w:r>
        <w:t xml:space="preserve">8. Q2 2026 Key Account report — cross-reference to Items 2, 4 and 5</w:t>
      </w:r>
    </w:p>
    <w:p>
      <w:pPr>
        <w:spacing w:after="160"/>
      </w:pPr>
      <w:r>
        <w:t xml:space="preserve">This section is written to stand alone as a one-page circulation note. A Q2 2026 (Apr-Jun) Key Account sell-in and sell-out report was provided directly — the most current data available anywhere in this engagement, several months ahead of the FY2025 extract used elsewhere. Eight findings map directly onto open questions already raised.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900"/>
        <w:gridCol w:w="2450"/>
      </w:tblGrid>
      <w:tr>
        <w:trPr>
          <w:tblHeader/>
        </w:trPr>
        <w:tc>
          <w:tcPr>
            <w:tcW w:type="dxa" w:w="1500"/>
            <w:shd w:fill="2F2F2F" w:val="clear"/>
            <w:tcMar>
              <w:top w:type="dxa" w:w="60"/>
              <w:left w:type="dxa" w:w="100"/>
              <w:bottom w:type="dxa" w:w="60"/>
              <w:right w:type="dxa" w:w="100"/>
            </w:tcMar>
            <w:vAlign w:val="center"/>
          </w:tcPr>
          <w:p>
            <w:pPr>
              <w:jc w:val="left"/>
            </w:pPr>
            <w:r>
              <w:rPr>
                <w:b/>
                <w:bCs/>
                <w:color w:val="FFFFFF"/>
                <w:sz w:val="19"/>
                <w:szCs w:val="19"/>
              </w:rPr>
              <w:t xml:space="preserve">Topic</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Prior finding</w:t>
            </w:r>
          </w:p>
        </w:tc>
        <w:tc>
          <w:tcPr>
            <w:tcW w:type="dxa" w:w="2900"/>
            <w:shd w:fill="2F2F2F" w:val="clear"/>
            <w:tcMar>
              <w:top w:type="dxa" w:w="60"/>
              <w:left w:type="dxa" w:w="100"/>
              <w:bottom w:type="dxa" w:w="60"/>
              <w:right w:type="dxa" w:w="100"/>
            </w:tcMar>
            <w:vAlign w:val="center"/>
          </w:tcPr>
          <w:p>
            <w:pPr>
              <w:jc w:val="center"/>
            </w:pPr>
            <w:r>
              <w:rPr>
                <w:b/>
                <w:bCs/>
                <w:color w:val="FFFFFF"/>
                <w:sz w:val="19"/>
                <w:szCs w:val="19"/>
              </w:rPr>
              <w:t xml:space="preserve">Q2 2026 evidence</w:t>
            </w:r>
          </w:p>
        </w:tc>
        <w:tc>
          <w:tcPr>
            <w:tcW w:type="dxa" w:w="2450"/>
            <w:shd w:fill="2F2F2F" w:val="clear"/>
            <w:tcMar>
              <w:top w:type="dxa" w:w="60"/>
              <w:left w:type="dxa" w:w="100"/>
              <w:bottom w:type="dxa" w:w="60"/>
              <w:right w:type="dxa" w:w="100"/>
            </w:tcMar>
            <w:vAlign w:val="center"/>
          </w:tcPr>
          <w:p>
            <w:pPr>
              <w:jc w:val="center"/>
            </w:pPr>
            <w:r>
              <w:rPr>
                <w:b/>
                <w:bCs/>
                <w:color w:val="FFFFFF"/>
                <w:sz w:val="19"/>
                <w:szCs w:val="19"/>
              </w:rPr>
              <w:t xml:space="preserve">Implication</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XXL replacement gap</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Item 4 / CEO note: 'no named replacement plan'</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XXL Q2 2026 sell-in = 5,381 SEK vs. LY 22.8M vs. budget 35.1M (−100% both)</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Risk has materialized, not a future concern. ~23M SEK/quarter gap, still no named replacement — highest-urgency item here.</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FW27 pricing gap / no planned RRP increase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2 Sec. 8 (−24.2% price realization vs. target); CEO: 'no planned RRP increase, never discussed'</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price raised ~2,700→3,200 SEK (RRP 4,500); 2 accounts independently blame it for lost sell-out volume</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Live evidence that price increases carry real volume risk on the flagship franchise. Stress-test any pricing fix against this.</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Reorder weakness (this note, Sec. 3-4)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Reorder GM 38.7% vs. Preorder 40.9%; 27.4% follow-through</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Outnorth reorders −55% H1 2026 (1.7M vs. 3.8M LY); Bever reorders −91% H1 2026</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The annual-level weakness is accelerating into live 2026 data, not stabilizing.</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Own-outlet stock / end-of-season supply</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4 Sec. 6 — sales-data proxy, explicitly unverified without real inventory data</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Stadium carrying FY24 stock into FY25/26; inventory value +70% to +135% YoY; margin down 2.1pt as a direct result</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Live, named-account confirmation the excess-stock dynamic is real, not just a modeled proxy.</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Germany Zalando-inflated growth</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Item 4 Sec. 4 — +15.4% headline vs. −18.2% ex-Zalando</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Germany section is missing from this Q2 2026 deck (divider slide, no content behind it)</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Cannot cross-check this quarter. Flag as a data-completeness ask — Germany is top-3 in both current Wholesale and the store plan.</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China / Japan 'growth'</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5 open-question list — deliberate strategy or one-off?</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Report states explicitly: 'Most distributors over budget in Q2, early shipment started on FW26'</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Confirms the caution already raised — shipment timing/pull-forward, not confirmed organic growth. May reverse in Q3/Q4.</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Data-quality risk in regional accounts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Recurring theme, Items 1-2</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NEW: Rosson Softshell Hood Men, Wholesale, Benelux — 771,035 SEK sales, only 2,241 SEK margin (0.3% GM%) vs. 44-55% elsewhere for the same article. Root cause: landed-cost data-entry typo on an air-freighted batch, independently confirmed by the KA report at 2 accounts.</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A concrete, fixable one-line data error — explains the report's 'Benelux margin down 8-9pt' finding. Correct before it contaminates any bridge or account-level number.</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Astral GTX as flagship franchise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3 (Hero tier), this note Sec. 5 (#1 reordered franchise)</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 or top-3 article at nearly every account in this deck (Intersport SE/FI, Eventyrsport DK, Naturkompaniet, Scandinavian Outdoor FI)</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Cross-validated a fourth independent way. Also now the site of the highest-stakes pricing test (row 2) — treat with care.</w:t>
            </w:r>
          </w:p>
        </w:tc>
      </w:tr>
    </w:tbl>
    <w:p>
      <w:pPr>
        <w:pBdr>
          <w:left w:val="single" w:color="B23A3A" w:sz="18"/>
        </w:pBdr>
        <w:shd w:fill="FBE7E7" w:val="clear"/>
        <w:spacing w:after="120" w:before="100"/>
        <w:ind w:left="150" w:right="100"/>
      </w:pPr>
      <w:r>
        <w:rPr>
          <w:b/>
          <w:bCs/>
          <w:color w:val="7A1F1F"/>
        </w:rPr>
        <w:t xml:space="preserve">Q2 2026 LIVE EVIDENCE: </w:t>
      </w:r>
      <w:r>
        <w:t xml:space="preserve">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(row 2 above) is discussed at the workshop.</w:t>
      </w:r>
    </w:p>
    <w:p>
      <w:pPr>
        <w:pBdr>
          <w:left w:val="single" w:color="B23A3A" w:sz="18"/>
        </w:pBdr>
        <w:shd w:fill="FBE7E7" w:val="clear"/>
        <w:spacing w:after="120" w:before="100"/>
        <w:ind w:left="150" w:right="100"/>
      </w:pPr>
      <w:r>
        <w:rPr>
          <w:b/>
          <w:bCs/>
          <w:color w:val="7A1F1F"/>
        </w:rPr>
        <w:t xml:space="preserve">Q2 2026 LIVE EVIDENCE: </w:t>
      </w:r>
      <w:r>
        <w:t xml:space="preserve">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 Intersport Sweden remains the standout healthy account (sell-out +13%, invoiced +50.1%) but still shows margin down 2.2pt YoY (37.8%) — erosion is happening even at the healthiest relationship. John Lewis UK shows invoiced +62% but underlying sell-through −43%, explicitly described as 'old stock holding last year was driving sales' — a stocking effect, not demand. Scandinavian Outdoor Finland (invoiced −42%) cites concrete execution problems: 'missing a lot of important articles on re-orders,' 'totally out from the 2.5-layer business,' and 'unhealthy size range.'</w:t>
      </w:r>
    </w:p>
    <w:p>
      <w:r>
        <w:br w:type="page"/>
      </w:r>
    </w:p>
    <w:p>
      <w:pPr>
        <w:pStyle w:val="Heading1"/>
        <w:spacing w:after="160" w:before="320"/>
      </w:pPr>
      <w:r>
        <w:t xml:space="preserve">9. 2026 YTD check-in: the Reorder margin gap has reversed</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2026 YTD sales extract (as of 2026-07-28) arrived after this note was written. Caveat: neither this file nor the FY2024/2025 extracts have a date field, so the comparison period can't be matched exactly -- this cut covers an estimated 40-44% of a year, cross-checked against the P&amp;L's YTD columns. Every year in this data has shown its own one-off distortions, so treat this as a strong directional read, not a confirmed annual number.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950"/>
        <w:gridCol w:w="1950"/>
        <w:gridCol w:w="18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Scope / Period</w:t>
            </w:r>
          </w:p>
        </w:tc>
        <w:tc>
          <w:tcPr>
            <w:tcW w:type="dxa" w:w="1950"/>
            <w:shd w:fill="2F2F2F" w:val="clear"/>
            <w:tcMar>
              <w:top w:type="dxa" w:w="60"/>
              <w:left w:type="dxa" w:w="100"/>
              <w:bottom w:type="dxa" w:w="60"/>
              <w:right w:type="dxa" w:w="100"/>
            </w:tcMar>
            <w:vAlign w:val="center"/>
          </w:tcPr>
          <w:p>
            <w:pPr>
              <w:jc w:val="center"/>
            </w:pPr>
            <w:r>
              <w:rPr>
                <w:b/>
                <w:bCs/>
                <w:color w:val="FFFFFF"/>
                <w:sz w:val="19"/>
                <w:szCs w:val="19"/>
              </w:rPr>
              <w:t xml:space="preserve">Preorder GM%</w:t>
            </w:r>
          </w:p>
        </w:tc>
        <w:tc>
          <w:tcPr>
            <w:tcW w:type="dxa" w:w="1950"/>
            <w:shd w:fill="2F2F2F" w:val="clear"/>
            <w:tcMar>
              <w:top w:type="dxa" w:w="60"/>
              <w:left w:type="dxa" w:w="100"/>
              <w:bottom w:type="dxa" w:w="60"/>
              <w:right w:type="dxa" w:w="100"/>
            </w:tcMar>
            <w:vAlign w:val="center"/>
          </w:tcPr>
          <w:p>
            <w:pPr>
              <w:jc w:val="center"/>
            </w:pPr>
            <w:r>
              <w:rPr>
                <w:b/>
                <w:bCs/>
                <w:color w:val="FFFFFF"/>
                <w:sz w:val="19"/>
                <w:szCs w:val="19"/>
              </w:rPr>
              <w:t xml:space="preserve">Reorder GM%</w:t>
            </w:r>
          </w:p>
        </w:tc>
        <w:tc>
          <w:tcPr>
            <w:tcW w:type="dxa" w:w="1850"/>
            <w:shd w:fill="2F2F2F" w:val="clear"/>
            <w:tcMar>
              <w:top w:type="dxa" w:w="60"/>
              <w:left w:type="dxa" w:w="100"/>
              <w:bottom w:type="dxa" w:w="60"/>
              <w:right w:type="dxa" w:w="100"/>
            </w:tcMar>
            <w:vAlign w:val="center"/>
          </w:tcPr>
          <w:p>
            <w:pPr>
              <w:jc w:val="center"/>
            </w:pPr>
            <w:r>
              <w:rPr>
                <w:b/>
                <w:bCs/>
                <w:color w:val="FFFFFF"/>
                <w:sz w:val="19"/>
                <w:szCs w:val="19"/>
              </w:rPr>
              <w:t xml:space="preserve">Gap</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All Wholesale accounts, FY2025</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40.9%</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38.7%</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Reorder −2.2pt</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All Wholesale accounts, YTD2026</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43.2%</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48.5%</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Reorder +5.3pt</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Core only (ex-special accounts), FY2025</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44.9%</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43.4%</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Reorder −1.5pt</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Core only (ex-special accounts), YTD2026</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47.9%</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48.5%</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Reorder +0.6pt</w:t>
            </w:r>
          </w:p>
        </w:tc>
      </w:tr>
    </w:tbl>
    <w:p>
      <w:pPr>
        <w:pBdr>
          <w:left w:val="single" w:color="3C8A4C" w:sz="18"/>
        </w:pBdr>
        <w:shd w:fill="EAF3EA" w:val="clear"/>
        <w:spacing w:after="120" w:before="100"/>
        <w:ind w:left="150" w:right="100"/>
      </w:pPr>
      <w:r>
        <w:rPr>
          <w:b/>
          <w:bCs/>
          <w:color w:val="1F5C2E"/>
        </w:rPr>
        <w:t xml:space="preserve">DATA SHOWS: </w:t>
      </w:r>
      <w:r>
        <w:t xml:space="preserve">The Reorder-margin-below-Preorder gap flagged in Section 3 as 'the wrong direction' has reversed company-wide in the 2026 YTD data: Reorder GM% (48.5%) now exceeds Preorder GM% (43.2%) by +5.3pt, versus a −2.2pt shortfall in FY2025. The core-only (ex-special-account) view is more muted — the gap has closed from −1.5pt to a roughly flat +0.6pt, not flipped decisively — which suggests part of the company-wide reversal is a special-account mix effect (special accounts' Reorder activity is near-zero in both periods, so a shrinking special-account share of Preorder moves the blended average even without genuine per-account improvement at every account). Either way, the direction of travel is the right one, and it's worth testing against Item 2 Section 9's finding that same-franchise Wholesale pricing is flat-to-worse — if Reorder margin is improving without a Reorder price increase, cost, not price, is again the likely driver, consistent with the whole-portfolio COGS finding in that section.</w:t>
      </w:r>
    </w:p>
    <w:p>
      <w:pPr>
        <w:spacing w:after="200"/>
      </w:pPr>
      <w:r>
        <w:rPr>
          <w:i/>
          <w:iCs/>
          <w:color w:val="555555"/>
          <w:sz w:val="18"/>
          <w:szCs w:val="18"/>
        </w:rPr>
        <w:t xml:space="preserve">Core basis excludes the same special-account list used throughout this bridge (XXL SE, XXL NO, Zalando, Zalando Marketplace, China, Stadium Outlet).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350"/>
        <w:gridCol w:w="2300"/>
      </w:tblGrid>
      <w:tr>
        <w:trPr>
          <w:tblHeader/>
        </w:trPr>
        <w:tc>
          <w:tcPr>
            <w:tcW w:type="dxa" w:w="4700"/>
            <w:shd w:fill="2F2F2F" w:val="clear"/>
            <w:tcMar>
              <w:top w:type="dxa" w:w="60"/>
              <w:left w:type="dxa" w:w="100"/>
              <w:bottom w:type="dxa" w:w="60"/>
              <w:right w:type="dxa" w:w="100"/>
            </w:tcMar>
            <w:vAlign w:val="center"/>
          </w:tcPr>
          <w:p>
            <w:pPr>
              <w:jc w:val="left"/>
            </w:pPr>
            <w:r>
              <w:rPr>
                <w:b/>
                <w:bCs/>
                <w:color w:val="FFFFFF"/>
                <w:sz w:val="19"/>
                <w:szCs w:val="19"/>
              </w:rPr>
              <w:t xml:space="preserve">Astral GTX @ Intersport, YTD2026</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Units</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SEK</w:t>
            </w:r>
          </w:p>
        </w:tc>
      </w:tr>
      <w:tr>
        <w:tc>
          <w:tcPr>
            <w:tcW w:type="dxa" w:w="4700"/>
            <w:tcMar>
              <w:top w:type="dxa" w:w="60"/>
              <w:left w:type="dxa" w:w="100"/>
              <w:bottom w:type="dxa" w:w="60"/>
              <w:right w:type="dxa" w:w="100"/>
            </w:tcMar>
            <w:vAlign w:val="center"/>
          </w:tcPr>
          <w:p>
            <w:pPr>
              <w:jc w:val="left"/>
            </w:pPr>
            <w:r>
              <w:rPr>
                <w:b w:val="false"/>
                <w:bCs w:val="false"/>
                <w:color w:val="000000"/>
                <w:sz w:val="19"/>
                <w:szCs w:val="19"/>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586</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1.06M</w:t>
            </w:r>
          </w:p>
        </w:tc>
      </w:tr>
      <w:tr>
        <w:tc>
          <w:tcPr>
            <w:tcW w:type="dxa" w:w="4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969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1.57M</w:t>
            </w:r>
          </w:p>
        </w:tc>
      </w:tr>
      <w:tr>
        <w:tc>
          <w:tcPr>
            <w:tcW w:type="dxa" w:w="4700"/>
            <w:tcMar>
              <w:top w:type="dxa" w:w="60"/>
              <w:left w:type="dxa" w:w="100"/>
              <w:bottom w:type="dxa" w:w="60"/>
              <w:right w:type="dxa" w:w="100"/>
            </w:tcMar>
            <w:vAlign w:val="center"/>
          </w:tcPr>
          <w:p>
            <w:pPr>
              <w:jc w:val="left"/>
            </w:pPr>
            <w:r>
              <w:rPr>
                <w:b w:val="false"/>
                <w:bCs w:val="false"/>
                <w:color w:val="000000"/>
                <w:sz w:val="19"/>
                <w:szCs w:val="19"/>
              </w:rPr>
              <w:t xml:space="preserve">Closeout</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63</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0.05M</w:t>
            </w:r>
          </w:p>
        </w:tc>
      </w:tr>
    </w:tbl>
    <w:p>
      <w:pPr>
        <w:pBdr>
          <w:left w:val="single" w:color="3C8A4C" w:sz="18"/>
        </w:pBdr>
        <w:shd w:fill="EAF3EA" w:val="clear"/>
        <w:spacing w:after="120" w:before="100"/>
        <w:ind w:left="150" w:right="100"/>
      </w:pPr>
      <w:r>
        <w:rPr>
          <w:b/>
          <w:bCs/>
          <w:color w:val="1F5C2E"/>
        </w:rPr>
        <w:t xml:space="preserve">DATA SHOWS: </w:t>
      </w:r>
      <w:r>
        <w:t xml:space="preserve">Section 8's Q2 2026 KA finding flagged a live Astral GTX price increase (~2,700 → 3,200 SEK) that two accounts blamed for lost sell-out volume. At Intersport specifically — already identified in Section 5 as the account that reorders Astral GTX hardest — YTD2026 Reorder units (969) exceed Preorder units (586), with no visible sign of the price increase suppressing reorder volume there. This doesn't clear the pricing question raised in Section 8 (Outnorth and Bever both show real declines) — it says the damage isn't uniform across accounts, and it's worth naming which specific accounts are and aren't absorbing the increase rather than treating Astral GTX pricing as a single yes/no risk.</w:t>
      </w:r>
    </w:p>
    <w:p>
      <w:pPr>
        <w:pBdr>
          <w:left w:val="single" w:color="C97A1A" w:sz="18"/>
        </w:pBdr>
        <w:shd w:fill="FCEFDC" w:val="clear"/>
        <w:spacing w:after="120" w:before="100"/>
        <w:ind w:left="150" w:right="100"/>
      </w:pPr>
      <w:r>
        <w:rPr>
          <w:b/>
          <w:bCs/>
          <w:color w:val="8A4B00"/>
        </w:rPr>
        <w:t xml:space="preserve">NOT ANSWERABLE FROM DATA — ASK: </w:t>
      </w:r>
      <w:r>
        <w:t xml:space="preserve">The Q2 2026 KA report (Section 8) shows Outnorth reorders down −55% and Bever down −91% in H1 2026 — both volume declines — while this YTD2026 extract shows portfolio-wide Reorder margin improving. Both can be true at once (margin per unit up even as volume falls at specific accounts), but it's worth asking Finance/Wholesale directly whether total Reorder volume is up or down company-wide in 2026 — this extract's method (GM% only, no month-level breakdown) can't distinguish 'broad volume-and-margin improvement' from 'shrinking volume mix-shifting toward higher-margin accounts.' Owner: Wholesale Director / FP&amp;A.</w:t>
      </w:r>
    </w:p>
    <w:p>
      <w:pPr>
        <w:pStyle w:val="Heading1"/>
        <w:spacing w:after="160" w:before="320"/>
      </w:pPr>
      <w:r>
        <w:t xml:space="preserve">10. Consolidated open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550"/>
        <w:gridCol w:w="24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5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4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What replaces the ~23M SEK/quarter now gone from XXL? Is there any named plan given the exit has now fully materialized?</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 / CEO</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Does the Astral GTX sell-out drop at Outnorth (and the broader KA-summary comment) change how the FW27 price-realization gap from Item 2 should be read? Is a further price increase safe on this franchise?</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Director / whoever owns FW27 pricing</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What is driving the sharp reorder declines at Outnorth (−55%) and Bever (−91%) specifically — weather, stock levels, or something account-specific?</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Can the Rosson Softshell Hood Men Benelux landed-cost error be corrected at the source, and should other recent air-freighted batches be checked for the same issue?</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Finance / Supply Chain data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Why is the Germany section missing from the Q2 2026 KA deck, and can it be obtained given Germany's importance to both current Wholesale and the Item 4 store-expansion plan?</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How much of the China/Japan/Spain/Italy 'over budget' performance in Q2 2026 is FW26 pull-forward vs. genuine demand, and will it reverse in Q3/Q4?</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 / FP&amp;A</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What does Intersport do differently (order cadence, account management, product curation) that XXL/Zalando/China/RCT Japan don't, given its 85% reorder follow-through is the best in the book?</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Should reorder rate be adopted as a formal, real-time leading indicator for DTC/Hero-track investment decisions, given its correlation with DTC presence?</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9</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Is the 2026 Reorder-vs-Preorder margin reversal (Section 9) genuine broad improvement, or a special-account mix effect layered on top of falling volume at accounts like Outnorth and Bever — and either way, is total Reorder volume up or down company-wide in 2026?</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 / FP&amp;A</w:t>
            </w:r>
          </w:p>
        </w:tc>
      </w:tr>
    </w:tbl>
    <w:p>
      <w:pPr>
        <w:pStyle w:val="Heading1"/>
        <w:spacing w:after="160" w:before="320"/>
      </w:pPr>
      <w:r>
        <w:t xml:space="preserve">11. Backup data</w:t>
      </w:r>
    </w:p>
    <w:p>
      <w:pPr>
        <w:pStyle w:val="ListParagraph"/>
        <w:numPr>
          <w:ilvl w:val="0"/>
          <w:numId w:val="2"/>
        </w:numPr>
        <w:spacing w:after="80"/>
      </w:pPr>
      <w:r>
        <w:t xml:space="preserve">bob_item5_wholesale_backup.xlsx — consolidated backup: the Q2 2026 cross-reference one-pager, Q2 2026 market/account/layer sell-in detail, the full 498-account 2025 Preorder/Reorder/Closeout overview, reorder follow-through detail (article and account level), best-reordered-items rankings (all accounts and Intersport), the reorder-DTC correlation dataset, and the lead-lag analysis. Now also includes a 'YTD2026 Preorder-Reorder GM' sheet and an 'Astral GTX @ Intersport YTD2026' sheet, the basis for Section 9.</w:t>
      </w:r>
    </w:p>
    <w:p>
      <w:pPr>
        <w:pStyle w:val="ListParagraph"/>
        <w:numPr>
          <w:ilvl w:val="0"/>
          <w:numId w:val="2"/>
        </w:numPr>
        <w:spacing w:after="80"/>
      </w:pPr>
      <w:r>
        <w:t xml:space="preserve">bob_salesdata_YTD2026.xlsx — the raw 2026 YTD extract behind Section 9.</w:t>
      </w:r>
    </w:p>
    <w:p>
      <w:pPr>
        <w:pStyle w:val="ListParagraph"/>
        <w:numPr>
          <w:ilvl w:val="0"/>
          <w:numId w:val="2"/>
        </w:numPr>
        <w:spacing w:after="80"/>
      </w:pPr>
      <w:r>
        <w:t xml:space="preserve">Q2 2026 KA (Key Account) report, provided directly — source for all of Section 8 and the liveBox findings; not derived from the sales/financial data files used elsewhere in this engagement.</w:t>
      </w:r>
    </w:p>
    <w:p>
      <w:pPr>
        <w:pStyle w:val="ListParagraph"/>
        <w:numPr>
          <w:ilvl w:val="0"/>
          <w:numId w:val="2"/>
        </w:numPr>
        <w:spacing w:after="80"/>
      </w:pPr>
      <w:r>
        <w:t xml:space="preserve">bob_item3_portfolio_backup.xlsx — source for the Hero/Workhorse tier cross-references in Section 5.</w:t>
      </w:r>
    </w:p>
    <w:p>
      <w:pPr>
        <w:pStyle w:val="ListParagraph"/>
        <w:numPr>
          <w:ilvl w:val="0"/>
          <w:numId w:val="2"/>
        </w:numPr>
        <w:spacing w:after="80"/>
      </w:pPr>
      <w:r>
        <w:t xml:space="preserve">All underlying 2025 sales-data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2026-07-28T22:01:03.149Z</dcterms:created>
  <dcterms:modified xsi:type="dcterms:W3CDTF">2026-07-28T22:01:03.149Z</dcterms:modified>
</cp:coreProperties>
</file>

<file path=docProps/custom.xml><?xml version="1.0" encoding="utf-8"?>
<Properties xmlns="http://schemas.openxmlformats.org/officeDocument/2006/custom-properties" xmlns:vt="http://schemas.openxmlformats.org/officeDocument/2006/docPropsVTypes"/>
</file>