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44"/>
          <w:szCs w:val="44"/>
        </w:rPr>
        <w:t xml:space="preserve">Project Bob — 2025→2029 Sales &amp; Gross Margin Bridge</w:t>
      </w:r>
    </w:p>
    <w:p>
      <w:pPr>
        <w:spacing w:after="60"/>
      </w:pPr>
      <w:r>
        <w:rPr>
          <w:color w:val="2E5395"/>
          <w:sz w:val="30"/>
          <w:szCs w:val="30"/>
        </w:rPr>
        <w:t xml:space="preserve">Day 1 Review Copy — Headlines &amp; Executive Summaries Only</w:t>
      </w:r>
    </w:p>
    <w:p>
      <w:pPr>
        <w:spacing w:after="40"/>
      </w:pPr>
      <w:r>
        <w:rPr>
          <w:i/>
          <w:iCs/>
          <w:color w:val="666666"/>
          <w:sz w:val="22"/>
          <w:szCs w:val="22"/>
        </w:rPr>
        <w:t xml:space="preserve">Condensed from the seven full pre-reads for a 2-hour leadership review — full detail lives in the individual Bridge Item documents</w:t>
      </w:r>
    </w:p>
    <w:p>
      <w:pPr>
        <w:spacing w:after="400"/>
      </w:pPr>
      <w:r>
        <w:rPr>
          <w:color w:val="888888"/>
          <w:sz w:val="20"/>
          <w:szCs w:val="20"/>
        </w:rPr>
        <w:t xml:space="preserve">Prepared for CEO / CPO / investor review, 2026-07</w:t>
      </w:r>
    </w:p>
    <w:p>
      <w:pPr>
        <w:spacing w:after="160"/>
      </w:pPr>
      <w:r>
        <w:t xml:space="preserve">This is a working copy: headline + executive summary from each of the six Bridge Items and the consolidated Margin Bridge reconciliation, pulled out verbatim from the full pre-reads so the overall narrative can be edited and re-sequenced before selecting which details go back in. Nothing here has been reworded from the source documents.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Item 1 — Core Assortment Like-for-Like Growth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hd w:fill="EFEFEF" w:val="clear"/>
        <w:spacing w:after="240" w:before="160"/>
        <w:ind w:left="100" w:right="100"/>
      </w:pPr>
      <w:r>
        <w:rPr>
          <w:b/>
          <w:bCs/>
          <w:sz w:val="22"/>
          <w:szCs w:val="22"/>
        </w:rPr>
        <w:t xml:space="preserve">Headline: the existing (“like-for-like”) product assortment is shrinking roughly 11% a year in the core business. Nearly all reported core-business growth in 2025 came from new franchise introductions, not from the base selling more. The decline is not company-wide — it is concentrated in Wholesale (-16.3%), while DTC Retail (+3.1%) and Ecom (+61.8%) are both growing like-for-like on the very same products.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company sales grew +94.0M SEK (783.2M → 877.2M, +12.0%) in FY2025, but this growth is concentrated in a small number of special accounts (China alone: +48.7M) and in genuinely new product — not in the existing, continuing assortment.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Within core accounts (i.e. excluding XXL/Zalando/China/Stadium), the like-for-like base — franchises that were really trading in both years — declined –10.8% (572.3M → 510.3M SEK, –62.1M net), after correcting an initial, overstated –24.2% estimate.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decline is not broad-based across channels: Wholesale like-for-like is –16.3%, while Retail (DTC) is +3.1% and Ecom is +61.8%, on the same underlying products.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Within Wholesale, Preorder (forward commitment) is down a moderate –8.4% like-for-like, while Reorder (in-season replenishment) is down a much sharper –27.3%.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Preorder softness is concentrated in specific accounts (notably Hill Rock Limited –62.3%, Scandinavian Outdoor –25.7%) while your largest accounts (Intersport, Outnorth, Eventyr, SGN) are flat-to-growing — an account-management question.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Reorder softness is broad and systemic — 6 of the 7 Wholesale accounts with a real Reorder base are declining, including your two largest (Intersport –28.3%, Outnorth –41.6%) — a structural/process question, not a relationship question.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the article level, roughly a third of the apparent “loss” list is not real decline — it is version-transition accounting (successor style already active) or channel-shift to Ecom for the same product.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Item 2 — Full-Price Recovery / Discount Reduction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hd w:fill="EFEFEF" w:val="clear"/>
        <w:spacing w:after="240" w:before="160"/>
        <w:ind w:left="100" w:right="100"/>
      </w:pPr>
      <w:r>
        <w:rPr>
          <w:b/>
          <w:bCs/>
          <w:sz w:val="22"/>
          <w:szCs w:val="22"/>
        </w:rPr>
        <w:t xml:space="preserve">Headline: full-price recovery is real but small — roughly 16M SEK/year of genuine, mix-adjusted price erosion across Wholesale, Retail and E-com combined, against a ~330M SEK total GM bridge. It is necessary hygiene, not the primary lever. The larger, −14.5pt Wholesale gap to FW27 target margin is overwhelmingly a pricing/RRP-realization question, not a cost question — but whether that gap is a discipline failure or an unrealistic planning assumption cannot be settled from this data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 Retail margin is confirmed higher than Wholesale margin in both years (52.9%/49.0% vs. 41.2%/44.6% excl. closeout) — but the gap is narrowing fast (11.7pts → 4.4pts), and Wholesale-ex-closeout margin is actually improving while Retail's own margin erodes.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Wholesale has a genuine, broad-based price-realization problem: like-for-like ASP −4.7% (continuing franchises), on top of a −10.5% unit decline. Not concentrated in a few accounts — broad and moderate everywhere, with two named outliers (RCT Systems Japan, Stadium, both −19% ASP).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Retail's apparent +3.0% ASP “improvement” was a mix-shift illusion (more Shell sold, which prices ~2x the Retail average) — corrected, same-product Retail pricing is actually down −3.1%, matching Wholesale's problem, not offsetting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E-com shows a different, more specific pattern: a dateable regime change in previously-full-price months (Jan, Apr, May) starting in 2025 that has not reverted through 2026 YTD — not broad drift, a specific, investigable event.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Consolidated, mix-adjusted, genuine price-erosion opportunity across all three channels: roughly −16M SEK/year — real, but small next to the ~330M SEK total bridge.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FW27 target-margin gap (Wholesale, correct like-for-like basis: 44.5% actual vs. 59.0% target GM0%, a −14.5pt gap) is overwhelmingly a price-realization story (−24.2% vs. target WP) and essentially not a cost story (−0.3% cost overrun, i.e. costs are on-target). Two named exceptions — Legwear and Sleeping Bags — do have real cost overruns (+15.4% / +11.9%) and need a different, cost-focused conversation.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Item 3 — Channel Mix, Hero Products &amp; the Full Commercial Portfolio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hd w:fill="EFEFEF" w:val="clear"/>
        <w:spacing w:after="240" w:before="160"/>
        <w:ind w:left="100" w:right="100"/>
      </w:pPr>
      <w:r>
        <w:rPr>
          <w:b/>
          <w:bCs/>
          <w:sz w:val="22"/>
          <w:szCs w:val="22"/>
        </w:rPr>
        <w:t xml:space="preserve">Headline: every core franchise (1,860 Base+Gender product lines, 649.8M SEK of 2025 core sales) has been classified into one of eight mutually-exclusive tiers — Hero, Near-Hero, Workhorse, Harvest, Problem Child, New/Test, Exited, Thin — using consistent, auditable rules. This is the portfolio map the 2029 plan needs to be built against: which 34 franchises (98.2M SEK) are the proven growth engine, which 129 franchises (88.5M SEK) have a real core-channel pricing problem, which 211 franchises (87.4M SEK) have no confirmed place in FW27 at all, and which ~700 Thin/Exited franchises are noise that should simply be formalized as exited.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portfolio splits cleanly into a working core and a long, thin tail: 34 Hero/Near-Hero franchises (98.2M SEK, 15% of core sales) are genuinely healthy — growing, cross-channel, GM ≥46.6% — while 864 Thin franchises (8.1M SEK combined) are effectively noise.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Channel mix shift is real but is NOT simply DTC replacing Wholesale: of 623 continuing franchises with activity in both channels, 218 (worth 85.5M SEK of Wholesale decline) show the 'substitution' pattern, but DTC only recaptured 40.4M of that — a 45.1M SEK net gap, i.e. channel-shift is being used as a comfortable explanation for what is, for roughly half the money, a real net sales loss, not a channel switch.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Heroes are not primarily a channel-cannibalization story: of the 34 Hero/Near-Hero franchises, 20 (59%) sit in the genuine DTC-incremental-growth pattern, only 9 show the substitution pattern, and 5 are actually Wholesale-led. The Hero cohort's growth is mostly additive, not moved from Wholesale.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Problem Child (151 franchises, 94.8M SEK, GM 33.4%) is two different problems, not one: 129 franchises (88.5M SEK) have a genuine core full-price/cost problem and need a pricing or product fix; 22 franchises (6.3M SEK) are already effectively living in outlet/special-account channels — an outlet-migration issue, not a core discipline issue.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Workhorse (202 franchises, 197.3M SEK, the single largest tier by revenue) has a specific, addressable pattern: 90 franchises (31.0M SEK) sell in only one of Wholesale/DTC. Of those, 57 are clean scale-up candidates worth 21.9M SEK today, already at 54-63% of the volume needed in their missing channel — only 1.85M SEK combined gap to cross that bar, not a Hero-scale 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Harvest (236 franchises) lost more revenue year-over-year than any other tier — 216.2M SEK in 2024 to 120.2M in 2025, a −96.0M SEK swing — while still running a healthy 50.6% margin. This is a volume/relevance problem on otherwise-profitable product, and 94 of these franchises (31.5M SEK) have no confirmed FW27 continuation.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New/Test (197 launches, 123.9M SEK year-1 sales) shows a real launch-follow-through gap: only 13.0% Wholesale reorder conversion company-wide, and 30 launches (15% of the cohort) are flagged on 2+ risk indicators simultaneously (low margin, no DTC presence, no reorder, no FW27 plan).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Across Problem Child, Harvest and Workhorse combined, 211 franchises worth 87.4M SEK have no confirmed FW27 continuation found in the Assortment file — including 42 franchises (33.5M SEK) that are still growing today with apparently no plan. This is the single highest-urgency cross-tier list for the workshop.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Item 4 — New Retail Store Expansion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hd w:fill="EFEFEF" w:val="clear"/>
        <w:spacing w:after="240" w:before="160"/>
        <w:ind w:left="100" w:right="100"/>
      </w:pPr>
      <w:r>
        <w:rPr>
          <w:b/>
          <w:bCs/>
          <w:sz w:val="22"/>
          <w:szCs w:val="22"/>
        </w:rPr>
        <w:t xml:space="preserve">UPDATED this round with a proper investment-case methodology. Unlike Items 1–3, Item 4 is NOT a sized, defensible bridge lever at this stage — it is a plan with more open questions than confirmed findings. Judged correctly (Capex vs. EBIT payback, not Capex vs. Gross Sales), one store — Copenhagen, a 20-year payback — would have been invisible on a sales-only screen. But the store-level 'Run-Rate' figures also turn out to be a single 2032 calendar-year snapshot, not a normalized run-rate: EBIT margin correlates 0.71 with how many years each store has had to mature by 2032, meaning cross-store comparisons (Innsbruck vs. Oslo, for instance) are confounded by vintage, not just site quality. Cross-checking the plan against existing Wholesale/E-com data also raises real doubts about the Austria commitment and reveals a specific Germany/Zalando price-anchoring risk to the München/Hamburg case.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plan's own numbers say new stores are a loss-making bet through the entire MTP window: New Stores EBIT is negative in every year 2026E–2029E, turning positive only around 2030E, reaching +21M SEK by 2032E. Existing stores, by contrast, grow steadily and improve EBIT every year — they are the low-risk part of the retail story; new stores are explicitly not.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count is not matched to existing demand signal. Austria gets the most new stores of any country (5 of 16) but has zero Wholesale accounts and the smallest, slowest-growing E-com base of any target market.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Judged on the right basis (Capex-to-EBIT payback, not Capex-to-Sales), the roster ranks very differently than a sales screen would suggest. Copenhagen has ordinary Gross Sales (12.5M) but the worst payback by far (20 years, 1.6% EBIT margin) — a sales-only screen would never have flagged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store 'Run-Rate' figures are a single 2032 snapshot, not a normalized run-rate: EBIT margin correlates 0.71 with years-to-mature, so cross-store comparisons of stores from different opening years need to be treated as vintage-confounded, not a clean like-for-like ranking.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Germany's Wholesale 'growth' (+15.4%, supporting the Munich '27 / Hamburg '29 stores) is materially a Zalando artifact: Zalando is 63% of German Wholesale, and excluding it, German Wholesale is actually down −18.2%. Zalando unit volume grew +37% while independent full-price Wholesale accounts shrank −19% and Haglöfs' own E-com ASP softened −7% — growth is concentrating in the cheapest acquisition channel, a real risk to a full-price flagship store.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UK and Norway show a real but ambiguous divergence: Wholesale collapsing (−27.7% / −31.0%) while E-com grows fast (+25.1% / +58.7%) — consistent with either a genuine channel-shift-to-direct story or an unrelated Wholesale distribution problem, not distinguishable from this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store-related account codes already exist in the live sales system with zero recorded revenue in FY2024/FY2025, and none appear on the 16-store MTP roster — an unreconciled discrepancy. Separately, the Retail sales channel cannot be split between brand-store and owned-outlet sales at all (100% sits under one undifferentiated customer-group code).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Net: this item needs roughly fourteen specific questions answered before it can be treated as a sized, workshop-ready bridge lever the way Items 1–3 are. Recommend it be discussed as an open-questions agenda item, not a committed number, at this stage.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Item 5 — Wholesale — Preorder/Reorder Economics &amp; Q2 2026 Cross-Reference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hd w:fill="EFEFEF" w:val="clear"/>
        <w:spacing w:after="240" w:before="160"/>
        <w:ind w:left="100" w:right="100"/>
      </w:pPr>
      <w:r>
        <w:rPr>
          <w:b/>
          <w:bCs/>
          <w:sz w:val="22"/>
          <w:szCs w:val="22"/>
        </w:rPr>
        <w:t xml:space="preserve">Headline: contrary to the standard theory, Wholesale Reorder margin runs BELOW Preorder margin (38.7% vs 40.9% company-wide) — the reorder mechanism isn't functioning as intended. Reorder strength is, however, a genuine cross-channel demand signal: it correlates meaningfully with DTC presence (Spearman 0.67). A newly-received Q2 2026 Key Account report confirms and sharpens several open questions from Items 2 and 4: the XXL revenue gap has now materialized (Q2 sell-in −100% YoY), a live price increase on the #1 reordered franchise (Astral GTX) is visibly costing volume at two accounts, and a concrete, fixable data error was found distorting Benelux margin.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theory that Reorder margin should exceed Preorder margin does not hold: company-wide, Preorder GM% is 40.9% vs. Reorder GM% 38.7% — a 2.2pt gap in the 'wrong' direction. It persists even after excluding special accounts (44.9% vs. 43.4%).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Reorder follow-through is weak in aggregate: of 10,550 article-account combinations that received a Preorder in 2025, only 27.4% ever received any Reorder, and the Reorder SEK for that cohort is just 8.6% of the original Preorder SEK.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aggregate hides a sharp split: accounts already flagged as structurally different (XXL, Zalando, China, RCT Japan, Stadium) show 1-4% follow-through, while genuine specialty-retail accounts (Intersport 85%, Mega Sport 68%, SGN 67%, Outnorth 64%) show healthy 40-85% follow-through. Intersport is the best available internal benchmark for 'what good looks like.'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Astral GTX Jacket is the single best-reordered franchise, company-wide and at Intersport specifically — and independently, it is also classified Hero/Workhorse in the Item 3 portfolio work. Four independent methods now agree on this franchise.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Reorder strength correlates meaningfully with DTC (Retail+E-com) presence: Spearman 0.67 on absolute SEK. Franchises with any DTC presence average a 0.17 Reorder/Preorder ratio; franchises with none average 0.008 — essentially zero.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year-over-year lead-lag test found no evidence that DTC precedes Wholesale reorder; the honest read is that both are simultaneous symptoms of the same underlying demand, not one causing the other.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newly-provided Q2 2026 KA report — the most current data available in this engagement — confirms the XXL exit risk has now materialized, documents a live price-increase test on Astral GTX that two accounts blame for lost volume, and surfaces a concrete Benelux data error.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Item 6 — Growth — FW27 Product News, Innovation Cycle &amp; SS28 Priorities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hd w:fill="EFEFEF" w:val="clear"/>
        <w:spacing w:after="240" w:before="160"/>
        <w:ind w:left="100" w:right="100"/>
      </w:pPr>
      <w:r>
        <w:rPr>
          <w:b/>
          <w:bCs/>
          <w:sz w:val="22"/>
          <w:szCs w:val="22"/>
        </w:rPr>
        <w:t xml:space="preserve">FW27 is already in sell-in — it cannot be changed. This note is deliberately forward-looking to SS28. Combining internal portfolio diagnostics with external market research, two categories emerge as 'double tailwind' bets where market growth and Haglöfs' own momentum both point the same direction — Accessories and Trail running shoes — and one, the L.I.M ultralight relaunch, shows a real tension between strong press reception and at least one wholesale account's direct negative feedback that should be resolved before further investment.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New/Test franchises are already 19% of core 2025 sales (123.9M SEK) — innovation is not a marginal contributor — but quality signals are weak: 13.0% Wholesale reorder conversion, 30 of 197 launches (15%) flagged on 2+ risk indicators, and 31 with no confirmed FW27 continuation already.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innovation cycle does not fix the pricing/margin problem on its own: the FW27 target-margin price-realization gap is almost identical for continuing styles (−24.2%) and genuinely new FW27 styles (−23.2%).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Footwear is the sharpest internal gap: Trail running shoes −51.8% YoY, Hiking shoes −8.0%, and only 3% of New/Test launches are footwear — yet trail running is externally the fastest-growing footwear segment researched (7.2% CAGR). The market wants this category; Haglöfs' pipeline has largely ignored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Accessories is the clearest 'double tailwind' opportunity: externally the fastest-growing category researched (accessories 6.9% CAGR, hip packs specifically 7.2% CAGR, thermal gloves +21% demand), and internally already Haglöfs' best growth+margin combination (+38.2%, 54.0% GM) with a proven brand-extension formula already working.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L.I.M ultralight relaunch is genuinely well-received in outdoor press (positioned favorably against Arc'teryx, in a 5.3-6.5% CAGR category) — but the same line drew explicit negative feedback from a wholesale account in the Q2 2026 KA report. This needs resolving, not assuming, before further SS28 commitment.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Version-handover discipline is weak: outgoing product versions show almost no price movement during 'HEAVY OVERLAP' transitions, meaning old and new generations compete at similar prices rather than the old one being actively cleared — a process gap, not a product gap.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named, already-proven Accessories winners — Bow Windstopper Glove (#1 seller, growing) and Haglöfs LX Hat (95% sell-through at John Lewis UK) — show no confirmed FW27 continuation in the range-plan match. These should be verified immediately, independent of any broader SS28 strategy.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Margin Bridge — The Consolidated Reconciliation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hd w:fill="EFEFEF" w:val="clear"/>
        <w:spacing w:after="240" w:before="160"/>
        <w:ind w:left="100" w:right="100"/>
      </w:pPr>
      <w:r>
        <w:rPr>
          <w:b/>
          <w:bCs/>
          <w:sz w:val="22"/>
          <w:szCs w:val="22"/>
        </w:rPr>
        <w:t xml:space="preserve">UPDATED this round with four newly-investigated items: channel mix shift, portfolio tier-mix optimization, base-year normalization, and an external competitive benchmark. The first two add roughly 3 points of confirmed, countable upside, bringing the quantified total from ~2.8pt to ~5.1pt against the +14.3pt target (39.2% FY2025A -&gt; 53.5% FY2029E) -- still only about a third of the target, leaving a ~9.2pt residual. The base-year investigation surfaced a real, unexplained spike in the Direct Cost of Sales ratio specific to FY2025, already reversing in 2026 data -- potentially +2.5 to +5pt, deliberately not counted pending disentanglement from the XXL mix effect. The competitive benchmark is the most important addition for interpreting the residual: five researched public comparables (Fenix Outdoor, Amer Sports/Arc'teryx, VF Corp, Columbia, Norrona) ALL sit above Haglofs' current margin, and two sit above Haglofs' own 53.5% target -- confirming the levers already in this bridge are the right ones, and surfacing one genuinely new angle (distribution curation) not yet analyzed anywhere in this engagement.</w:t>
      </w:r>
    </w:p>
    <w:p>
      <w:pPr>
        <w:pStyle w:val="Heading2"/>
        <w:spacing w:after="120" w:before="240"/>
      </w:pPr>
      <w:r>
        <w:t xml:space="preserve">The headline reconciliation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4000"/>
      </w:tblGrid>
      <w:tr>
        <w:trPr>
          <w:tblHeader/>
        </w:trPr>
        <w:tc>
          <w:tcPr>
            <w:tcW w:type="dxa" w:w="5350"/>
            <w:shd w:fill="2F2F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000"/>
            <w:shd w:fill="2F2F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Target: FY2025A -&gt; FY2029E Gross Margin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39.2% -&gt; 53.5% (+14.3pt)</w:t>
            </w:r>
          </w:p>
        </w:tc>
      </w:tr>
      <w:tr>
        <w:tc>
          <w:tcPr>
            <w:tcW w:type="dxa" w:w="53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General mix-adjusted price erosion (Item 2), if reversed</w:t>
            </w:r>
          </w:p>
        </w:tc>
        <w:tc>
          <w:tcPr>
            <w:tcW w:type="dxa" w:w="40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+1.89pt</w:t>
            </w:r>
          </w:p>
        </w:tc>
      </w:tr>
      <w:tr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Portfolio tier-mix, moderate scenario -- supersedes the old floor-fix-only figure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+1.65pt</w:t>
            </w:r>
          </w:p>
        </w:tc>
      </w:tr>
      <w:tr>
        <w:tc>
          <w:tcPr>
            <w:tcW w:type="dxa" w:w="53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Wholesale Reorder margin gap (Item 5), if closed</w:t>
            </w:r>
          </w:p>
        </w:tc>
        <w:tc>
          <w:tcPr>
            <w:tcW w:type="dxa" w:w="40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+0.19pt</w:t>
            </w:r>
          </w:p>
        </w:tc>
      </w:tr>
      <w:tr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Channel mix shift, grounded to the approved Item 4 store plan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+1.36pt</w:t>
            </w:r>
          </w:p>
        </w:tc>
      </w:tr>
      <w:tr>
        <w:tc>
          <w:tcPr>
            <w:tcW w:type="dxa" w:w="535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UPDATED quantified total (grounded/moderate reading)</w:t>
            </w:r>
          </w:p>
        </w:tc>
        <w:tc>
          <w:tcPr>
            <w:tcW w:type="dxa" w:w="40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~5.1pt</w:t>
            </w:r>
          </w:p>
        </w:tc>
      </w:tr>
      <w:tr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UPDATED RESIDUAL — still unexplained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~9.2pt (64% of the target)</w:t>
            </w:r>
          </w:p>
        </w:tc>
      </w:tr>
    </w:tbl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Outer-bound context, not additive with the above (alternative aggressive scenarios of overlapping populations): channel mix pushed to 50% Wholesale share would be worth +4.47pt; the entire core portfolio performing at Hero-tier margin would be worth +5.49pt. Neither is a real plan.</w:t>
      </w:r>
    </w:p>
    <w:p>
      <w:pPr>
        <w:pBdr>
          <w:left w:val="single" w:color="B23A3A" w:sz="18"/>
        </w:pBdr>
        <w:shd w:fill="FBE7E7" w:val="clear"/>
        <w:spacing w:after="120" w:before="100"/>
        <w:ind w:left="150" w:right="100"/>
      </w:pPr>
      <w:r>
        <w:rPr>
          <w:b/>
          <w:bCs/>
          <w:color w:val="7A1F1F"/>
        </w:rPr>
        <w:t xml:space="preserve">METHODOLOGY FLAG: </w:t>
      </w:r>
      <w:r>
        <w:t xml:space="preserve">Progress, but the majority of the margin bridge is still not backed by named, sized levers. This is not a criticism of Items 1-6 -- each was scoped deliberately to answer a specific question, not to build the full bridge -- it is the direct, honest result of assembling them and then actively searching for the largest remaining candidates. The workshop should treat the 53.5% target as still substantially unsubstantiated by bottom-up analysis until the ~9.2pt residual is addressed.</w:t>
      </w:r>
    </w:p>
    <w:p>
      <w:pPr>
        <w:spacing w:after="160"/>
      </w:pPr>
      <w:r>
        <w:t xml:space="preserve">Competitive benchmark (for context): Fenix Outdoor/Fjällräven 59.4% GM; Amer Sports/Arc'teryx 57.7% GM co-wide (21.6% operating margin, Technical Apparel segment); VF Corp 53.5% GM (exact match to Haglöfs' own target); Columbia Sportswear ~50-51.6% GM; Norrona 7.3% net margin (not disclosed GM). Haglöfs FY2025A: 39.2% GM / −3.5% EBIT. All five comparables sit above Haglöfs' current margin; two sit above Haglöfs' own target.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2026-07-27T16:00:41.904Z</dcterms:created>
  <dcterms:modified xsi:type="dcterms:W3CDTF">2026-07-27T16:00:41.904Z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