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Draft v5</w:t>
      </w:r>
    </w:p>
    <w:p>
      <w:pPr>
        <w:spacing w:after="40"/>
      </w:pPr>
      <w:r>
        <w:rPr>
          <w:i/>
          <w:iCs/>
          <w:color w:val="666666"/>
          <w:sz w:val="22"/>
          <w:szCs w:val="22"/>
        </w:rPr>
        <w:t xml:space="preserve">Revised per Draft v3 review comments: Section 3 restructured (ASP folded into New Products, Wholesale/DTC merged under one chapter with a shared margin overview), all draft-iteration commentary removed throughout, YTD2026 pacing/GM% columns added across the tier and New/Test tables, and the New/Test risk-flag watchlist recomputed after removing the outlet-leakage flag.</w:t>
      </w:r>
    </w:p>
    <w:p>
      <w:pPr>
        <w:spacing w:after="300"/>
      </w:pPr>
      <w:r>
        <w:rPr>
          <w:color w:val="888888"/>
          <w:sz w:val="20"/>
          <w:szCs w:val="20"/>
        </w:rPr>
        <w:t xml:space="preserve">2026-07-31</w:t>
      </w:r>
    </w:p>
    <w:p>
      <w:pPr>
        <w:pStyle w:val="Heading3"/>
        <w:spacing w:after="100" w:before="200"/>
      </w:pPr>
      <w:r>
        <w:t xml:space="preserve">Data Sources and Coverage</w:t>
      </w:r>
    </w:p>
    <w:p>
      <w:pPr>
        <w:spacing w:after="160"/>
      </w:pPr>
      <w:r>
        <w:t xml:space="preserve">This brief is built primarily from two full-year extracts — bob_salesdata_2024.xlsx (FY2024) and bob_salesdata_2025.xlsx (FY2025) — covering complete calendar years across all channels, accounts, and articles. The core diagnostic work throughout this document (tier classification, channel-mix patterns, margin trends, reorder follow-through) is a FY2024 vs. FY2025 like-for-like comparison; this is the primary basis for every finding in this brief.</w:t>
      </w:r>
    </w:p>
    <w:p>
      <w:pPr>
        <w:spacing w:after="160"/>
      </w:pPr>
      <w:r>
        <w:t xml:space="preserve">Where marked '2026 YTD ADDED' or shown in a shaded YTD2026 box, a supplementary partial-year extract (bob_salesdata_YTD2026.xlsx) is used to check whether the FY2024→FY2025 findings are still directionally true so far in 2026. Results are mixed by design, not by inconsistency — some findings hold up or strengthen (e.g. reorder follow-through improving), others reverse or weaken (e.g. the Reorder margin gap flipping sign) — each YTD2026 callout states which.</w:t>
      </w:r>
    </w:p>
    <w:p>
      <w:pPr>
        <w:pBdr>
          <w:left w:val="single" w:color="B23A3A" w:sz="18"/>
        </w:pBdr>
        <w:shd w:fill="FBE7E7" w:val="clear"/>
        <w:spacing w:after="120" w:before="100"/>
        <w:ind w:left="150" w:right="100"/>
      </w:pPr>
      <w:r>
        <w:rPr>
          <w:b/>
          <w:bCs/>
          <w:color w:val="7A1F1F"/>
        </w:rPr>
        <w:t xml:space="preserve">METHODOLOGY FLAG: </w:t>
      </w:r>
      <w:r>
        <w:t xml:space="preserve">The YTD2026 extract has two structural limitations that make it unsuitable, on its own, as a basis for action: (1) it has no month field, so a partial year cannot be cleanly annualized or compared against the equivalent partial prior year — only against a full prior year, which is not like-for-like; (2) FW27 (Fall/Winter) season volume is largely not yet reflected, since most of Wholesale's FW sell-in lands later in the year — so any Wholesale or reorder-cycle YTD2026 finding is read on an incomplete season. Treat every YTD2026 callout in this document as directional confirmation or an early warning, not as a stand-alone basis for a decision. Before committing budget or policy changes to any action recommended in this brief, re-run the relevant analysis once a more complete 2026 data set (ideally with month-level granularity and the FW27 season landed) is available, to confirm the finding still holds.</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2"/>
        <w:spacing w:after="120" w:before="240"/>
      </w:pPr>
      <w:r>
        <w:t xml:space="preserve">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2"/>
        <w:spacing w:after="120" w:before="240"/>
      </w:pPr>
      <w:r>
        <w:t xml:space="preserve">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2"/>
        <w:spacing w:after="120" w:before="240"/>
      </w:pPr>
      <w:r>
        <w:t xml:space="preserve">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2"/>
        <w:spacing w:after="120" w:before="240"/>
      </w:pPr>
      <w:r>
        <w:t xml:space="preserve">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w:t>
      </w:r>
    </w:p>
    <w:p>
      <w:r>
        <w:br w:type="page"/>
      </w:r>
    </w:p>
    <w:p>
      <w:pPr>
        <w:pStyle w:val="Heading1"/>
        <w:spacing w:after="160" w:before="320"/>
      </w:pPr>
      <w:r>
        <w:t xml:space="preserve">2. The Full 8-Tier Commercial Portfolio</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spacing w:after="160"/>
      </w:pPr>
      <w:r>
        <w:rPr>
          <w:i/>
          <w:iCs/>
        </w:rPr>
        <w:t xml:space="preserve">The 'Order' column below is the sequence each franchise is actually tested against, not an importance ranking: a franchise is first checked for New/Test, then Exited, then Thin/Immaterial — only once none of those three apply does it get evaluated against the Hero/Near-Hero/Workhorse/Harvest/Problem Child rules. This matters because it's a waterfall, not five independent checks: a franchise can only ever land in one tier, decided by the first rule it matches going down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2.1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2.1.1 Hero</w:t>
      </w:r>
    </w:p>
    <w:p>
      <w:pPr>
        <w:spacing w:after="160"/>
      </w:pPr>
      <w:r>
        <w:rPr>
          <w:b/>
          <w:bCs/>
        </w:rPr>
        <w:t xml:space="preserve">Validation 1: are the Hero products part of the future assortment plan, and the core assortment plan?</w:t>
      </w:r>
    </w:p>
    <w:p>
      <w:pPr>
        <w:spacing w:after="160"/>
      </w:pPr>
      <w:r>
        <w:rPr>
          <w:i/>
          <w:iCs/>
        </w:rPr>
        <w:t xml:space="preserve">These are two different checks. 'FW27 Status' below is the future-assortment check — whether the franchise is matched in Product's F27/S27/S28 range-planning files. 'Core Assortment' is a separate, narrower list — the 58 franchises Merchandising has named as the confirmed core (or new-package) assortment to strategically push for volume (see 4.2.3) — and being absent from it does not mean a franchise is being dropped, only that it isn't on that specific push-list.</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Separately, 14 of 34 (41%) Hero/Near-Hero franchises are on the 58-item Core Assortment push-list — Hero 9/17 (53%), Near-Hero 5/17 (29%) — so most of the healthiest tier in the portfolio is not currently on Merchandising's named volume-push list, worth checking whether that's deliberate.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28.9%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16.6%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47.6%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+152.5%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122.1%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92.8%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+24.5%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3C8A4C" w:sz="18"/>
        </w:pBdr>
        <w:shd w:fill="EAF3EA" w:val="clear"/>
        <w:spacing w:after="120" w:before="100"/>
        <w:ind w:left="150" w:right="100"/>
      </w:pPr>
      <w:r>
        <w:rPr>
          <w:b/>
          <w:bCs/>
          <w:color w:val="1F5C2E"/>
        </w:rPr>
        <w:t xml:space="preserve">DATA SHOWS: </w:t>
      </w:r>
      <w:r>
        <w:t xml:space="preserve">Of the 6 Hero/Near-Hero franchises not matched in F27, 3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2.1.2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150"/>
        <w:gridCol w:w="1100"/>
        <w:gridCol w:w="1050"/>
        <w:gridCol w:w="1050"/>
        <w:gridCol w:w="1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Section 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2300"/>
        <w:gridCol w:w="1350"/>
      </w:tblGrid>
      <w:tr>
        <w:trPr>
          <w:tblHeader/>
        </w:trPr>
        <w:tc>
          <w:tcPr>
            <w:tcW w:type="dxa" w:w="2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Section 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2.1.4): 16 of 151 are confirmed continuing (F27 or a season-shift into S27/S28), 27 are a possible match under a different gender or garment type — ambiguous, needs a Product/Merchandising call — and 108 have no match anywhere. This 108 is part of the 2.2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42.5%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27.4%</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28.8%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42.9%</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47.5%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YTD base</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2.1.3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3C8A4C" w:sz="18"/>
        </w:pBdr>
        <w:shd w:fill="EAF3EA" w:val="clear"/>
        <w:spacing w:after="120" w:before="100"/>
        <w:ind w:left="150" w:right="100"/>
      </w:pPr>
      <w:r>
        <w:rPr>
          <w:b/>
          <w:bCs/>
          <w:color w:val="1F5C2E"/>
        </w:rPr>
        <w:t xml:space="preserve">DATA SHOWS: </w:t>
      </w:r>
      <w:r>
        <w:t xml:space="preserve">The clean scale-up shortlist is the 57 franchises with a real, addressable gap to a second-channel presence. Of the 90 single-channel franchises, 69 clear a near-miss exclusion, then narrow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Section 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Section 1 (based on the direction of FY24→FY25 change in each channel), to see whether Workhorse's overall channel story is healthy growth or the same Wholesale-to-DTC substitution question raised elsewhere in this brief:</w:t>
      </w:r>
    </w:p>
    <w:p>
      <w:pPr>
        <w:pBdr>
          <w:left w:val="single" w:color="3C8A4C" w:sz="18"/>
        </w:pBdr>
        <w:shd w:fill="EAF3EA" w:val="clear"/>
        <w:spacing w:after="120" w:before="100"/>
        <w:ind w:left="150" w:right="100"/>
      </w:pPr>
      <w:r>
        <w:rPr>
          <w:b/>
          <w:bCs/>
          <w:color w:val="1F5C2E"/>
        </w:rPr>
        <w:t xml:space="preserve">DATA SHOWS: </w:t>
      </w:r>
      <w:r>
        <w:t xml:space="preserve">Every Workhorse franchise's channel-mix pattern is computed on the same basis as Section 1 (Channel Mix): the FY2024 and FY2025 Wholesale figures both exclude special-account revenue (XXL, Zalando, China, Stadium), so the comparison is apples-to-apples across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950"/>
        <w:gridCol w:w="1900"/>
        <w:gridCol w:w="25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N of shortlisted 57</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Action</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 of the tier — largest pattern by count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Diagnose per franchise: listing/sell-through loss (fix = Wholesale distribution) vs. genuine channel preference (fix = DTC investment)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on both channels at once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Product/pricing review — not a channel question, needs its own fix</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The healthy pattern — largest by both count and sales</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Protect and reinforce — sustain the DTC content/marketing investment already working</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Monitor — lower priority; confirm WS growth isn't cannibalizing DTC</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Section 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2.1.2/2.1.4,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2.2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Layer note: 'Shell' here follows the raw data's own tagging and includes GTX/shell-fabric pants (e.g. Astral GTX Pant, Chaos GTX Pant, Husk Pant), not jackets only — confirmed directly against the source ledger. Worth a quick check with whoever owns the Layer taxonomy on whether shell-fabric pants are meant to sit under 'Shell' or 'Legwear'.</w:t>
      </w:r>
    </w:p>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2.1.4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3C8A4C" w:sz="18"/>
        </w:pBdr>
        <w:shd w:fill="EAF3EA" w:val="clear"/>
        <w:spacing w:after="120" w:before="100"/>
        <w:ind w:left="150" w:right="100"/>
      </w:pPr>
      <w:r>
        <w:rPr>
          <w:b/>
          <w:bCs/>
          <w:color w:val="1F5C2E"/>
        </w:rPr>
        <w:t xml:space="preserve">DATA SHOWS: </w:t>
      </w:r>
      <w:r>
        <w:t xml:space="preserve">FW27 continuation status uses a strict match to the CPO's Assortment Attribution Review — same gender AND same garment type required — cross-checked against the S27/S28 files for season-shifted product. This is the same methodology used for FW27 status throughout this brief (Hero/Near-Hero, Workhorse, Problem Child, New/Test,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2.2</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2.1.5 New/Test</w:t>
      </w:r>
    </w:p>
    <w:p>
      <w:pPr>
        <w:spacing w:after="160"/>
      </w:pPr>
      <w:r>
        <w:t xml:space="preserve">New/Test (197 launches, 123.9M SEK year-1 sales) shows a real launch-follow-through gap: only 13.0% Wholesale reorder conversion company-wide, and 32 launches (16% of the cohort) are flagged on 2+ risk indicators simultaneously (low margin, no DTC presence, no reorder, no FW27 plan).</w:t>
      </w:r>
    </w:p>
    <w:p>
      <w:pPr>
        <w:spacing w:after="160"/>
      </w:pPr>
      <w:r>
        <w:t xml:space="preserve">Every franchise with no real trading in 2024 but real trading in 2025 was scored against four Tier-1 KPIs checkable from current data (margin at launch,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84.6M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6.2M</w:t>
            </w:r>
          </w:p>
        </w:tc>
      </w:tr>
    </w:tbl>
    <w:p>
      <w:pPr>
        <w:spacing w:after="160"/>
      </w:pPr>
      <w:r>
        <w:rPr>
          <w:i/>
          <w:iCs/>
        </w:rPr>
        <w:t xml:space="preserve">Which of the 32 flagged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New/Test's FW27 continuation flag uses the same strict gender+garment-type match described in 2.1.4, against the CPO's F27 file plus the S27/S28 Spring/Summer files: 107 of 197 New/Test launches are confirmed continuing and 90 are not. This flag feeds the '2+ flags' watchlist above, which the 32-launch/6.2M SEK priority list is scored against.</w:t>
      </w:r>
    </w:p>
    <w:p>
      <w:pPr>
        <w:pBdr>
          <w:left w:val="single" w:color="3C8A4C" w:sz="18"/>
        </w:pBdr>
        <w:shd w:fill="EAF3EA" w:val="clear"/>
        <w:spacing w:after="120" w:before="100"/>
        <w:ind w:left="150" w:right="100"/>
      </w:pPr>
      <w:r>
        <w:rPr>
          <w:b/>
          <w:bCs/>
          <w:color w:val="1F5C2E"/>
        </w:rPr>
        <w:t xml:space="preserve">DATA SHOWS: </w:t>
      </w:r>
      <w:r>
        <w:t xml:space="preserve">Of the 90 launches with no confirmed FW27 plan, some continue as Spring/Summer styles rather than being dropped from the range entirely (see the full breakdown in 2.1.4's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1200"/>
        <w:gridCol w:w="120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Pacing</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786%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D.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1150"/>
        <w:gridCol w:w="1050"/>
        <w:gridCol w:w="1050"/>
        <w:gridCol w:w="10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Unit 2026 Pacing</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This flag (D) is the most likely to look stale by the time of the workshop, since 6 of its 8 franchises already converted within a few months of the FY2025 cut — worth re-checking against the latest data before treating the '32 launches / 2+ flags' watchlist as final.</w:t>
      </w:r>
    </w:p>
    <w:p>
      <w:pPr>
        <w:pStyle w:val="Heading3"/>
        <w:spacing w:after="100" w:before="200"/>
      </w:pPr>
      <w:r>
        <w:t xml:space="preserve">2.1.6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2.1.5)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6 of the 10 are pacing below 50% of FY2025, and two (Näs Down Jacket, Ski Pants Oxygene) show effectively zero 2026 sales so far.</w:t>
      </w:r>
    </w:p>
    <w:p>
      <w:pPr>
        <w:pBdr>
          <w:left w:val="single" w:color="3C8A4C" w:sz="18"/>
        </w:pBdr>
        <w:shd w:fill="EAF3EA" w:val="clear"/>
        <w:spacing w:after="120" w:before="100"/>
        <w:ind w:left="150" w:right="100"/>
      </w:pPr>
      <w:r>
        <w:rPr>
          <w:b/>
          <w:bCs/>
          <w:color w:val="1F5C2E"/>
        </w:rPr>
        <w:t xml:space="preserve">DATA SHOWS: </w:t>
      </w:r>
      <w:r>
        <w:t xml:space="preserve">Scale check: 2025 unit volume on this list runs 34-91 units per franchise — well under typical apparel production minimums (a single style/color run is usually in the hundreds of units, not tens). Combined with the declining trend, this reads as a bad sign rather than an early-stage scale question: these are established styles that never reached (or have fallen below) an efficient production volume and are still shrinking, not new product still ramping toward one. Worth confirming actual per-style MOQ with Sourcing, but the direction of travel argues for exit over investment.</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113%</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880%</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pBdr>
          <w:left w:val="single" w:color="3C8A4C" w:sz="18"/>
        </w:pBdr>
        <w:shd w:fill="EAF3EA" w:val="clear"/>
        <w:spacing w:after="120" w:before="100"/>
        <w:ind w:left="150" w:right="100"/>
      </w:pPr>
      <w:r>
        <w:rPr>
          <w:b/>
          <w:bCs/>
          <w:color w:val="1F5C2E"/>
        </w:rPr>
        <w:t xml:space="preserve">DATA SHOWS: </w:t>
      </w:r>
      <w:r>
        <w:t xml:space="preserve">Scale check: 2025 unit volume here is similarly thin (24-97 units), also likely under typical production minimums — but unlike the Shrinking list, the YTD2026 pacing split by franchise, not uniformly weak: 4 of the 10 (Liden Long Down Parka both genders, ROC Sight Softshell Jacket, L.I.M Mimic BarrierVest) are pacing at 100%+ of FY2025 already, a real signal of scaling toward a viable volume. The other 6 are pacing at 15-40%, which looks more like the Shrinking list's pattern. Recommend splitting this list on that pacing threshold before the workshop — it is not one homogeneous 'too early to tell' group.</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(confirmed with the business).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2.2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3C8A4C" w:sz="18"/>
        </w:pBdr>
        <w:shd w:fill="EAF3EA" w:val="clear"/>
        <w:spacing w:after="120" w:before="100"/>
        <w:ind w:left="150" w:right="100"/>
      </w:pPr>
      <w:r>
        <w:rPr>
          <w:b/>
          <w:bCs/>
          <w:color w:val="1F5C2E"/>
        </w:rPr>
        <w:t xml:space="preserve">DATA SHOWS: </w:t>
      </w:r>
      <w:r>
        <w:t xml:space="preserve">This 472-franchise / 210.8M SEK list uses strict gender+garment-type matching against F27, cross-checked against the S27/S28 files. It includes franchises where a same-named product line survives elsewhere under a different gender or garment type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backup workbook's 'PRIORITY - Growing, no plan' sheet (a 42-franchise highest-priority subset) is stale and needs to be re-derived against this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apply to this list. (1) Whether any of these 472 continue in an SS27/SS28 (Spring/Summer) assortment instead of a true exit — already folded into the table above: genuine season-shifts are counted as confirmed, and same-line-different-garment/gender matches are separated out as 'possible' rather than either being silently confirmed or silently ignored (see 2.1.4 for the full breakdown). (2) Whether any are a genuine product substitution under an unrelated new name —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2.3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(2.1.2)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(2.2)</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(2.1.3)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(2.1.3)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(2.1.4),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 see 2.1.3)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(2.1.5) and Harvest's non-FW27-gap remainder (2.2) both need a person, not a rule — a launch-review checkpoint and a range-planning reconciliation respectively — a process ask for the relevant owners, not a SEK-sized lever.</w:t>
      </w:r>
    </w:p>
    <w:p>
      <w:pPr>
        <w:pStyle w:val="Heading2"/>
        <w:spacing w:after="120" w:before="240"/>
      </w:pPr>
      <w:r>
        <w:t xml:space="preserve">2.4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(see 2.1.3)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(see 2.1.4)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(see 2.2) — how many are already-made range decisions vs. genuine gaps, especially the 150 growing-with-no-confirmed-plan franchises (the 'PRIORITY - Growing, no plan' backup-workbook sheet needs re-deriving against this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3. New Products: Profitable and Growing, but Low Reorder</w:t>
      </w:r>
    </w:p>
    <w:p>
      <w:pPr>
        <w:spacing w:after="160"/>
      </w:pPr>
      <w:r>
        <w:rPr>
          <w:b/>
          <w:bCs/>
        </w:rPr>
        <w:t xml:space="preserve">New/Test is already the second-largest tier in the entire portfolio by sales (123.9M SEK, 19.1% of core) — bigger than Harvest, bigger than Problem Child, bigger than the entire healthy Hero + Near-Hero core combined. Innovation is a genuine growth driver here, not a marginal contributor. This chapter covers new product in two parts: Generation Updates (refreshing an existing, already-trading franchise with new technical features, usually paired with a price-increase case) and Genuinely New launches (no prior trading history). Both are judged on the same underlying question — how well are we launching, and how well is it selling.</w:t>
      </w:r>
    </w:p>
    <w:p>
      <w:pPr>
        <w:pBdr>
          <w:left w:val="single" w:color="C97A1A" w:sz="18"/>
        </w:pBdr>
        <w:shd w:fill="FCEFDC" w:val="clear"/>
        <w:spacing w:after="120" w:before="100"/>
        <w:ind w:left="150" w:right="100"/>
      </w:pPr>
      <w:r>
        <w:rPr>
          <w:b/>
          <w:bCs/>
          <w:color w:val="8A4B00"/>
        </w:rPr>
        <w:t xml:space="preserve">NOT ANSWERABLE FROM DATA — ASK: </w:t>
      </w:r>
      <w:r>
        <w:t xml:space="preserve">Suggested KPI framework for judging both Generation Updates and Genuinely New launches going forward — initial volume, DTC presence AND performance in year 1 (not just whether DTC exists, but how much it's carrying), margin at launch, and reorder %. Flagged here as a candidate framework for the team to adopt; not yet scored against every franchise in this draft — that's a follow-up build, not a finding.</w:t>
      </w:r>
    </w:p>
    <w:p>
      <w:pPr>
        <w:pStyle w:val="Heading2"/>
        <w:spacing w:after="120" w:before="240"/>
      </w:pPr>
      <w:r>
        <w:t xml:space="preserve">3.1 Generation Updates as a Price-Increase Opportunity</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pBdr>
          <w:left w:val="single" w:color="9C4DCC" w:sz="18"/>
        </w:pBdr>
        <w:shd w:fill="F0E6F6" w:val="clear"/>
        <w:spacing w:after="120" w:before="100"/>
        <w:ind w:left="150" w:right="100"/>
      </w:pPr>
      <w:r>
        <w:rPr>
          <w:b/>
          <w:bCs/>
          <w:color w:val="6A1B9A"/>
        </w:rPr>
        <w:t xml:space="preserve">CORRECTED FROM DRAFT: </w:t>
      </w:r>
      <w:r>
        <w:t xml:space="preserve">A prior pass through this list identified each family's 'outgoing' article as whichever had fewer 2025 units — which silently inverts the label whenever a successor hasn't shipped any real 2025 volume yet, since an unlaunched successor always has the fewest units (zero). That bug classified 39 families (98.4M SEK) as CLEAN CUTOVER. Re-identifying predecessor vs. successor by actual version-token naming (II/III/IV/2.0) instead shows only 18 of those 39 are genuine transitions with a launched successor (35.1M SEK) — the other 22 (66.6M SEK) are reclassified as HEAVY OVERLAP, and split into two different problems: 15 families (62.6M SEK) still have ZERO 2025 sales on the 'successor' article — there is, in practice, no new version selling yet, so no pricing conversation is possible on them at all — while 7 families (4.0M SEK) do have a launched successor but the predecessor still holds &gt;35% of 2025 units, a genuine (if early) overlap rather than a clean cutover. One family previously too ambiguous to score (Puffy Mimic Hood Men, a 3-version case) turns out to be genuinely clean and is added back in, for a net corrected list of 18 families / 35.1M SEK.</w:t>
      </w:r>
    </w:p>
    <w:p>
      <w:pPr>
        <w:pBdr>
          <w:left w:val="single" w:color="3C8A4C" w:sz="18"/>
        </w:pBdr>
        <w:shd w:fill="EAF3EA" w:val="clear"/>
        <w:spacing w:after="120" w:before="100"/>
        <w:ind w:left="150" w:right="100"/>
      </w:pPr>
      <w:r>
        <w:rPr>
          <w:b/>
          <w:bCs/>
          <w:color w:val="1F5C2E"/>
        </w:rPr>
        <w:t xml:space="preserve">DATA SHOWS: </w:t>
      </w:r>
      <w:r>
        <w:t xml:space="preserve">Checking those 15 zero-2025-successor families against YTD2026 changes the read: 11 of the 15 (60.4M SEK of the 62.6M) now show real successor volume in 2026 — these are genuine transitions, just a year later than an FY2025-only analysis would show, not dead ends. Using 2026 units, 3 of those 11 (Haglöfs Ridge GTX Low Men 11.80M, Kaja Proof Jacket Men 4.20M, Lite Standard Zip-Off Pant Women 1.02M — 17.0M SEK combined) have already crossed the same &lt;15%-predecessor-share threshold used for the 2025 list and would qualify as CLEAN CUTOVER on a 2026 basis; the other 8 (Haglöfs Ridge GTX Low Women, Särna Mimic Hood Men and Women, Buteo Mid Jacket Men and Women, Haglöfs Ridge GTX Mid Men and Women, Haglöfs Krusa GTX Low Women) are underway but still HEAVY OVERLAP even in 2026 (35-80% predecessor share). Only 4 families (2.2M SEK: Vandra Pant Women, Zircon Shorts Women, Mid Flex Pant Men, L.I.M Jacket Women) show zero successor activity in both years and are not real candidates. Recommendation: treat the 3 as an emerging second-wave addition to the pricing list once a 2026 version of this workbook is run properly (not folded into the FY2025 figures above), and revisit the other 8 later in the year.</w:t>
      </w:r>
    </w:p>
    <w:p>
      <w:pPr>
        <w:spacing w:after="160"/>
      </w:pPr>
      <w:r>
        <w:t xml:space="preserve">18 franchise families are genuine CLEAN CUTOVER version transitions (the predecessor article is confirmed &lt;15% of 2025 family units, AND the successor article has real 2025 sales), worth 35.1M SEK of 2025 sales combined. These are the natural candidate list for a generation-update pricing conversation, since the successor is already the de facto standard and any price move lands on live volume, not a hypothetical future cutover. Top 15 by 2025 family sales, with the successor's own YTD2026 sales as a % of its own FY2025 sales (the same ~40-44% on-pace benchmark used elsewhere in this brief) to flag whether the transition is still live going into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75"/>
        <w:gridCol w:w="2000"/>
        <w:gridCol w:w="2000"/>
        <w:gridCol w:w="1675"/>
      </w:tblGrid>
      <w:tr>
        <w:trPr>
          <w:tblHeader/>
        </w:trPr>
        <w:tc>
          <w:tcPr>
            <w:tcW w:type="dxa" w:w="3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Predecessor's share of 2025 units</w:t>
            </w:r>
          </w:p>
        </w:tc>
        <w:tc>
          <w:tcPr>
            <w:tcW w:type="dxa" w:w="1675"/>
            <w:shd w:fill="2F2F2F" w:val="clear"/>
            <w:tcMar>
              <w:top w:type="dxa" w:w="60"/>
              <w:left w:type="dxa" w:w="100"/>
              <w:bottom w:type="dxa" w:w="60"/>
              <w:right w:type="dxa" w:w="100"/>
            </w:tcMar>
            <w:vAlign w:val="center"/>
          </w:tcPr>
          <w:p>
            <w:pPr>
              <w:jc w:val="center"/>
            </w:pPr>
            <w:r>
              <w:rPr>
                <w:b/>
                <w:bCs/>
                <w:color w:val="FFFFFF"/>
                <w:sz w:val="18"/>
                <w:szCs w:val="18"/>
              </w:rPr>
              <w:t xml:space="preserve">Successor YTD26 pace</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32.4%</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10.8%</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83.8%</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84.3%</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Fiction Down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Base Mimic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Mountain Cap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Essens Down Hood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-0.6%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Hood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0.1%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-0.2% — stalled</w:t>
            </w:r>
          </w:p>
        </w:tc>
      </w:tr>
    </w:tbl>
    <w:p>
      <w:pPr>
        <w:pBdr>
          <w:left w:val="single" w:color="B23A3A" w:sz="18"/>
        </w:pBdr>
        <w:shd w:fill="FBE7E7" w:val="clear"/>
        <w:spacing w:after="120" w:before="100"/>
        <w:ind w:left="150" w:right="100"/>
      </w:pPr>
      <w:r>
        <w:rPr>
          <w:b/>
          <w:bCs/>
          <w:color w:val="7A1F1F"/>
        </w:rPr>
        <w:t xml:space="preserve">METHODOLOGY FLAG: </w:t>
      </w:r>
      <w:r>
        <w:t xml:space="preserve">8 of the 18 genuinely-clean families (9.6M SEK, 27% of the corrected list) have a successor that launched in 2025 but has gone near-zero or negative in YTD2026 (Bield Down Hood Men, Gran 3-in-1 Proof Jacket Men, Fiction Down Hood Men, L.I.M Critus Pant Men and Women, Essens Down Hood Women, Base Mimic Hood Men and Women) — flagged 'stalled' in the table above. This isn't a naming/tracking artifact: the whole franchise (not just the successor article) is near-zero or negative in YTD2026 for each of these. A price-increase case aimed at 'live volume' doesn't hold for franchises where the volume has since evaporated — these 8 need a status check (still trading? quietly discontinued? superseded by a further version not caught by this string-matching method?) before being used as generation-update pricing candidates.</w:t>
      </w:r>
    </w:p>
    <w:p>
      <w:pPr>
        <w:spacing w:after="200"/>
      </w:pPr>
      <w:r>
        <w:rPr>
          <w:i/>
          <w:iCs/>
          <w:color w:val="555555"/>
          <w:sz w:val="18"/>
          <w:szCs w:val="18"/>
        </w:rPr>
        <w:t xml:space="preserve">Full 88-family list, both corrected columns (Predecessor_Articles / Successor_Articles, replacing the old Likely_Outgoing_Article) and the two new YTD2026 columns are in the backup workbook (bob_version_successor_families_review.xlsx, sheet 'Family Summary'), filtered to Transition = CLEAN CUTOVER for this list. Under the corrected methodology, 55 families (160.7M SEK) are HEAVY OVERLAP and 15 (40.3M SEK) are PARTIAL OVERLAP — both still running meaningful predecessor volume, so a price increase there would need to apply across both versions simultaneously (or, for the 15 families with a not-yet-real successor, isn't yet a live conversation at all), a materially different (and riskier) case than the clean-cutover list above.</w:t>
      </w:r>
    </w:p>
    <w:p>
      <w:pPr>
        <w:pStyle w:val="Heading2"/>
        <w:spacing w:after="120" w:before="240"/>
      </w:pPr>
      <w:r>
        <w:t xml:space="preserve">3.2 Genuinely New Products: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32 of 197 launches (16%)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NOT ANSWERABLE FROM DATA — ASK: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32 of 197 (16%), worth only 6.2M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 of 197 (see 2.1.5)</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32 of 197 launches (16%) flagged on 2+ risk indicators (see 2.1.5), and 90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3.3 Portfolio-Mix Overview: Where Should New-Product Effort Go?</w:t>
      </w:r>
    </w:p>
    <w:p>
      <w:pPr>
        <w:spacing w:after="160"/>
      </w:pPr>
      <w:r>
        <w:t xml:space="preserve">Before drilling into specific layers, the 8-tier portfolio split from Chapter 2 already points to where new-product effort matters most — and where it doesn't. Full tier-level detail is in Chapter 2; this is that same data, reframed for the new-product question specifically: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475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Share of core</w:t>
            </w:r>
          </w:p>
        </w:tc>
        <w:tc>
          <w:tcPr>
            <w:tcW w:type="dxa" w:w="4750"/>
            <w:shd w:fill="2F2F2F" w:val="clear"/>
            <w:tcMar>
              <w:top w:type="dxa" w:w="60"/>
              <w:left w:type="dxa" w:w="100"/>
              <w:bottom w:type="dxa" w:w="60"/>
              <w:right w:type="dxa" w:w="100"/>
            </w:tcMar>
            <w:vAlign w:val="center"/>
          </w:tcPr>
          <w:p>
            <w:pPr>
              <w:jc w:val="center"/>
            </w:pPr>
            <w:r>
              <w:rPr>
                <w:b/>
                <w:bCs/>
                <w:color w:val="FFFFFF"/>
                <w:sz w:val="18"/>
                <w:szCs w:val="18"/>
              </w:rPr>
              <w:t xml:space="preserve">What this means for new product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Largest tier, mostly healthy — targeted channel fixes needed, not new product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The new-product engine itself — needs better launch execution (DTC support, reorder discipline), not more volume</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Declining — this is where a successor product should be aimed, to replace what's fading</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14.6%</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Margin problem first — often a generation-update/pricing fix rather than a net-new launch</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Hero + Near-Hero</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97.9M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Already working — protect and reinforce, not a new-product gap</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 candidates — not a target for new-product investment</w:t>
            </w:r>
          </w:p>
        </w:tc>
      </w:tr>
    </w:tbl>
    <w:p>
      <w:pPr>
        <w:pBdr>
          <w:left w:val="single" w:color="3C8A4C" w:sz="18"/>
        </w:pBdr>
        <w:shd w:fill="EAF3EA" w:val="clear"/>
        <w:spacing w:after="120" w:before="100"/>
        <w:ind w:left="150" w:right="100"/>
      </w:pPr>
      <w:r>
        <w:rPr>
          <w:b/>
          <w:bCs/>
          <w:color w:val="1F5C2E"/>
        </w:rPr>
        <w:t xml:space="preserve">DATA SHOWS: </w:t>
      </w:r>
      <w:r>
        <w:t xml:space="preserve">Read together with the layer-level cut below: Harvest and Problem Child are where 'do we need new product here' is a real question, and Shell (both the largest Harvest chunk and the largest Problem Child layer) is where that question is most concentrated in Apparel specifically.</w:t>
      </w:r>
    </w:p>
    <w:p>
      <w:pPr>
        <w:pStyle w:val="Heading2"/>
        <w:spacing w:after="120" w:before="240"/>
      </w:pPr>
      <w:r>
        <w:t xml:space="preserve">3.4 SS28 Product Priorities from the Internal Data</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A second key problem runs through this layer-level cut, distinct from Chapter 1's margin story and from Footwear's Hero desert below: fragmentation. Insulation, Mid layer, and the Accessories layer all show the same pattern — healthy or improving margin, healthy or strong growth, but no single franchise concentrated enough to count as a proven Hero. Insulation's substitution ratio is 1.05 and its reorder SEK conversion is 8.5% (barely half of Shell's); Mid layer's substitution ratio (1.03) is the weakest of any layer in the portfolio, with margin eroding on top; Accessories grew +38.2% at 54.0% GM and still produced zero Hero/Near-Hero franchises. This is a different disease from 'not enough new product' or 'wrong margin' — it's too many small, individually-thin launches instead of a few that are allowed to scale. The fix is consolidation (the same succession/generation-update logic as 3.1), not more volume.</w:t>
      </w:r>
    </w:p>
    <w:p>
      <w:pPr>
        <w:pBdr>
          <w:left w:val="single" w:color="3C8A4C" w:sz="18"/>
        </w:pBdr>
        <w:shd w:fill="EAF3EA" w:val="clear"/>
        <w:spacing w:after="120" w:before="100"/>
        <w:ind w:left="150" w:right="100"/>
      </w:pPr>
      <w:r>
        <w:rPr>
          <w:b/>
          <w:bCs/>
          <w:color w:val="1F5C2E"/>
        </w:rPr>
        <w:t xml:space="preserve">DATA SHOWS: </w:t>
      </w:r>
      <w:r>
        <w:t xml:space="preserve">The consolidation mechanism partially exists for one of the three, once corrected for the labeling bug flagged in 3.1: Insulation has 6 of the 18 genuine clean-cutover generation-update families, worth 10.5M SEK (6.9% of the layer) — a real but modest starting list, not the 'fifth of the whole layer' an earlier, mislabeled version of this analysis suggested. Mid layer and Hiking shoes (Footwear) both turn out to have ZERO genuine 2025-based clean-cutover families once the same correction is applied — their prior 'successors' (Buteo Mid Jacket, Haglöfs Ridge GTX Low, Haglöfs Krusa GTX Low) had no real 2025 volume, though most have since started shipping in 2026 (see 3.1's second-wave note) — so there is no consolidation mechanism ready to run on FY2025 figures in either layer today, and both need fresh franchise-mapping/product-brief work, plus a 2026-data re-check, before this case can be made.</w:t>
      </w:r>
    </w:p>
    <w:p>
      <w:pPr>
        <w:pBdr>
          <w:left w:val="single" w:color="C97A1A" w:sz="18"/>
        </w:pBdr>
        <w:shd w:fill="FCEFDC" w:val="clear"/>
        <w:spacing w:after="120" w:before="100"/>
        <w:ind w:left="150" w:right="100"/>
      </w:pPr>
      <w:r>
        <w:rPr>
          <w:b/>
          <w:bCs/>
          <w:color w:val="8A4B00"/>
        </w:rPr>
        <w:t xml:space="preserve">NOT ANSWERABLE FROM DATA — ASK: </w:t>
      </w:r>
      <w:r>
        <w:t xml:space="preserve">For each fragmented long-tail franchise being considered for consolidation, whether it gets a design/technical refresh (new story, updated look, matching the accessories old-logo decision already made) versus a straightforward discontinuation is a product/brand judgment, not something derivable from sales data. The data can identify which franchises are consolidation candidates; it can't say which of them deserve the investment of a refresh. Owner: CPO / Merchandising Director, likely franchise-by-franchise rather than a blanket policy.</w:t>
      </w:r>
    </w:p>
    <w:p>
      <w:pPr>
        <w:pStyle w:val="Heading3"/>
        <w:spacing w:after="100" w:before="200"/>
      </w:pPr>
      <w:r>
        <w:t xml:space="preserve">3.4.1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2.2)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Bdr>
          <w:left w:val="single" w:color="3C8A4C" w:sz="18"/>
        </w:pBdr>
        <w:shd w:fill="EAF3EA" w:val="clear"/>
        <w:spacing w:after="120" w:before="100"/>
        <w:ind w:left="150" w:right="100"/>
      </w:pPr>
      <w:r>
        <w:rPr>
          <w:b/>
          <w:bCs/>
          <w:color w:val="1F5C2E"/>
        </w:rPr>
        <w:t xml:space="preserve">DATA SHOWS: </w:t>
      </w:r>
      <w:r>
        <w:t xml:space="preserve">Beyond the margin story above, Shell's underlying volume health is sound: it's replacing legacy decline 1.27x over (Emerging-tier growth ÷ Legacy-tier decline — see Appendix A), converts Wholesale reorder at 13.8% of Preorder SEK (above the 12.4% company average), carries the best DTC diversification of any major layer (38.5%), and is pacing at 42.2% of FY2025 — in line with the ~40-44% on-pace benchmark used throughout this brief. The SS28 question for Shell is entirely about margin discipline on new launches, not volume, distribution, or consolidation.</w:t>
      </w:r>
    </w:p>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spacing w:after="160"/>
      </w:pPr>
      <w:r>
        <w:rPr>
          <w:b/>
          <w:bCs/>
        </w:rPr>
        <w:t xml:space="preserve">Insulation — the second-largest layer, and a different problem than Shell's</w:t>
      </w:r>
    </w:p>
    <w:p>
      <w:pPr>
        <w:spacing w:after="160"/>
      </w:pPr>
      <w:r>
        <w:t xml:space="preserve">At 120.3M SEK, Insulation is the second-largest layer in the portfolio — large enough to warrant its own read, not a footnote under 'Apparel.'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4250"/>
      </w:tblGrid>
      <w:tr>
        <w:trPr>
          <w:tblHeader/>
        </w:trPr>
        <w:tc>
          <w:tcPr>
            <w:tcW w:type="dxa" w:w="4400"/>
            <w:shd w:fill="2F2F2F" w:val="clear"/>
            <w:tcMar>
              <w:top w:type="dxa" w:w="60"/>
              <w:left w:type="dxa" w:w="100"/>
              <w:bottom w:type="dxa" w:w="60"/>
              <w:right w:type="dxa" w:w="100"/>
            </w:tcMar>
            <w:vAlign w:val="center"/>
          </w:tcPr>
          <w:p>
            <w:pPr>
              <w:jc w:val="left"/>
            </w:pPr>
            <w:r>
              <w:rPr>
                <w:b/>
                <w:bCs/>
                <w:color w:val="FFFFFF"/>
                <w:sz w:val="18"/>
                <w:szCs w:val="18"/>
              </w:rPr>
              <w:t xml:space="preserve">Insulation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42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20.6M (from 39.5M, -18.9M)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16.3M</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FW27 gap list (Harvest/PC/Workhorse, no confirmed continuation)</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28.9M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 — 2nd-largest New/Test layer</w:t>
            </w:r>
          </w:p>
        </w:tc>
      </w:tr>
    </w:tbl>
    <w:p>
      <w:pPr>
        <w:pBdr>
          <w:left w:val="single" w:color="3C8A4C" w:sz="18"/>
        </w:pBdr>
        <w:shd w:fill="EAF3EA" w:val="clear"/>
        <w:spacing w:after="120" w:before="100"/>
        <w:ind w:left="150" w:right="100"/>
      </w:pPr>
      <w:r>
        <w:rPr>
          <w:b/>
          <w:bCs/>
          <w:color w:val="1F5C2E"/>
        </w:rPr>
        <w:t xml:space="preserve">DATA SHOWS: </w:t>
      </w:r>
      <w:r>
        <w:t xml:space="preserve">Unlike Shell, margin is not the issue: GM% jumped 12.3pt (37.4%→49.7%). The problem is fragmentation. Insulation's substitution ratio (1.05) is barely above the breakeven line — emerging-tier growth is only just keeping pace with what's declining in Harvest and Problem Child, not amplifying it. Reorder follow-through is normal (30.2%, in line with the company average), but SEK conversion is only 8.5% — nearly half of Shell's rate — meaning reorders happen about as often, just for much smaller amounts each time. DTC support is thinner too (27.3% vs. Shell's 38.5%), and YTD2026 pacing (31.0%) trails both the on-pace benchmark and Shell. Read together: this isn't a demand or margin problem, it's too many small, individually-thin franchises rather than a few strong ones carrying real volume — the case for applying the same succession/consolidation logic from 3.1 (Generation Updates) to actively retire the long tail into fewer, stronger successor franchises, rather than continuing to launch New/Test items into an already-fragmented layer.</w:t>
      </w:r>
    </w:p>
    <w:p>
      <w:pPr>
        <w:pBdr>
          <w:left w:val="single" w:color="B23A3A" w:sz="18"/>
        </w:pBdr>
        <w:shd w:fill="FBE7E7" w:val="clear"/>
        <w:spacing w:after="120" w:before="100"/>
        <w:ind w:left="150" w:right="100"/>
      </w:pPr>
      <w:r>
        <w:rPr>
          <w:b/>
          <w:bCs/>
          <w:color w:val="7A1F1F"/>
        </w:rPr>
        <w:t xml:space="preserve">METHODOLOGY FLAG: </w:t>
      </w:r>
      <w:r>
        <w:t xml:space="preserve">This pattern isn't unique to Insulation. Mid layer shows the same fragmentation signal at smaller scale (60.5M SEK, substitution ratio 1.03 — the weakest of any Apparel layer) and margin is eroding on top of it (-3.4pt), which Insulation does not have. Legwear is a different, narrower issue: growing well (+10.1%) with a healthy substitution ratio, but its reorder SEK conversion (7.8%) is as weak as Insulation's — a reorder-execution question specific to that layer, not a consolidation one. Full seven-layer Apparel cut, plus Footwear and Accessories, is in Appendix A — worth a look before deciding whether this narrative extends beyond Shell and Insulation for the workshop.</w:t>
      </w:r>
    </w:p>
    <w:p>
      <w:pPr>
        <w:pStyle w:val="Heading3"/>
        <w:spacing w:after="100" w:before="200"/>
      </w:pPr>
      <w:r>
        <w:t xml:space="preserve">3.4.2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spacing w:after="200"/>
      </w:pPr>
      <w:r>
        <w:rPr>
          <w:i/>
          <w:iCs/>
          <w:color w:val="555555"/>
          <w:sz w:val="18"/>
          <w:szCs w:val="18"/>
        </w:rPr>
        <w:t xml:space="preserve">Substitution ratios confirm this is a real gap, not a growth-slowdown story: Hiking shoes 0.29 and Trail running shoes 0.00 — full detail in Appendix A.</w:t>
      </w:r>
    </w:p>
    <w:p>
      <w:pPr>
        <w:pBdr>
          <w:left w:val="single" w:color="3C8A4C" w:sz="18"/>
        </w:pBdr>
        <w:shd w:fill="EAF3EA" w:val="clear"/>
        <w:spacing w:after="120" w:before="100"/>
        <w:ind w:left="150" w:right="100"/>
      </w:pPr>
      <w:r>
        <w:rPr>
          <w:b/>
          <w:bCs/>
          <w:color w:val="1F5C2E"/>
        </w:rPr>
        <w:t xml:space="preserve">DATA SHOWS: </w:t>
      </w:r>
      <w:r>
        <w:t xml:space="preserve">Footwear is a complete Hero desert, not just a declining or under-launched category: all five Footwear layers — Hiking shoes, Trekking shoes, Trail running shoes, Casual shoes, Mountain shoes — have zero Hero or Near-Hero franchises between them, out of 34 Hero/Near-Hero franchises company-wide. The gap here isn't just 'not enough new launches,' it's that nothing in Footwear has ever broken out to proven-star status. Full layer-by-tier breakdown in Appendix A.</w:t>
      </w:r>
    </w:p>
    <w:p>
      <w:pPr>
        <w:pStyle w:val="Heading3"/>
        <w:spacing w:after="100" w:before="200"/>
      </w:pPr>
      <w:r>
        <w:t xml:space="preserve">3.4.3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NOT ANSWERABLE FROM DATA — ASK: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w:t>
      </w:r>
    </w:p>
    <w:p>
      <w:pPr>
        <w:pStyle w:val="ListParagraph"/>
        <w:numPr>
          <w:ilvl w:val="0"/>
          <w:numId w:val="2"/>
        </w:numPr>
        <w:spacing w:after="80"/>
      </w:pPr>
      <w:r>
        <w:t xml:space="preserve">Decision already made (2026-07-28): stop purchasing legacy/old-logo accessory stock; review the full portfolio for a design refresh.</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pPr>
        <w:spacing w:after="200"/>
      </w:pPr>
      <w:r>
        <w:rPr>
          <w:i/>
          <w:iCs/>
          <w:color w:val="555555"/>
          <w:sz w:val="18"/>
          <w:szCs w:val="18"/>
        </w:rPr>
        <w:t xml:space="preserve">Hiking packs (the Accessories-category layer, not Footwear) shows the same acute gap as Hiking/Trail running shoes — substitution ratio 0.28 — but its reorder SEK conversion (49.0%) is the best of any layer in the portfolio: what does convert, converts extremely well, there just isn't enough new product feeding it. Full detail in Appendix A.</w:t>
      </w:r>
    </w:p>
    <w:p>
      <w:pPr>
        <w:pBdr>
          <w:left w:val="single" w:color="3C8A4C" w:sz="18"/>
        </w:pBdr>
        <w:shd w:fill="EAF3EA" w:val="clear"/>
        <w:spacing w:after="120" w:before="100"/>
        <w:ind w:left="150" w:right="100"/>
      </w:pPr>
      <w:r>
        <w:rPr>
          <w:b/>
          <w:bCs/>
          <w:color w:val="1F5C2E"/>
        </w:rPr>
        <w:t xml:space="preserve">DATA SHOWS: </w:t>
      </w:r>
      <w:r>
        <w:t xml:space="preserve">A specific tension in the 'well-growing' framing above: the Accessories layer itself (the literal 'Accessories' category, not Daypacks/Bags/etc.) has zero Hero or Near-Hero franchises despite +38.2% growth and 54.0% GM — the same fragmentation pattern already flagged for Insulation and Mid layer, strong in aggregate but with no single item concentrated enough to count as a proven star. Daypacks is the one Accessories-category layer with any Hero/Near-Hero presence (2 franchises) — worth checking whether the design-refresh work already decided (above) should prioritize consolidating Accessories' long tail the same way, rather than just refreshing the logo/branding on what exists.</w:t>
      </w:r>
    </w:p>
    <w:p>
      <w:pPr>
        <w:pStyle w:val="Heading2"/>
        <w:spacing w:after="120" w:before="240"/>
      </w:pPr>
      <w:r>
        <w:t xml:space="preserve">3.5 Additional Opportunities</w:t>
      </w:r>
    </w:p>
    <w:p>
      <w:pPr>
        <w:spacing w:after="160"/>
      </w:pPr>
      <w:r>
        <w:rPr>
          <w:i/>
          <w:iCs/>
        </w:rPr>
        <w:t xml:space="preserve">Two open questions, both flagged for follow-up rather than answered here — neither is verifiable with the current data.</w:t>
      </w:r>
    </w:p>
    <w:p>
      <w:pPr>
        <w:pStyle w:val="ListParagraph"/>
        <w:numPr>
          <w:ilvl w:val="0"/>
          <w:numId w:val="2"/>
        </w:numPr>
        <w:spacing w:after="80"/>
      </w:pPr>
      <w:r>
        <w:t xml:space="preserve">Basket size / bundling: do we have the right product mix to grow basket size — Accessories is normally the easy lever, but whether the fix is launching new accessories or selling the existing range better is TBD. Needs verification against DTC transaction-level data (what actually gets bundled/co-purchased in a single sale) to answer.</w:t>
      </w:r>
    </w:p>
    <w:p>
      <w:pPr>
        <w:pStyle w:val="ListParagraph"/>
        <w:numPr>
          <w:ilvl w:val="0"/>
          <w:numId w:val="2"/>
        </w:numPr>
        <w:spacing w:after="80"/>
      </w:pPr>
      <w:r>
        <w:t xml:space="preserve">Price/margin via new technical features: can we build a margin-increase case into new-feature launches, beyond the generation-update/version-succession case already covered in 3.1?</w:t>
      </w:r>
    </w:p>
    <w:p>
      <w:pPr>
        <w:pBdr>
          <w:left w:val="single" w:color="B23A3A" w:sz="18"/>
        </w:pBdr>
        <w:shd w:fill="FBE7E7" w:val="clear"/>
        <w:spacing w:after="120" w:before="100"/>
        <w:ind w:left="150" w:right="100"/>
      </w:pPr>
      <w:r>
        <w:rPr>
          <w:b/>
          <w:bCs/>
          <w:color w:val="7A1F1F"/>
        </w:rPr>
        <w:t xml:space="preserve">METHODOLOGY FLAG: </w:t>
      </w:r>
      <w:r>
        <w:t xml:space="preserve">Neither of the two questions above can be verified with the current data — the sales extract has no transaction/order ID, so co-purchase/bundling patterns can't be reconstructed (the same standing data gap noted throughout this brief). Both stay as open follow-up asks for the team, not findings with numbers behind them.</w:t>
      </w:r>
    </w:p>
    <w:p>
      <w:r>
        <w:br w:type="page"/>
      </w:r>
    </w:p>
    <w:p>
      <w:pPr>
        <w:pStyle w:val="Heading1"/>
        <w:spacing w:after="160" w:before="320"/>
      </w:pPr>
      <w:r>
        <w:t xml:space="preserve">4. Wholesale &amp; DTC: Reorder Lever and Full-Price Recovery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spacing w:after="160"/>
      </w:pPr>
      <w:r>
        <w:t xml:space="preserve">Premise in the original draft on the Wholesale reorder lever below: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4.1 Channel-Level Margin and ASP Trend</w:t>
      </w:r>
    </w:p>
    <w:p>
      <w:pPr>
        <w:pStyle w:val="Heading3"/>
        <w:spacing w:after="100" w:before="200"/>
      </w:pPr>
      <w:r>
        <w:t xml:space="preserve">4.1.1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4.1.2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4.3.1,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4.2 Wholesale</w:t>
      </w:r>
    </w:p>
    <w:p>
      <w:pPr>
        <w:pStyle w:val="Heading3"/>
        <w:spacing w:after="100" w:before="200"/>
      </w:pPr>
      <w:r>
        <w:t xml:space="preserve">4.2.1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3"/>
        <w:spacing w:after="100" w:before="200"/>
      </w:pPr>
      <w:r>
        <w:t xml:space="preserve">4.2.2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spacing w:after="80" w:before="160"/>
      </w:pPr>
      <w:r>
        <w:rPr>
          <w:b/>
          <w:bCs/>
          <w:i/>
          <w:iCs/>
          <w:color w:val="444444"/>
          <w:sz w:val="21"/>
          <w:szCs w:val="21"/>
        </w:rP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pStyle w:val="Heading3"/>
        <w:spacing w:after="100" w:before="200"/>
      </w:pPr>
      <w:r>
        <w:t xml:space="preserve">4.2.3 Core Assortment: Reorder Follow-Through</w:t>
      </w:r>
    </w:p>
    <w:p>
      <w:pPr>
        <w:spacing w:after="160"/>
      </w:pPr>
      <w:r>
        <w:t xml:space="preserve">This section was previously broken down by account type (core vs. special account) — but that duplicates the core-only cut already shown in 4.2.1.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pStyle w:val="Heading3"/>
        <w:spacing w:after="100" w:before="200"/>
      </w:pPr>
      <w:r>
        <w:t xml:space="preserve">4.2.4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pPr>
        <w:pStyle w:val="Heading3"/>
        <w:spacing w:after="100" w:before="200"/>
      </w:pPr>
      <w:r>
        <w:t xml:space="preserve">4.2.5 Price Realization: Broad Erosion, Two Account Outliers, Reorder Worse Than Preorder</w:t>
      </w:r>
    </w:p>
    <w:p>
      <w:pPr>
        <w:spacing w:after="80" w:before="160"/>
      </w:pPr>
      <w:r>
        <w:rPr>
          <w:b/>
          <w:bCs/>
          <w:i/>
          <w:iCs/>
          <w:color w:val="444444"/>
          <w:sz w:val="21"/>
          <w:szCs w:val="21"/>
        </w:rPr>
        <w:t xml:space="preserve">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spacing w:after="80" w:before="160"/>
      </w:pPr>
      <w:r>
        <w:rPr>
          <w:b/>
          <w:bCs/>
          <w:i/>
          <w:iCs/>
          <w:color w:val="444444"/>
          <w:sz w:val="21"/>
          <w:szCs w:val="21"/>
        </w:rPr>
        <w:t xml:space="preserve">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spacing w:after="80" w:before="160"/>
      </w:pPr>
      <w:r>
        <w:rPr>
          <w:b/>
          <w:bCs/>
          <w:i/>
          <w:iCs/>
          <w:color w:val="444444"/>
          <w:sz w:val="21"/>
          <w:szCs w:val="21"/>
        </w:rPr>
        <w:t xml:space="preserve">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3"/>
        <w:spacing w:after="100" w:before="200"/>
      </w:pPr>
      <w:r>
        <w:t xml:space="preserve">4.2.6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4.3 DTC (Retail + E-com)</w:t>
      </w:r>
    </w:p>
    <w:p>
      <w:pPr>
        <w:pStyle w:val="Heading3"/>
        <w:spacing w:after="100" w:before="200"/>
      </w:pPr>
      <w:r>
        <w:t xml:space="preserve">4.3.1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3"/>
        <w:spacing w:after="100" w:before="200"/>
      </w:pPr>
      <w:r>
        <w:t xml:space="preserve">4.3.2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-17%</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spacing w:after="160"/>
      </w:pPr>
      <w:r>
        <w:t xml:space="preserve">On cost: Retail continuing-franchise COGS/unit rose +13.6% against only +3.1% raw ASP growth (itself mostly mix, per 4.1). This is treated as a USD-COGS/FX effect, not a sourcing or logistics problem — no negotiating leverage exists at current volumes, and FX is being set aside company-wide as a topic for this workshop cycle.</w:t>
      </w:r>
    </w:p>
    <w:p>
      <w:pPr>
        <w:pStyle w:val="Heading2"/>
        <w:spacing w:after="120" w:before="240"/>
      </w:pPr>
      <w:r>
        <w:t xml:space="preserve">4.4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4.2.1).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5. New Store Openings</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This section uses a hypothetical, ramp-based payback model (Haglöfs 5Year Retail Payback Matrix V4.xlsx). The ramp percentages used are UNIFORM placeholders applied to every store (Sales 50/65/80/90/100% of mature by Yr1-5; EBIT -50/10/40/75/100%), not store-specific curves. Treat the numbers below as illustrative of the correct methodology, not final — the team still needs to supply real per-store ramp assumptions before this replaces the figures used elsewhere.</w:t>
      </w:r>
    </w:p>
    <w:p>
      <w:pPr>
        <w:spacing w:after="160"/>
      </w:pPr>
      <w:r>
        <w:t xml:space="preserve">Two decisions from the 2026-07-28 session affect this roster, not further data work:</w:t>
      </w:r>
    </w:p>
    <w:p>
      <w:pPr>
        <w:pStyle w:val="ListParagraph"/>
        <w:numPr>
          <w:ilvl w:val="0"/>
          <w:numId w:val="2"/>
        </w:numPr>
        <w:spacing w:after="80"/>
      </w:pPr>
      <w:r>
        <w:t xml:space="preserve">Munich: rejected outright. Rent makes the store structurally unprofitable, independent of any Wholesale-trend question.</w:t>
      </w:r>
    </w:p>
    <w:p>
      <w:pPr>
        <w:pStyle w:val="ListParagraph"/>
        <w:numPr>
          <w:ilvl w:val="0"/>
          <w:numId w:val="2"/>
        </w:numPr>
        <w:spacing w:after="80"/>
      </w:pPr>
      <w:r>
        <w:t xml:space="preserve">Copenhagen: still an open, unresolved problem — its weak economics hold up under the ramp-based model too (worst payback in the roster by a wide margin), so it is not a modeling artifact. Recommend resolving this before the workshop, not raising it as a live question at it.</w:t>
      </w:r>
    </w:p>
    <w:p>
      <w:pPr>
        <w:pBdr>
          <w:left w:val="single" w:color="B23A3A" w:sz="18"/>
        </w:pBdr>
        <w:shd w:fill="FBE7E7" w:val="clear"/>
        <w:spacing w:after="120" w:before="100"/>
        <w:ind w:left="150" w:right="100"/>
      </w:pPr>
      <w:r>
        <w:rPr>
          <w:b/>
          <w:bCs/>
          <w:color w:val="7A1F1F"/>
        </w:rPr>
        <w:t xml:space="preserve">METHODOLOGY FLAG: </w:t>
      </w:r>
      <w:r>
        <w:t xml:space="preserve">The hypothetical matrix supplied still includes München as an active roster row (4.94-year payback) — that conflicts with the 2026-07-28 decision to reject Munich outright. Flagging rather than silently dropping it: whoever reworks this model should remove München (or confirm the rejection has been reversed) before this table is used for anything beyond illustrating the methodology.</w:t>
      </w:r>
    </w:p>
    <w:p>
      <w:pPr>
        <w:pStyle w:val="Heading2"/>
        <w:spacing w:after="120" w:before="240"/>
      </w:pPr>
      <w:r>
        <w:t xml:space="preserve">5.1 Investment Case: Capex vs. EBIT Payback (Illustrative Ramp Model)</w:t>
      </w:r>
    </w:p>
    <w:p>
      <w:pPr>
        <w:spacing w:after="160"/>
      </w:pPr>
      <w:r>
        <w:t xml:space="preserve">Judging a capital investment on Capex-to-Sales is a screening ratio at best — it says nothing about profitability, so it can look fine on a store that is actually a poor investment. Payback here is computed as the interpolated year at which cumulative EBIT (built up on the ramp curve above) first equals CAPEX — a genuine multi-year cash-flow view, normalized to years-since-opening rather than a fixed calendar year. This avoids a vintage-confound problem: under a fixed-calendar-year comparison, a store's apparent EBIT margin correlates with how many years it's had to mature (a 0.71 correlation was found between years-to-mature-by-2032 and EBIT margin), not with site quality alone — under this model, every store is judged on the same years-since-opening basis regardless of when it opened. Figures below are labeled €M as supplied in the hypothetical matrix; reconcile against the SEK figures used elsewhere in this deck before finalizing.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500"/>
        <w:gridCol w:w="1450"/>
        <w:gridCol w:w="120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Opening Year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Capex (€M)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Mature Sales (€M)</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Mature EBIT (€M)</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6.70</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9.92</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10.39</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23.25</w:t>
            </w:r>
          </w:p>
        </w:tc>
      </w:tr>
    </w:tbl>
    <w:p>
      <w:pPr>
        <w:spacing w:after="160"/>
      </w:pPr>
      <w:r>
        <w:t xml:space="preserve">Copenhagen is the clearest proof that a sales screen would miss the real problem: mid-roster Mature Sales (12.5M), but by far the worst EBIT margin (1.6%) and payback (23.25 years). Innsbruck is the strongest case (3.56-year payback) — under this ramp model, that is not a vintage effect: every store gets the same normalized comparison, so Innsbruck's result reflects the site's own Sales/EBIT/Capex figures, not how many years it has had to mature by a fixed calendar date.</w:t>
      </w:r>
    </w:p>
    <w:p>
      <w:pPr>
        <w:pBdr>
          <w:left w:val="single" w:color="C97A1A" w:sz="18"/>
        </w:pBdr>
        <w:shd w:fill="FCEFDC" w:val="clear"/>
        <w:spacing w:after="120" w:before="100"/>
        <w:ind w:left="150" w:right="100"/>
      </w:pPr>
      <w:r>
        <w:rPr>
          <w:b/>
          <w:bCs/>
          <w:color w:val="8A4B00"/>
        </w:rPr>
        <w:t xml:space="preserve">NOT ANSWERABLE FROM DATA — ASK: </w:t>
      </w:r>
      <w:r>
        <w:t xml:space="preserve">Does the team have real, store-specific ramp curves (rather than this illustrative uniform 50/65/80/90/100% Sales / -50/10/40/75/100% EBIT curve) to replace the placeholder assumptions above with? Owner: whoever owns the store-level financial model.</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is worse under this model, not better, should it be re-scoped or re-negotiated (different site, smaller footprint, renegotiated rent) before the 2028 commitment is finalized? Owner: Retail Expansion / Real Estate lead.</w:t>
      </w:r>
    </w:p>
    <w:p>
      <w:pPr>
        <w:pStyle w:val="Heading2"/>
        <w:spacing w:after="120" w:before="240"/>
      </w:pPr>
      <w:r>
        <w:t xml:space="preserve">5.2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rPr>
          <w:b/>
          <w:bCs/>
        </w:rPr>
        <w:t xml:space="preserve">Key articles</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r>
        <w:br w:type="page"/>
      </w:r>
    </w:p>
    <w:p>
      <w:pPr>
        <w:pStyle w:val="Heading1"/>
        <w:spacing w:after="160" w:before="320"/>
      </w:pPr>
      <w:r>
        <w:t xml:space="preserve">6. New Market Expansion</w:t>
      </w:r>
    </w:p>
    <w:p>
      <w:pPr>
        <w:pStyle w:val="Heading2"/>
        <w:spacing w:after="120" w:before="240"/>
      </w:pPr>
      <w:r>
        <w:t xml:space="preserve">6.1 Re-Entry Markets: Germany, Austria, Switzerland</w:t>
      </w:r>
    </w:p>
    <w:p>
      <w:pPr>
        <w:pBdr>
          <w:left w:val="single" w:color="2E8FB5" w:sz="18"/>
        </w:pBdr>
        <w:shd w:fill="E3F1F7" w:val="clear"/>
        <w:spacing w:after="120" w:before="100"/>
        <w:ind w:left="150" w:right="100"/>
      </w:pPr>
      <w:r>
        <w:rPr>
          <w:b/>
          <w:bCs/>
          <w:color w:val="0F5C7A"/>
        </w:rPr>
        <w:t xml:space="preserve">2026 YTD ADDED: </w:t>
      </w: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pBdr>
          <w:left w:val="single" w:color="3C8A4C" w:sz="18"/>
        </w:pBdr>
        <w:shd w:fill="EAF3EA" w:val="clear"/>
        <w:spacing w:after="120" w:before="100"/>
        <w:ind w:left="150" w:right="100"/>
      </w:pPr>
      <w:r>
        <w:rPr>
          <w:b/>
          <w:bCs/>
          <w:color w:val="1F5C2E"/>
        </w:rPr>
        <w:t xml:space="preserve">DATA SHOWS: </w:t>
      </w:r>
      <w:r>
        <w:t xml:space="preserve">Austria: the zero-Wholesale, zero-Retail footprint has a real explanation, confirmed 2026-07-28 — XXL previously forced other Austrian retailers to drop Haglöfs, then XXL went bankrupt in Austria, leaving a genuine distribution vacuum. Current agent (Martin) is rated well and some residual brand awareness exists. Outlet allocation has since been redirected to Germany, ahead of Austria.</w:t>
      </w:r>
    </w:p>
    <w:p>
      <w:pPr>
        <w:pBdr>
          <w:left w:val="single" w:color="B23A3A" w:sz="18"/>
        </w:pBdr>
        <w:shd w:fill="FBE7E7" w:val="clear"/>
        <w:spacing w:after="120" w:before="100"/>
        <w:ind w:left="150" w:right="100"/>
      </w:pPr>
      <w:r>
        <w:rPr>
          <w:b/>
          <w:bCs/>
          <w:color w:val="7A1F1F"/>
        </w:rPr>
        <w:t xml:space="preserve">METHODOLOGY FLAG: </w:t>
      </w:r>
      <w:r>
        <w:t xml:space="preserve">Switzerland has almost no grounding in this engagement. The sales data shows only a small existing Wholesale presence (4.5M SEK 2024 -&gt; 7.4M SEK 2025), no Retail or E-com at all, and nothing has been analyzed here beyond that. Treat any Switzerland re-entry case as needing fresh work, not an extension of the Germany/Austria analysis.</w:t>
      </w:r>
    </w:p>
    <w:p>
      <w:pPr>
        <w:pStyle w:val="Heading2"/>
        <w:spacing w:after="120" w:before="240"/>
      </w:pPr>
      <w:r>
        <w:t xml:space="preserve">6.2 New (Distributor) Markets: China, Korea, Japan</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China and Japan already have dedicated coverage elsewhere in this bridge (special-account and Q2 2026 Key Account analysis); 'what do these markets want' is a distributor-relationship question for the team, not something derivable from the sales extract.</w:t>
      </w:r>
    </w:p>
    <w:p>
      <w:r>
        <w:br w:type="page"/>
      </w:r>
    </w:p>
    <w:p>
      <w:pPr>
        <w:pStyle w:val="Heading1"/>
        <w:spacing w:after="160" w:before="320"/>
      </w:pPr>
      <w:r>
        <w:t xml:space="preserve">Appendix A: Layer-Level Diagnostic (All 19 Layers)</w:t>
      </w:r>
    </w:p>
    <w:p>
      <w:pPr>
        <w:spacing w:after="160"/>
      </w:pPr>
      <w:r>
        <w:rPr>
          <w:i/>
          <w:iCs/>
        </w:rPr>
        <w:t xml:space="preserve">Same seven metrics, run across every layer in the portfolio, referenced from 3.4 (SS28 Product Priorities). Methodology: SubRatio = Emerging-tier (Hero/Near-Hero/Workhorse/New-Test) sales growth ÷ Legacy-tier (Harvest/Problem Child/Exited/Thin) sales decline, 2024→2025 — above 1.0 means new growth is already replacing what's fading in that layer; below 1.0 means it isn't yet. Reorder FT% and SEK Conv% use the same combo-level, core-scope methodology established in Chapter 4.2.2 (Preordered article-account combinations, 2025 Wholesale). DTC% and YTD26 Pace% follow the same definitions used throughout this brief.</w:t>
      </w:r>
    </w:p>
    <w:p>
      <w:pPr>
        <w:pStyle w:val="Heading2"/>
        <w:spacing w:after="120" w:before="240"/>
      </w:pPr>
      <w:r>
        <w:t xml:space="preserve">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244.5M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42.5% (-1.3pt)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38.5%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42.2%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120.3M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49.7% (+12.3pt)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63.0M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50.4% (-2.4pt)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63.1%</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60.5M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 (-3.4pt)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124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23.7M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45.1% (-5.0pt)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50.7% (-3.7pt)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30.6%</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92.5%</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Base layer</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+47.4%</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50.1% (+0.2pt)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2.92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44.1%</w:t>
            </w:r>
          </w:p>
        </w:tc>
      </w:tr>
    </w:tbl>
    <w:p>
      <w:pPr>
        <w:pStyle w:val="Heading2"/>
        <w:spacing w:after="120" w:before="240"/>
      </w:pPr>
      <w:r>
        <w:t xml:space="preserve">Footwear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-8.0%</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43.4% (-1.5pt)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69.2%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43.3% (-6.3pt)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38.8% (-0.4pt)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80.5%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40.0%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 (-1.7pt)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0.005M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*Mountain shoes: 2 franchises, ~5K SEK total 2025 sales — figures are noise on a base this small (negative margin, four-digit % growth) and are excluded from any narrative read; shown here only for completeness.</w:t>
      </w:r>
    </w:p>
    <w:p>
      <w:pPr>
        <w:pStyle w:val="Heading2"/>
        <w:spacing w:after="120" w:before="240"/>
      </w:pPr>
      <w:r>
        <w:t xml:space="preserve">Accessories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Accessories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13.9M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+38.2%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54.0% (-2.7pt)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45.1% (-4.2pt)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Bags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 (-1.5pt)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25.4%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7.0M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 (-2.3pt)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Sleepingbags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6.9M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43.0% (-3.0pt)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15.7%</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68.9%</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41.0% (-2.2pt)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61.7%</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packs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45.7% (-1.6pt)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25.6%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49.7%</w:t>
            </w:r>
          </w:p>
        </w:tc>
      </w:tr>
    </w:tbl>
    <w:p>
      <w:pPr>
        <w:pBdr>
          <w:left w:val="single" w:color="3C8A4C" w:sz="18"/>
        </w:pBdr>
        <w:shd w:fill="EAF3EA" w:val="clear"/>
        <w:spacing w:after="120" w:before="100"/>
        <w:ind w:left="150" w:right="100"/>
      </w:pPr>
      <w:r>
        <w:rPr>
          <w:b/>
          <w:bCs/>
          <w:color w:val="1F5C2E"/>
        </w:rPr>
        <w:t xml:space="preserve">DATA SHOWS: </w:t>
      </w:r>
      <w:r>
        <w:t xml:space="preserve">Standout items beyond what's already called out in 3.4: Hiking packs (SubRatio 0.28) shows the same acute Footwear-style gap, but converts reorder better than any other layer in the portfolio (49.0% SEK conversion) — the constraint is new-product supply, not demand. Daypacks' DTC share (9.3%) is the lowest of any layer with real scale (28.2M SEK), more Wholesale-dependent than New/Test as a whole. Margin is compressing in almost every layer across all three categories except Insulation and Base layer — consistent with the 'margin improving broadly, volume lagging' headline in the Executive Summary.</w:t>
      </w:r>
    </w:p>
    <w:p>
      <w:r>
        <w:br w:type="page"/>
      </w:r>
    </w:p>
    <w:p>
      <w:pPr>
        <w:pStyle w:val="Heading1"/>
        <w:spacing w:after="160" w:before="320"/>
      </w:pPr>
      <w:r>
        <w:t xml:space="preserve">Appendix B: Layer × Tier Franchise Counts (All 19 Layers)</w:t>
      </w:r>
    </w:p>
    <w:p>
      <w:pPr>
        <w:spacing w:after="160"/>
      </w:pPr>
      <w:r>
        <w:rPr>
          <w:i/>
          <w:iCs/>
        </w:rPr>
        <w:t xml:space="preserve">Referenced from 3.4.2 and 3.4.3 — tests whether every layer has at least one proven Hero/Near-Hero franchise. It doesn't: 11 of 19 layers (58%) have zero Hero or Near-Hero franchises, including all five Footwear layers and the Accessories layer itself. Only three layers — Shell, Insulation, Mid layer — account for 25 of the 34 Hero/Near-Hero franchises company-wide.</w:t>
      </w:r>
    </w:p>
    <w:p>
      <w:pPr>
        <w:pStyle w:val="Heading2"/>
        <w:spacing w:after="120" w:before="240"/>
      </w:pPr>
      <w:r>
        <w:t xml:space="preserve">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900"/>
        <w:gridCol w:w="900"/>
        <w:gridCol w:w="850"/>
        <w:gridCol w:w="1000"/>
        <w:gridCol w:w="850"/>
        <w:gridCol w:w="700"/>
        <w:gridCol w:w="700"/>
        <w:gridCol w:w="65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442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247</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234</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124</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Base layer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35</w:t>
            </w:r>
          </w:p>
        </w:tc>
      </w:tr>
    </w:tbl>
    <w:p>
      <w:pPr>
        <w:pStyle w:val="Heading2"/>
        <w:spacing w:after="120" w:before="240"/>
      </w:pPr>
      <w:r>
        <w:t xml:space="preserve">Footwear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900"/>
        <w:gridCol w:w="900"/>
        <w:gridCol w:w="850"/>
        <w:gridCol w:w="1000"/>
        <w:gridCol w:w="850"/>
        <w:gridCol w:w="700"/>
        <w:gridCol w:w="700"/>
        <w:gridCol w:w="65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6</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shoes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w:t>
            </w:r>
          </w:p>
        </w:tc>
      </w:tr>
    </w:tbl>
    <w:p>
      <w:pPr>
        <w:spacing w:after="200"/>
      </w:pPr>
      <w:r>
        <w:rPr>
          <w:i/>
          <w:iCs/>
          <w:color w:val="555555"/>
          <w:sz w:val="18"/>
          <w:szCs w:val="18"/>
        </w:rPr>
        <w:t xml:space="preserve">Zero Hero/Near-Hero franchises in every single Footwear layer — not one exception.</w:t>
      </w:r>
    </w:p>
    <w:p>
      <w:pPr>
        <w:pStyle w:val="Heading2"/>
        <w:spacing w:after="120" w:before="240"/>
      </w:pPr>
      <w:r>
        <w:t xml:space="preserve">Accessories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900"/>
        <w:gridCol w:w="900"/>
        <w:gridCol w:w="850"/>
        <w:gridCol w:w="1000"/>
        <w:gridCol w:w="850"/>
        <w:gridCol w:w="700"/>
        <w:gridCol w:w="700"/>
        <w:gridCol w:w="65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Accessories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151</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Bags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Sleepingbags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packs</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packs</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13</w:t>
            </w:r>
          </w:p>
        </w:tc>
      </w:tr>
    </w:tbl>
    <w:p>
      <w:pPr>
        <w:spacing w:after="200"/>
      </w:pPr>
      <w:r>
        <w:rPr>
          <w:i/>
          <w:iCs/>
          <w:color w:val="555555"/>
          <w:sz w:val="18"/>
          <w:szCs w:val="18"/>
        </w:rPr>
        <w:t xml:space="preserve">Only Daypacks and Bags carry any Hero/Near-Hero presence in Accessories (2 franchises each); Sleepingbags carries 1. The other four Accessories-category layers — Accessories, Hiking packs, Trekking packs, Mountain packs — have none.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2026-07-31T13:44:46.731Z</dcterms:created>
  <dcterms:modified xsi:type="dcterms:W3CDTF">2026-07-31T13:44:46.731Z</dcterms:modified>
</cp:coreProperties>
</file>

<file path=docProps/custom.xml><?xml version="1.0" encoding="utf-8"?>
<Properties xmlns="http://schemas.openxmlformats.org/officeDocument/2006/custom-properties" xmlns:vt="http://schemas.openxmlformats.org/officeDocument/2006/docPropsVTypes"/>
</file>