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44"/>
          <w:szCs w:val="44"/>
        </w:rPr>
        <w:t xml:space="preserve">Project Bob — Workshop Pre-Read Brief</w:t>
      </w:r>
    </w:p>
    <w:p>
      <w:pPr>
        <w:spacing w:after="60"/>
      </w:pPr>
      <w:r>
        <w:rPr>
          <w:color w:val="2E5395"/>
          <w:sz w:val="30"/>
          <w:szCs w:val="30"/>
        </w:rPr>
        <w:t xml:space="preserve">Part 3 — Opportunities — Draft v2</w:t>
      </w:r>
    </w:p>
    <w:p>
      <w:pPr>
        <w:spacing w:after="40"/>
      </w:pPr>
      <w:r>
        <w:rPr>
          <w:i/>
          <w:iCs/>
          <w:color w:val="666666"/>
          <w:sz w:val="22"/>
          <w:szCs w:val="22"/>
        </w:rPr>
        <w:t xml:space="preserve">Revised per Draft v1 comments: chapter numbering fixed, 20 open comment threads resolved, additional supporting detail added throughout.</w:t>
      </w:r>
    </w:p>
    <w:p>
      <w:pPr>
        <w:spacing w:after="300"/>
      </w:pPr>
      <w:r>
        <w:rPr>
          <w:color w:val="888888"/>
          <w:sz w:val="20"/>
          <w:szCs w:val="20"/>
        </w:rPr>
        <w:t xml:space="preserve">2026-07-30</w:t>
      </w:r>
    </w:p>
    <w:p>
      <w:pPr>
        <w:pStyle w:val="Heading3"/>
        <w:spacing w:after="100" w:before="200"/>
      </w:pPr>
      <w:r>
        <w:t xml:space="preserve">Methodology — Franchise definition</w:t>
      </w:r>
    </w:p>
    <w:p>
      <w:pPr>
        <w:spacing w:after="160"/>
      </w:pPr>
      <w:r>
        <w:t xml:space="preserve">Franchise: a product family, defined as an article's name with gender and version tokens stripped out, paired back with its gender. Two article codes collapse into the same franchise if they're the same underlying product, just a different generation or a different gender listing. A franchise is the level at which this brief tracks continuity, growth and decline across years — not the raw article code, which changes every time a version updates.</w:t>
      </w:r>
    </w:p>
    <w:p>
      <w:pPr>
        <w:spacing w:after="160"/>
      </w:pPr>
      <w:r>
        <w:rPr>
          <w:b/>
          <w:bCs/>
        </w:rPr>
        <w:t xml:space="preserve">How it's built:</w:t>
      </w:r>
    </w:p>
    <w:p>
      <w:pPr>
        <w:pStyle w:val="ListParagraph"/>
        <w:numPr>
          <w:ilvl w:val="0"/>
          <w:numId w:val="2"/>
        </w:numPr>
        <w:spacing w:after="80"/>
      </w:pPr>
      <w:r>
        <w:t xml:space="preserve">Version tokens stripped: 2.0, II, III, IV — so a product and its next-generation successor are treated as the same franchise, not two unrelated articles.</w:t>
      </w:r>
    </w:p>
    <w:p>
      <w:pPr>
        <w:pStyle w:val="ListParagraph"/>
        <w:numPr>
          <w:ilvl w:val="0"/>
          <w:numId w:val="2"/>
        </w:numPr>
        <w:spacing w:after="80"/>
      </w:pPr>
      <w:r>
        <w:t xml:space="preserve">Gender kept as its own dimension: Men, Women, Unisex — so the men's and women's version of the same product are two separate franchises, not one.</w:t>
      </w:r>
    </w:p>
    <w:p>
      <w:pPr>
        <w:pStyle w:val="ListParagraph"/>
        <w:numPr>
          <w:ilvl w:val="0"/>
          <w:numId w:val="2"/>
        </w:numPr>
        <w:spacing w:after="80"/>
      </w:pPr>
      <w:r>
        <w:t xml:space="preserve">“Real trading” threshold: a franchise only counts as genuinely active in a given year if it sold ≥100 units that year (≥20 units for the partial-year YTD2026 cut, scaled for the ~40-44% of year covered). Below that, it's treated as noise (the “Thin” bucket), not a real signal.</w:t>
      </w:r>
    </w:p>
    <w:p>
      <w:pPr>
        <w:spacing w:after="160"/>
      </w:pPr>
      <w:r>
        <w:rPr>
          <w:b/>
          <w:bCs/>
        </w:rPr>
        <w:t xml:space="preserve">Examples: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350"/>
        <w:gridCol w:w="3000"/>
        <w:gridCol w:w="2000"/>
      </w:tblGrid>
      <w:tr>
        <w:trPr>
          <w:tblHeader/>
        </w:trPr>
        <w:tc>
          <w:tcPr>
            <w:tcW w:type="dxa" w:w="4350"/>
            <w:shd w:fill="2F2F2F" w:val="clear"/>
            <w:tcMar>
              <w:top w:type="dxa" w:w="60"/>
              <w:left w:type="dxa" w:w="100"/>
              <w:bottom w:type="dxa" w:w="60"/>
              <w:right w:type="dxa" w:w="100"/>
            </w:tcMar>
            <w:vAlign w:val="center"/>
          </w:tcPr>
          <w:p>
            <w:pPr>
              <w:jc w:val="left"/>
            </w:pPr>
            <w:r>
              <w:rPr>
                <w:b/>
                <w:bCs/>
                <w:color w:val="FFFFFF"/>
                <w:sz w:val="18"/>
                <w:szCs w:val="18"/>
              </w:rPr>
              <w:t xml:space="preserve">Article code(s)</w:t>
            </w:r>
          </w:p>
        </w:tc>
        <w:tc>
          <w:tcPr>
            <w:tcW w:type="dxa" w:w="3000"/>
            <w:shd w:fill="2F2F2F" w:val="clear"/>
            <w:tcMar>
              <w:top w:type="dxa" w:w="60"/>
              <w:left w:type="dxa" w:w="100"/>
              <w:bottom w:type="dxa" w:w="60"/>
              <w:right w:type="dxa" w:w="100"/>
            </w:tcMar>
            <w:vAlign w:val="center"/>
          </w:tcPr>
          <w:p>
            <w:pPr>
              <w:jc w:val="center"/>
            </w:pPr>
            <w:r>
              <w:rPr>
                <w:b/>
                <w:bCs/>
                <w:color w:val="FFFFFF"/>
                <w:sz w:val="18"/>
                <w:szCs w:val="18"/>
              </w:rPr>
              <w:t xml:space="preserve">Franchise</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Gender</w:t>
            </w:r>
          </w:p>
        </w:tc>
      </w:tr>
      <w:tr>
        <w:tc>
          <w:tcPr>
            <w:tcW w:type="dxa" w:w="4350"/>
            <w:tcMar>
              <w:top w:type="dxa" w:w="60"/>
              <w:left w:type="dxa" w:w="100"/>
              <w:bottom w:type="dxa" w:w="60"/>
              <w:right w:type="dxa" w:w="100"/>
            </w:tcMar>
            <w:vAlign w:val="center"/>
          </w:tcPr>
          <w:p>
            <w:pPr>
              <w:jc w:val="left"/>
            </w:pPr>
            <w:r>
              <w:rPr>
                <w:b w:val="false"/>
                <w:bCs w:val="false"/>
                <w:color w:val="000000"/>
                <w:sz w:val="18"/>
                <w:szCs w:val="18"/>
              </w:rPr>
              <w:t xml:space="preserve">Astral GTX Jacket Men / Astral GTX II Jacket Men</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Astral GTX Jacket</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Men</w:t>
            </w:r>
          </w:p>
        </w:tc>
      </w:tr>
      <w:tr>
        <w:tc>
          <w:tcPr>
            <w:tcW w:type="dxa" w:w="4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Jacket Women / Astral GTX II Jacket Women</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Astral GTX Jacket</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r>
      <w:tr>
        <w:tc>
          <w:tcPr>
            <w:tcW w:type="dxa" w:w="4350"/>
            <w:tcMar>
              <w:top w:type="dxa" w:w="60"/>
              <w:left w:type="dxa" w:w="100"/>
              <w:bottom w:type="dxa" w:w="60"/>
              <w:right w:type="dxa" w:w="100"/>
            </w:tcMar>
            <w:vAlign w:val="center"/>
          </w:tcPr>
          <w:p>
            <w:pPr>
              <w:jc w:val="left"/>
            </w:pPr>
            <w:r>
              <w:rPr>
                <w:b w:val="false"/>
                <w:bCs w:val="false"/>
                <w:color w:val="000000"/>
                <w:sz w:val="18"/>
                <w:szCs w:val="18"/>
              </w:rPr>
              <w:t xml:space="preserve">Rosson Mid Jacket Men</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Rosson Mid Jacket</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Men</w:t>
            </w:r>
          </w:p>
        </w:tc>
      </w:tr>
      <w:tr>
        <w:tc>
          <w:tcPr>
            <w:tcW w:type="dxa" w:w="4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Rosson Mid Jacket Women</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Rosson Mid Jacket</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r>
      <w:tr>
        <w:tc>
          <w:tcPr>
            <w:tcW w:type="dxa" w:w="4350"/>
            <w:tcMar>
              <w:top w:type="dxa" w:w="60"/>
              <w:left w:type="dxa" w:w="100"/>
              <w:bottom w:type="dxa" w:w="60"/>
              <w:right w:type="dxa" w:w="100"/>
            </w:tcMar>
            <w:vAlign w:val="center"/>
          </w:tcPr>
          <w:p>
            <w:pPr>
              <w:jc w:val="left"/>
            </w:pPr>
            <w:r>
              <w:rPr>
                <w:b w:val="false"/>
                <w:bCs w:val="false"/>
                <w:color w:val="000000"/>
                <w:sz w:val="18"/>
                <w:szCs w:val="18"/>
              </w:rPr>
              <w:t xml:space="preserve">Bow Windstopper Glove / Bow Windstopper II Glove</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Bow Windstopper Glove</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Unisex</w:t>
            </w:r>
          </w:p>
        </w:tc>
      </w:tr>
    </w:tbl>
    <w:p>
      <w:pPr>
        <w:spacing w:after="160"/>
      </w:pPr>
      <w:r>
        <w:t xml:space="preserve">So “Astral GTX Jacket, Men” and “Astral GTX Jacket, Women” are counted as two separate franchises — a version update (Astral GTX → Astral GTX II) does not create a new franchise, but a different gender listing does.</w:t>
      </w:r>
    </w:p>
    <w:p>
      <w:pPr>
        <w:pBdr>
          <w:left w:val="single" w:color="B23A3A" w:sz="18"/>
        </w:pBdr>
        <w:shd w:fill="FBE7E7" w:val="clear"/>
        <w:spacing w:after="120" w:before="100"/>
        <w:ind w:left="150" w:right="100"/>
      </w:pPr>
      <w:r>
        <w:rPr>
          <w:b/>
          <w:bCs/>
          <w:color w:val="7A1F1F"/>
        </w:rPr>
        <w:t xml:space="preserve">METHODOLOGY FLAG: </w:t>
      </w:r>
      <w:r>
        <w:t xml:space="preserve">This is a string-matching heuristic on article names, not a real franchise ID from a master-data system — it will miss a genuine relaunch that gets a new, unrelated name, and it can occasionally over- or under-split a family. It's reliable in aggregate (used across ~1,800 franchises throughout this brief) but any single franchise's classification should be spot-checked before being relied on individually.</w:t>
      </w:r>
    </w:p>
    <w:p>
      <w:r>
        <w:br w:type="page"/>
      </w:r>
    </w:p>
    <w:p>
      <w:pPr>
        <w:pStyle w:val="Heading1"/>
        <w:spacing w:after="160" w:before="320"/>
      </w:pPr>
      <w:r>
        <w:t xml:space="preserve">1. Channel Mix and the Full Commercial Portfolio</w:t>
      </w:r>
    </w:p>
    <w:p>
      <w:pPr>
        <w:pStyle w:val="Heading2"/>
        <w:spacing w:after="120" w:before="240"/>
      </w:pPr>
      <w:r>
        <w:t xml:space="preserve">1.1 Channel Mix</w:t>
      </w:r>
    </w:p>
    <w:p>
      <w:pPr>
        <w:spacing w:after="160"/>
      </w:pPr>
      <w:r>
        <w:rPr>
          <w:b/>
          <w:bCs/>
        </w:rPr>
        <w:t xml:space="preserve">Headline: every core franchise (1,860 Base+Gender product lines, 649.8M SEK of 2025 core sales) has been classified into one of eight mutually-exclusive tiers — Hero, Near-Hero, Workhorse, Harvest, Problem Child, New/Test, Exited, Thin — using consistent, auditable rules.</w:t>
      </w:r>
    </w:p>
    <w:p>
      <w:pPr>
        <w:pStyle w:val="ListParagraph"/>
        <w:numPr>
          <w:ilvl w:val="0"/>
          <w:numId w:val="2"/>
        </w:numPr>
        <w:spacing w:after="80"/>
      </w:pPr>
      <w:r>
        <w:t xml:space="preserve">The portfolio splits cleanly into a working core and a long, thin tail: 34 Hero/Near-Hero franchises (98.2M SEK, 15% of core sales) are healthy — growing, cross-channel, GM ≥46.6% — while 864 Thin franchises (8.1M SEK combined) are effectively noise.</w:t>
      </w:r>
    </w:p>
    <w:p>
      <w:pPr>
        <w:pStyle w:val="ListParagraph"/>
        <w:numPr>
          <w:ilvl w:val="0"/>
          <w:numId w:val="2"/>
        </w:numPr>
        <w:spacing w:after="80"/>
      </w:pPr>
      <w:r>
        <w:t xml:space="preserve">Channel mix shift is real but is NOT simply DTC replacing Wholesale: of 623 continuing franchises with activity in both channels, 218 (worth 85.5M SEK of Wholesale decline) show the 'substitution' pattern, but DTC only recaptured 40.4M of that — a 45.1M SEK net gap, i.e. channel-shift is being used as a comfortable explanation for what is, for roughly half the money, a real net sales loss, not a channel switch.</w:t>
      </w:r>
    </w:p>
    <w:p>
      <w:pPr>
        <w:spacing w:after="160"/>
      </w:pPr>
      <w:r>
        <w:t xml:space="preserve">623 continuing franchises sell in both Wholesale and DTC across 2024-2025. Each was classified into one of four channel-mix patterns based on the direction of change in each channel: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00"/>
        <w:gridCol w:w="1050"/>
        <w:gridCol w:w="1300"/>
        <w:gridCol w:w="1300"/>
        <w:gridCol w:w="220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Pattern</w:t>
            </w:r>
          </w:p>
        </w:tc>
        <w:tc>
          <w:tcPr>
            <w:tcW w:type="dxa" w:w="6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2025 Sales</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Wholesale Δ</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DTC Δ</w:t>
            </w:r>
          </w:p>
        </w:tc>
        <w:tc>
          <w:tcPr>
            <w:tcW w:type="dxa" w:w="22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A. Substitution candidate (WS down, DTC up)</w:t>
            </w:r>
          </w:p>
        </w:tc>
        <w:tc>
          <w:tcPr>
            <w:tcW w:type="dxa" w:w="600"/>
            <w:tcMar>
              <w:top w:type="dxa" w:w="60"/>
              <w:left w:type="dxa" w:w="100"/>
              <w:bottom w:type="dxa" w:w="60"/>
              <w:right w:type="dxa" w:w="100"/>
            </w:tcMar>
            <w:vAlign w:val="center"/>
          </w:tcPr>
          <w:p>
            <w:pPr>
              <w:jc w:val="center"/>
            </w:pPr>
            <w:r>
              <w:rPr>
                <w:b w:val="false"/>
                <w:bCs w:val="false"/>
                <w:color w:val="000000"/>
                <w:sz w:val="18"/>
                <w:szCs w:val="18"/>
              </w:rPr>
              <w:t xml:space="preserve">218</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-85.5M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+40.4M</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Only 47% of the WS loss shows up as DTC gain</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 Both declining</w:t>
            </w:r>
          </w:p>
        </w:tc>
        <w:tc>
          <w:tcPr>
            <w:tcW w:type="dxa" w:w="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183</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-49.0M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-33.7M</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Genuine share/demand loss, not a channel story</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C. DTC growth, WS not declining (incremental)</w:t>
            </w:r>
          </w:p>
        </w:tc>
        <w:tc>
          <w:tcPr>
            <w:tcW w:type="dxa" w:w="600"/>
            <w:tcMar>
              <w:top w:type="dxa" w:w="60"/>
              <w:left w:type="dxa" w:w="100"/>
              <w:bottom w:type="dxa" w:w="60"/>
              <w:right w:type="dxa" w:w="100"/>
            </w:tcMar>
            <w:vAlign w:val="center"/>
          </w:tcPr>
          <w:p>
            <w:pPr>
              <w:jc w:val="center"/>
            </w:pPr>
            <w:r>
              <w:rPr>
                <w:b w:val="false"/>
                <w:bCs w:val="false"/>
                <w:color w:val="000000"/>
                <w:sz w:val="18"/>
                <w:szCs w:val="18"/>
              </w:rPr>
              <w:t xml:space="preserve">122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+116.1M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+48.3M</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Real, additive DTC growth — the healthy pattern</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D. WS growing, DTC flat/declining</w:t>
            </w:r>
          </w:p>
        </w:tc>
        <w:tc>
          <w:tcPr>
            <w:tcW w:type="dxa" w:w="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+48.5M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Wholesale-led growth, small DTC give-back</w:t>
            </w:r>
          </w:p>
        </w:tc>
      </w:tr>
    </w:tbl>
    <w:p>
      <w:pPr>
        <w:pBdr>
          <w:left w:val="single" w:color="3C8A4C" w:sz="18"/>
        </w:pBdr>
        <w:shd w:fill="EAF3EA" w:val="clear"/>
        <w:spacing w:after="120" w:before="100"/>
        <w:ind w:left="150" w:right="100"/>
      </w:pPr>
      <w:r>
        <w:rPr>
          <w:b/>
          <w:bCs/>
          <w:color w:val="1F5C2E"/>
        </w:rPr>
        <w:t xml:space="preserve">DATA SHOWS: </w:t>
      </w:r>
      <w:r>
        <w:t xml:space="preserve">Of the 85.5M SEK lost in Wholesale by the 218 substitution-pattern franchises, only 40.4M reappeared in DTC — a 45.1M SEK net shortfall. If this were pure channel-shift, the two numbers would be much closer to matching. Roughly half of what looks like 'moving to DTC' is actually net demand loss with a channel-shift story attached to it.</w:t>
      </w:r>
    </w:p>
    <w:p>
      <w:pPr>
        <w:pStyle w:val="Heading3"/>
        <w:spacing w:after="100" w:before="200"/>
      </w:pPr>
      <w:r>
        <w:t xml:space="preserve">1.1.1 A. Substitution candidates</w:t>
      </w:r>
    </w:p>
    <w:p>
      <w:pPr>
        <w:pBdr>
          <w:left w:val="single" w:color="C97A1A" w:sz="18"/>
        </w:pBdr>
        <w:shd w:fill="FCEFDC" w:val="clear"/>
        <w:spacing w:after="120" w:before="100"/>
        <w:ind w:left="150" w:right="100"/>
      </w:pPr>
      <w:r>
        <w:rPr>
          <w:b/>
          <w:bCs/>
          <w:color w:val="8A4B00"/>
        </w:rPr>
        <w:t xml:space="preserve">NOT ANSWERABLE FROM DATA — ASK: </w:t>
      </w:r>
      <w:r>
        <w:t xml:space="preserve">For the 218 substitution-pattern franchises, is the Wholesale decline being driven by fewer doors/accounts carrying the product, or lost sell-through at retail? This determines whether the fix is a DTC investment (if genuine channel preference) or a distribution-recovery effort (if it's really a listing/sell-through problem). Owner: Wholesale Director, cross-checked with Merchandising Director.</w:t>
      </w:r>
    </w:p>
    <w:p>
      <w:pPr>
        <w:spacing w:after="160"/>
      </w:pPr>
      <w:r>
        <w:t xml:space="preserve">Top 10 by 2025 total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1300"/>
        <w:gridCol w:w="1300"/>
        <w:gridCol w:w="1300"/>
        <w:gridCol w:w="1300"/>
        <w:gridCol w:w="1500"/>
      </w:tblGrid>
      <w:tr>
        <w:trPr>
          <w:tblHeader/>
        </w:trPr>
        <w:tc>
          <w:tcPr>
            <w:tcW w:type="dxa" w:w="265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Total 2025</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WS 2025</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WS Δ</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DTC 2025</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DTC Δ</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L.I.M GTX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8.79M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1.56M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-8.87M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7.23M</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+4.06M</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Särna Mimic Hood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8.03M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7.36M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-0.02M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0.67M</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+0.20M</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Long Down Parka (Women)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6.34M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4.52M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-0.25M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1.82M</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+0.56M</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GTX Jacket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5.22M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2.50M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-3.00M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2.72M</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+1.73M</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Rosson Down Hood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4.74M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3.99M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-0.64M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0.75M</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+0.40M</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GTX Jacket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4.52M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0.93M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-8.10M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3.58M</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+1.59M</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Spitz Down Hood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4.07M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3.27M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-0.09M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0.80M</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+0.38M</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PROOF Jacket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4.00M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1.95M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-1.74M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2.05M</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+1.20M</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Spitz GTX PRO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3.81M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1.53M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-2.52M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2.29M</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+0.38M</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Rugged Standard Pant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3.74M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1.23M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-1.77M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2.51M</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+0.33M</w:t>
            </w:r>
          </w:p>
        </w:tc>
      </w:tr>
    </w:tbl>
    <w:p>
      <w:pPr>
        <w:pStyle w:val="Heading3"/>
        <w:spacing w:after="100" w:before="200"/>
      </w:pPr>
      <w:r>
        <w:t xml:space="preserve">1.1.2 B. Both declining</w:t>
      </w:r>
    </w:p>
    <w:p>
      <w:pPr>
        <w:spacing w:after="160"/>
      </w:pPr>
      <w:r>
        <w:t xml:space="preserve">Top 10 by 2025 total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1300"/>
        <w:gridCol w:w="1300"/>
        <w:gridCol w:w="1300"/>
        <w:gridCol w:w="1300"/>
        <w:gridCol w:w="1500"/>
      </w:tblGrid>
      <w:tr>
        <w:trPr>
          <w:tblHeader/>
        </w:trPr>
        <w:tc>
          <w:tcPr>
            <w:tcW w:type="dxa" w:w="265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Total 2025</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WS 2025</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WS Δ</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DTC 2025</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DTC Δ</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Buteo Mid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7.56M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6.06M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-0.03M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1.49M</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-0.23M</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Tight Medium (Unisex)</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4.80M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4.51M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-0.20M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0.29M</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Vassi GTX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3.51M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1.90M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-0.56M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1.61M</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-0.16M</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Jacket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2.75M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2.73M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-0.29M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0.02M</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-0.01M</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Risberg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2.68M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1.88M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-0.33M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0.80M</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-0.45M</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Standard Pant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2.60M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1.74M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-1.27M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0.86M</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-0.07M</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Haglöfs L.I.M FH GTX Low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2.17M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1.01M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-0.97M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1.15M</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-0.16M</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Vide 25 (Unisex)</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2.14M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2.03M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-0.38M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0.11M</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-0.10M</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Morän Softshell Standard Pant (Women)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1.95M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1.87M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-0.12M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-0.02M</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Tight Small (Unisex)</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1.95M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1.78M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-0.11M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0.17M</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-0.06M</w:t>
            </w:r>
          </w:p>
        </w:tc>
      </w:tr>
    </w:tbl>
    <w:p>
      <w:pPr>
        <w:pStyle w:val="Heading3"/>
        <w:spacing w:after="100" w:before="200"/>
      </w:pPr>
      <w:r>
        <w:t xml:space="preserve">1.1.3 C. DTC growth, WS not declining</w:t>
      </w:r>
    </w:p>
    <w:p>
      <w:pPr>
        <w:spacing w:after="160"/>
      </w:pPr>
      <w:r>
        <w:t xml:space="preserve">Top 10 by 2025 total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1300"/>
        <w:gridCol w:w="1300"/>
        <w:gridCol w:w="1300"/>
        <w:gridCol w:w="1300"/>
        <w:gridCol w:w="1500"/>
      </w:tblGrid>
      <w:tr>
        <w:trPr>
          <w:tblHeader/>
        </w:trPr>
        <w:tc>
          <w:tcPr>
            <w:tcW w:type="dxa" w:w="265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Total 2025</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WS 2025</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WS Δ</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DTC 2025</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DTC Δ</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Astral GTX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16.38M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12.90M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+0.66M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3.48M</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+2.11M</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Jacket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10.81M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8.45M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+1.28M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2.36M</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+0.59M</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9.19M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7.77M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+2.29M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1.42M</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+0.86M</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Särna Mimic Hood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6.68M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5.99M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+0.91M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0.69M</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+0.39M</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Front Proof Jacket (Women)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6.31M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5.33M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+2.22M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0.98M</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+0.58M</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Down Hood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5.58M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4.94M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+2.06M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0.64M</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+0.53M</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Latnja GTX Insulated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4.69M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3.23M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+0.40M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1.46M</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+0.96M</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Down Hood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4.49M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3.78M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+1.36M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0.71M</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+0.53M</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Vassi GTX Pro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4.17M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2.21M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+0.83M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1.96M</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+0.48M</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Pant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3.56M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2.60M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+0.37M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0.96M</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+0.74M</w:t>
            </w:r>
          </w:p>
        </w:tc>
      </w:tr>
    </w:tbl>
    <w:p>
      <w:pPr>
        <w:pStyle w:val="Heading3"/>
        <w:spacing w:after="100" w:before="200"/>
      </w:pPr>
      <w:r>
        <w:t xml:space="preserve">1.1.4 D. WS growing, DTC flat/declining</w:t>
      </w:r>
    </w:p>
    <w:p>
      <w:pPr>
        <w:spacing w:after="160"/>
      </w:pPr>
      <w:r>
        <w:t xml:space="preserve">Top 10 by 2025 total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1300"/>
        <w:gridCol w:w="1300"/>
        <w:gridCol w:w="1300"/>
        <w:gridCol w:w="1300"/>
        <w:gridCol w:w="1500"/>
      </w:tblGrid>
      <w:tr>
        <w:trPr>
          <w:tblHeader/>
        </w:trPr>
        <w:tc>
          <w:tcPr>
            <w:tcW w:type="dxa" w:w="265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Total 2025</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WS 2025</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WS Δ</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DTC 2025</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DTC Δ</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Haglöfs Ridge GTX Low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6.75M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6.13M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+0.01M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0.62M</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-0.21M</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Tight Large (Unisex)</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4.96M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4.66M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+0.34M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0.30M</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-0.04M</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Buteo Mid Jacket (Women)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4.67M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3.99M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+0.12M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0.68M</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-0.09M</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Korp Proof Jacket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3.88M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3.58M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+0.88M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0.30M</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-0.02M</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Haglöfs Krusa GTXLow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3.40M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3.40M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+0.37M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Jacket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2.71M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2.67M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+0.06M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0.04M</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-0.01M</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Korp Proof Jacket (Women)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2.32M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2.15M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+0.48M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0.17M</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-0.03M</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Morän Softshell Standard Pant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+0.22M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0.10M</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-0.03M</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Fjatla 40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1.43M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1.41M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+0.01M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0.01M</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-0.02M</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Mid Hood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1.35M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0.69M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+0.13M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0.66M</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-0.10M</w:t>
            </w:r>
          </w:p>
        </w:tc>
      </w:tr>
    </w:tbl>
    <w:p>
      <w:pPr>
        <w:spacing w:after="200"/>
      </w:pPr>
      <w:r>
        <w:rPr>
          <w:i/>
          <w:iCs/>
          <w:color w:val="555555"/>
          <w:sz w:val="18"/>
          <w:szCs w:val="18"/>
        </w:rPr>
        <w:t xml:space="preserve">Full 623-franchise list, all four patterns, is in the backup workbook (bob_item3_portfolio_backup.xlsx, sheet 'Channel Mix - Full 623').</w:t>
      </w:r>
    </w:p>
    <w:p>
      <w:pPr>
        <w:pBdr>
          <w:left w:val="single" w:color="2E8FB5" w:sz="18"/>
        </w:pBdr>
        <w:shd w:fill="E3F1F7" w:val="clear"/>
        <w:spacing w:after="120" w:before="100"/>
        <w:ind w:left="150" w:right="100"/>
      </w:pPr>
      <w:r>
        <w:rPr>
          <w:b/>
          <w:bCs/>
          <w:color w:val="0F5C7A"/>
        </w:rPr>
        <w:t xml:space="preserve">2026 YTD ADDED: </w:t>
      </w:r>
      <w:r>
        <w:t xml:space="preserve">Channel pace, not a re-run of the 4-pattern split (that needs matched-period data this extract doesn't have — see standing data gaps). Core-scope YTD2026 vs. FY2025 full-year pace: Wholesale 200.0M (46.3% of FY25's 431.5M), Retail 60.2M (49.0% of FY25's 123.0M), E-com 40.9M (43.5% of FY25's 94.1M). All three channels are pacing at or slightly ahead of the ~40-44% 'on pace' benchmark used elsewhere in this brief — Wholesale is not falling further behind DTC in early 2026. The FY2025 substitution problem does not look like it is actively deepening, but a fresh franchise-level pattern re-cut needs matched-period 2025/2026 data to confirm directly.</w:t>
      </w:r>
    </w:p>
    <w:p>
      <w:pPr>
        <w:pStyle w:val="Heading2"/>
        <w:spacing w:after="120" w:before="240"/>
      </w:pPr>
      <w:r>
        <w:t xml:space="preserve">1.2 The Full 8-Tier Commercial Portfolio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50"/>
      </w:tblGrid>
      <w:tr>
        <w:trPr>
          <w:tblHeader/>
        </w:trPr>
        <w:tc>
          <w:tcPr>
            <w:tcW w:type="dxa" w:w="700"/>
            <w:shd w:fill="2F2F2F" w:val="clear"/>
            <w:tcMar>
              <w:top w:type="dxa" w:w="60"/>
              <w:left w:type="dxa" w:w="100"/>
              <w:bottom w:type="dxa" w:w="60"/>
              <w:right w:type="dxa" w:w="100"/>
            </w:tcMar>
            <w:vAlign w:val="center"/>
          </w:tcPr>
          <w:p>
            <w:pPr>
              <w:jc w:val="left"/>
            </w:pPr>
            <w:r>
              <w:rPr>
                <w:b/>
                <w:bCs/>
                <w:color w:val="FFFFFF"/>
                <w:sz w:val="18"/>
                <w:szCs w:val="18"/>
              </w:rPr>
              <w:t xml:space="preserve">Order</w:t>
            </w:r>
          </w:p>
        </w:tc>
        <w:tc>
          <w:tcPr>
            <w:tcW w:type="dxa" w:w="2500"/>
            <w:shd w:fill="2F2F2F" w:val="clear"/>
            <w:tcMar>
              <w:top w:type="dxa" w:w="60"/>
              <w:left w:type="dxa" w:w="100"/>
              <w:bottom w:type="dxa" w:w="60"/>
              <w:right w:type="dxa" w:w="100"/>
            </w:tcMar>
            <w:vAlign w:val="center"/>
          </w:tcPr>
          <w:p>
            <w:pPr>
              <w:jc w:val="center"/>
            </w:pPr>
            <w:r>
              <w:rPr>
                <w:b/>
                <w:bCs/>
                <w:color w:val="FFFFFF"/>
                <w:sz w:val="18"/>
                <w:szCs w:val="18"/>
              </w:rPr>
              <w:t xml:space="preserve">Tier</w:t>
            </w:r>
          </w:p>
        </w:tc>
        <w:tc>
          <w:tcPr>
            <w:tcW w:type="dxa" w:w="6150"/>
            <w:shd w:fill="2F2F2F" w:val="clear"/>
            <w:tcMar>
              <w:top w:type="dxa" w:w="60"/>
              <w:left w:type="dxa" w:w="100"/>
              <w:bottom w:type="dxa" w:w="60"/>
              <w:right w:type="dxa" w:w="100"/>
            </w:tcMar>
            <w:vAlign w:val="center"/>
          </w:tcPr>
          <w:p>
            <w:pPr>
              <w:jc w:val="center"/>
            </w:pPr>
            <w:r>
              <w:rPr>
                <w:b/>
                <w:bCs/>
                <w:color w:val="FFFFFF"/>
                <w:sz w:val="18"/>
                <w:szCs w:val="18"/>
              </w:rPr>
              <w:t xml:space="preserve">Rule</w:t>
            </w:r>
          </w:p>
        </w:tc>
      </w:tr>
      <w:tr>
        <w:tc>
          <w:tcPr>
            <w:tcW w:type="dxa" w:w="700"/>
            <w:tcMar>
              <w:top w:type="dxa" w:w="60"/>
              <w:left w:type="dxa" w:w="100"/>
              <w:bottom w:type="dxa" w:w="60"/>
              <w:right w:type="dxa" w:w="100"/>
            </w:tcMar>
            <w:vAlign w:val="center"/>
          </w:tcPr>
          <w:p>
            <w:pPr>
              <w:jc w:val="left"/>
            </w:pPr>
            <w:r>
              <w:rPr>
                <w:b w:val="false"/>
                <w:bCs w:val="false"/>
                <w:color w:val="000000"/>
                <w:sz w:val="18"/>
                <w:szCs w:val="18"/>
              </w:rPr>
              <w:t xml:space="preserve">1</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New / Test</w:t>
            </w:r>
          </w:p>
        </w:tc>
        <w:tc>
          <w:tcPr>
            <w:tcW w:type="dxa" w:w="6150"/>
            <w:tcMar>
              <w:top w:type="dxa" w:w="60"/>
              <w:left w:type="dxa" w:w="100"/>
              <w:bottom w:type="dxa" w:w="60"/>
              <w:right w:type="dxa" w:w="100"/>
            </w:tcMar>
            <w:vAlign w:val="center"/>
          </w:tcPr>
          <w:p>
            <w:pPr>
              <w:jc w:val="center"/>
            </w:pPr>
            <w:r>
              <w:rPr>
                <w:b w:val="false"/>
                <w:bCs w:val="false"/>
                <w:color w:val="000000"/>
                <w:sz w:val="18"/>
                <w:szCs w:val="18"/>
              </w:rPr>
              <w:t xml:space="preserve">No real trading in 2024, real trading in 2025 (i.e., a genuine launch)</w:t>
            </w:r>
          </w:p>
        </w:tc>
      </w:tr>
      <w:tr>
        <w:tc>
          <w:tcPr>
            <w:tcW w:type="dxa" w:w="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2</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Exited</w:t>
            </w:r>
          </w:p>
        </w:tc>
        <w:tc>
          <w:tcPr>
            <w:tcW w:type="dxa" w:w="6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Real trading in 2024, not in 2025</w:t>
            </w:r>
          </w:p>
        </w:tc>
      </w:tr>
      <w:tr>
        <w:tc>
          <w:tcPr>
            <w:tcW w:type="dxa" w:w="700"/>
            <w:tcMar>
              <w:top w:type="dxa" w:w="60"/>
              <w:left w:type="dxa" w:w="100"/>
              <w:bottom w:type="dxa" w:w="60"/>
              <w:right w:type="dxa" w:w="100"/>
            </w:tcMar>
            <w:vAlign w:val="center"/>
          </w:tcPr>
          <w:p>
            <w:pPr>
              <w:jc w:val="left"/>
            </w:pPr>
            <w:r>
              <w:rPr>
                <w:b w:val="false"/>
                <w:bCs w:val="false"/>
                <w:color w:val="000000"/>
                <w:sz w:val="18"/>
                <w:szCs w:val="18"/>
              </w:rPr>
              <w:t xml:space="preserve">3</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Thin / Immaterial</w:t>
            </w:r>
          </w:p>
        </w:tc>
        <w:tc>
          <w:tcPr>
            <w:tcW w:type="dxa" w:w="6150"/>
            <w:tcMar>
              <w:top w:type="dxa" w:w="60"/>
              <w:left w:type="dxa" w:w="100"/>
              <w:bottom w:type="dxa" w:w="60"/>
              <w:right w:type="dxa" w:w="100"/>
            </w:tcMar>
            <w:vAlign w:val="center"/>
          </w:tcPr>
          <w:p>
            <w:pPr>
              <w:jc w:val="center"/>
            </w:pPr>
            <w:r>
              <w:rPr>
                <w:b w:val="false"/>
                <w:bCs w:val="false"/>
                <w:color w:val="000000"/>
                <w:sz w:val="18"/>
                <w:szCs w:val="18"/>
              </w:rPr>
              <w:t xml:space="preserve">Below the 100-unit real-trading threshold in one or both years</w:t>
            </w:r>
          </w:p>
        </w:tc>
      </w:tr>
      <w:tr>
        <w:tc>
          <w:tcPr>
            <w:tcW w:type="dxa" w:w="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4</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Hero</w:t>
            </w:r>
          </w:p>
        </w:tc>
        <w:tc>
          <w:tcPr>
            <w:tcW w:type="dxa" w:w="6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2025 sales ≥2M SEK, YoY growth &gt;0%, sells in both Wholesale and DTC, GM% ≥46.6%</w:t>
            </w:r>
          </w:p>
        </w:tc>
      </w:tr>
      <w:tr>
        <w:tc>
          <w:tcPr>
            <w:tcW w:type="dxa" w:w="700"/>
            <w:tcMar>
              <w:top w:type="dxa" w:w="60"/>
              <w:left w:type="dxa" w:w="100"/>
              <w:bottom w:type="dxa" w:w="60"/>
              <w:right w:type="dxa" w:w="100"/>
            </w:tcMar>
            <w:vAlign w:val="center"/>
          </w:tcPr>
          <w:p>
            <w:pPr>
              <w:jc w:val="left"/>
            </w:pPr>
            <w:r>
              <w:rPr>
                <w:b w:val="false"/>
                <w:bCs w:val="false"/>
                <w:color w:val="000000"/>
                <w:sz w:val="18"/>
                <w:szCs w:val="18"/>
              </w:rPr>
              <w:t xml:space="preserve">5</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Near-Hero (Rising Star)</w:t>
            </w:r>
          </w:p>
        </w:tc>
        <w:tc>
          <w:tcPr>
            <w:tcW w:type="dxa" w:w="6150"/>
            <w:tcMar>
              <w:top w:type="dxa" w:w="60"/>
              <w:left w:type="dxa" w:w="100"/>
              <w:bottom w:type="dxa" w:w="60"/>
              <w:right w:type="dxa" w:w="100"/>
            </w:tcMar>
            <w:vAlign w:val="center"/>
          </w:tcPr>
          <w:p>
            <w:pPr>
              <w:jc w:val="center"/>
            </w:pPr>
            <w:r>
              <w:rPr>
                <w:b w:val="false"/>
                <w:bCs w:val="false"/>
                <w:color w:val="000000"/>
                <w:sz w:val="18"/>
                <w:szCs w:val="18"/>
              </w:rPr>
              <w:t xml:space="preserve">2025 sales ≥1M SEK, YoY growth &gt;15%, cross-channel, GM% ≥46.6%</w:t>
            </w:r>
          </w:p>
        </w:tc>
      </w:tr>
      <w:tr>
        <w:tc>
          <w:tcPr>
            <w:tcW w:type="dxa" w:w="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6</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Workhorse</w:t>
            </w:r>
          </w:p>
        </w:tc>
        <w:tc>
          <w:tcPr>
            <w:tcW w:type="dxa" w:w="6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Hero/Near-Hero, GM% ≥40%, YoY growth &gt; -10%</w:t>
            </w:r>
          </w:p>
        </w:tc>
      </w:tr>
      <w:tr>
        <w:tc>
          <w:tcPr>
            <w:tcW w:type="dxa" w:w="700"/>
            <w:tcMar>
              <w:top w:type="dxa" w:w="60"/>
              <w:left w:type="dxa" w:w="100"/>
              <w:bottom w:type="dxa" w:w="60"/>
              <w:right w:type="dxa" w:w="100"/>
            </w:tcMar>
            <w:vAlign w:val="center"/>
          </w:tcPr>
          <w:p>
            <w:pPr>
              <w:jc w:val="left"/>
            </w:pPr>
            <w:r>
              <w:rPr>
                <w:b w:val="false"/>
                <w:bCs w:val="false"/>
                <w:color w:val="000000"/>
                <w:sz w:val="18"/>
                <w:szCs w:val="18"/>
              </w:rPr>
              <w:t xml:space="preserve">7</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Harvest (Cash Cow)</w:t>
            </w:r>
          </w:p>
        </w:tc>
        <w:tc>
          <w:tcPr>
            <w:tcW w:type="dxa" w:w="6150"/>
            <w:tcMar>
              <w:top w:type="dxa" w:w="60"/>
              <w:left w:type="dxa" w:w="100"/>
              <w:bottom w:type="dxa" w:w="60"/>
              <w:right w:type="dxa" w:w="100"/>
            </w:tcMar>
            <w:vAlign w:val="center"/>
          </w:tcPr>
          <w:p>
            <w:pPr>
              <w:jc w:val="center"/>
            </w:pPr>
            <w:r>
              <w:rPr>
                <w:b w:val="false"/>
                <w:bCs w:val="false"/>
                <w:color w:val="000000"/>
                <w:sz w:val="18"/>
                <w:szCs w:val="18"/>
              </w:rPr>
              <w:t xml:space="preserve">Not Hero/Near-Hero, GM% ≥40%, YoY growth ≤ -10%</w:t>
            </w:r>
          </w:p>
        </w:tc>
      </w:tr>
      <w:tr>
        <w:tc>
          <w:tcPr>
            <w:tcW w:type="dxa" w:w="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8</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Problem Child</w:t>
            </w:r>
          </w:p>
        </w:tc>
        <w:tc>
          <w:tcPr>
            <w:tcW w:type="dxa" w:w="6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Hero/Near-Hero, GM% &lt;40% (regardless of growth)</w:t>
            </w:r>
          </w:p>
        </w:tc>
      </w:tr>
    </w:tbl>
    <w:p>
      <w:pPr>
        <w:spacing w:after="160"/>
      </w:pPr>
      <w:r>
        <w:rPr>
          <w:i/>
          <w:iCs/>
        </w:rPr>
        <w:t xml:space="preserve">Notes on the terms:</w:t>
      </w:r>
    </w:p>
    <w:p>
      <w:pPr>
        <w:pStyle w:val="ListParagraph"/>
        <w:numPr>
          <w:ilvl w:val="0"/>
          <w:numId w:val="2"/>
        </w:numPr>
        <w:spacing w:after="80"/>
      </w:pPr>
      <w:r>
        <w:t xml:space="preserve">“Real trading” = ≥100 units sold in that year (MIN_UNITS_FOR_REAL_TRADING_YEAR in config.py) — the same threshold used throughout Topics 1-3.</w:t>
      </w:r>
    </w:p>
    <w:p>
      <w:pPr>
        <w:pStyle w:val="ListParagraph"/>
        <w:numPr>
          <w:ilvl w:val="0"/>
          <w:numId w:val="2"/>
        </w:numPr>
        <w:spacing w:after="80"/>
      </w:pPr>
      <w:r>
        <w:t xml:space="preserve">46.6% is the core-company average GM% — the bar for “good,” not an arbitrary round number.</w:t>
      </w:r>
    </w:p>
    <w:p>
      <w:pPr>
        <w:pStyle w:val="ListParagraph"/>
        <w:numPr>
          <w:ilvl w:val="0"/>
          <w:numId w:val="2"/>
        </w:numPr>
        <w:spacing w:after="80"/>
      </w:pPr>
      <w:r>
        <w:t xml:space="preserve">40% is a separate, lower floor — Workhorse/Harvest/Problem Child are split by whether they clear it, not by the 46.6% Hero bar.</w:t>
      </w:r>
    </w:p>
    <w:p>
      <w:pPr>
        <w:pStyle w:val="ListParagraph"/>
        <w:numPr>
          <w:ilvl w:val="0"/>
          <w:numId w:val="2"/>
        </w:numPr>
        <w:spacing w:after="80"/>
      </w:pPr>
      <w:r>
        <w:t xml:space="preserve">-10% YoY is the growth line that separates Workhorse (holding up) from Harvest (declining but still margin-healthy) — both tiers require GM% ≥40%; only the growth direction differs.</w:t>
      </w:r>
    </w:p>
    <w:p>
      <w:pPr>
        <w:pStyle w:val="ListParagraph"/>
        <w:numPr>
          <w:ilvl w:val="0"/>
          <w:numId w:val="2"/>
        </w:numPr>
        <w:spacing w:after="80"/>
      </w:pPr>
      <w:r>
        <w:t xml:space="preserve">Cross-channel for Hero/Near-Hero specifically means Wholesale &gt;100K SEK AND DTC &gt;50K SEK — not just “any presence in both.”</w:t>
      </w:r>
    </w:p>
    <w:p>
      <w:pPr>
        <w:pStyle w:val="Heading2"/>
        <w:spacing w:after="120" w:before="240"/>
      </w:pPr>
      <w:r>
        <w:t xml:space="preserve">1.3 Scale Up More Profitable Like-for-Like Items</w:t>
      </w:r>
    </w:p>
    <w:p>
      <w:pPr>
        <w:spacing w:after="160"/>
      </w:pPr>
      <w:r>
        <w:t xml:space="preserve">What are the growing, profitable products (Hero) and how to grow them further; what to do with the not-growing, less-profitable products.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650"/>
        <w:gridCol w:w="1400"/>
        <w:gridCol w:w="1250"/>
        <w:gridCol w:w="1250"/>
        <w:gridCol w:w="1900"/>
      </w:tblGrid>
      <w:tr>
        <w:trPr>
          <w:tblHeader/>
        </w:trPr>
        <w:tc>
          <w:tcPr>
            <w:tcW w:type="dxa" w:w="1900"/>
            <w:shd w:fill="2F2F2F" w:val="clear"/>
            <w:tcMar>
              <w:top w:type="dxa" w:w="60"/>
              <w:left w:type="dxa" w:w="100"/>
              <w:bottom w:type="dxa" w:w="60"/>
              <w:right w:type="dxa" w:w="100"/>
            </w:tcMar>
            <w:vAlign w:val="center"/>
          </w:tcPr>
          <w:p>
            <w:pPr>
              <w:jc w:val="left"/>
            </w:pPr>
            <w:r>
              <w:rPr>
                <w:b/>
                <w:bCs/>
                <w:color w:val="FFFFFF"/>
                <w:sz w:val="18"/>
                <w:szCs w:val="18"/>
              </w:rPr>
              <w:t xml:space="preserve">Tier</w:t>
            </w:r>
          </w:p>
        </w:tc>
        <w:tc>
          <w:tcPr>
            <w:tcW w:type="dxa" w:w="1650"/>
            <w:shd w:fill="2F2F2F" w:val="clear"/>
            <w:tcMar>
              <w:top w:type="dxa" w:w="60"/>
              <w:left w:type="dxa" w:w="100"/>
              <w:bottom w:type="dxa" w:w="60"/>
              <w:right w:type="dxa" w:w="100"/>
            </w:tcMar>
            <w:vAlign w:val="center"/>
          </w:tcPr>
          <w:p>
            <w:pPr>
              <w:jc w:val="center"/>
            </w:pPr>
            <w:r>
              <w:rPr>
                <w:b/>
                <w:bCs/>
                <w:color w:val="FFFFFF"/>
                <w:sz w:val="18"/>
                <w:szCs w:val="18"/>
              </w:rPr>
              <w:t xml:space="preserve"># Franchises</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FY2025 Sales</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FY2025 GM%</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YTD2026 GM%</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YTD2026 pace vs. FY2025</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Hero</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34 (with Near-Hero)</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73.8M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53.5%</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34% — behind pace</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Near-Hero</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(see above)</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24.1M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 — roughly on pace</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Workhorse</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202</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197.3M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47.5%</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50.1%</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37% — behind pace</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Harvest (Cash Cow)</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236</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120.2M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50.6%</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49.3%</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 — behind pace</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Problem Child</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151</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94.8M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33.4%</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25% — behind pace</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New / Test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197</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123.9M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46.4%</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52.4%</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62% — ahead of pace</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Thin / Immaterial</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864</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8.1M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28.4%</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excluded — see note</w:t>
            </w:r>
          </w:p>
        </w:tc>
      </w:tr>
    </w:tbl>
    <w:p>
      <w:pPr>
        <w:spacing w:after="200"/>
      </w:pPr>
      <w:r>
        <w:rPr>
          <w:i/>
          <w:iCs/>
          <w:color w:val="555555"/>
          <w:sz w:val="18"/>
          <w:szCs w:val="18"/>
        </w:rPr>
        <w:t xml:space="preserve">YTD2026 pace = YTD2026 sales as a % of the full FY2025 total; ~40-44% is roughly 'on pace' for the year-to-date window. Thin/Immaterial is excluded from the pace read because its YTD2026 figure is dominated by brand-new SS26/FW26 launch articles with ~0 FY2025 sales, not genuine movement in the long tail.</w:t>
      </w:r>
    </w:p>
    <w:p>
      <w:pPr>
        <w:pBdr>
          <w:left w:val="single" w:color="3C8A4C" w:sz="18"/>
        </w:pBdr>
        <w:shd w:fill="EAF3EA" w:val="clear"/>
        <w:spacing w:after="120" w:before="100"/>
        <w:ind w:left="150" w:right="100"/>
      </w:pPr>
      <w:r>
        <w:rPr>
          <w:b/>
          <w:bCs/>
          <w:color w:val="1F5C2E"/>
        </w:rPr>
        <w:t xml:space="preserve">DATA SHOWS: </w:t>
      </w:r>
      <w:r>
        <w:t xml:space="preserve">Margin is improving in most tiers (notably Problem Child, +4.3pt), but the four largest, most-established tiers — Hero, Workhorse, Harvest, Problem Child — are all running behind the on-pace volume benchmark, while growth is concentrated in New/Test. This is the actual finding, not a clean 'these are growing, these aren't' binary.</w:t>
      </w:r>
    </w:p>
    <w:p>
      <w:pPr>
        <w:pStyle w:val="Heading3"/>
        <w:spacing w:after="100" w:before="200"/>
      </w:pPr>
      <w:r>
        <w:t xml:space="preserve">1.3.1 Hero</w:t>
      </w:r>
    </w:p>
    <w:p>
      <w:pPr>
        <w:spacing w:after="160"/>
      </w:pPr>
      <w:r>
        <w:rPr>
          <w:b/>
          <w:bCs/>
        </w:rPr>
        <w:t xml:space="preserve">Validation 1: are the Hero products part of the core assortment plan?</w:t>
      </w:r>
    </w:p>
    <w:p>
      <w:pPr>
        <w:spacing w:after="160"/>
      </w:pPr>
      <w:r>
        <w:t xml:space="preserve">Overlap: 28 of 34 (82%) Hero/Near-Hero franchises are carried into FW27 — Hero 15/17 (88%), Near-Hero 13/17 (76%). Most carry forward as the 'II'/'2.0' successor version (e.g. Astral GTX Jacket Women → Astral GTX II Jacket Women), consistent with the version-succession pattern documented in config.py.</w:t>
      </w:r>
    </w:p>
    <w:p>
      <w:pPr>
        <w:spacing w:after="160"/>
      </w:pPr>
      <w:r>
        <w:t xml:space="preserve">Gap: 6 franchises (18%) have zero presence in FW27 — not even as an inactive/dropped row: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350"/>
        <w:gridCol w:w="2500"/>
        <w:gridCol w:w="2500"/>
      </w:tblGrid>
      <w:tr>
        <w:trPr>
          <w:tblHeader/>
        </w:trPr>
        <w:tc>
          <w:tcPr>
            <w:tcW w:type="dxa" w:w="435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2500"/>
            <w:shd w:fill="2F2F2F" w:val="clear"/>
            <w:tcMar>
              <w:top w:type="dxa" w:w="60"/>
              <w:left w:type="dxa" w:w="100"/>
              <w:bottom w:type="dxa" w:w="60"/>
              <w:right w:type="dxa" w:w="100"/>
            </w:tcMar>
            <w:vAlign w:val="center"/>
          </w:tcPr>
          <w:p>
            <w:pPr>
              <w:jc w:val="center"/>
            </w:pPr>
            <w:r>
              <w:rPr>
                <w:b/>
                <w:bCs/>
                <w:color w:val="FFFFFF"/>
                <w:sz w:val="18"/>
                <w:szCs w:val="18"/>
              </w:rPr>
              <w:t xml:space="preserve">Gender</w:t>
            </w:r>
          </w:p>
        </w:tc>
        <w:tc>
          <w:tcPr>
            <w:tcW w:type="dxa" w:w="2500"/>
            <w:shd w:fill="2F2F2F" w:val="clear"/>
            <w:tcMar>
              <w:top w:type="dxa" w:w="60"/>
              <w:left w:type="dxa" w:w="100"/>
              <w:bottom w:type="dxa" w:w="60"/>
              <w:right w:type="dxa" w:w="100"/>
            </w:tcMar>
            <w:vAlign w:val="center"/>
          </w:tcPr>
          <w:p>
            <w:pPr>
              <w:jc w:val="center"/>
            </w:pPr>
            <w:r>
              <w:rPr>
                <w:b/>
                <w:bCs/>
                <w:color w:val="FFFFFF"/>
                <w:sz w:val="18"/>
                <w:szCs w:val="18"/>
              </w:rPr>
              <w:t xml:space="preserve">Tier</w:t>
            </w:r>
          </w:p>
        </w:tc>
      </w:tr>
      <w:tr>
        <w:tc>
          <w:tcPr>
            <w:tcW w:type="dxa" w:w="4350"/>
            <w:tcMar>
              <w:top w:type="dxa" w:w="60"/>
              <w:left w:type="dxa" w:w="100"/>
              <w:bottom w:type="dxa" w:w="60"/>
              <w:right w:type="dxa" w:w="100"/>
            </w:tcMar>
            <w:vAlign w:val="center"/>
          </w:tcPr>
          <w:p>
            <w:pPr>
              <w:jc w:val="left"/>
            </w:pPr>
            <w:r>
              <w:rPr>
                <w:b w:val="false"/>
                <w:bCs w:val="false"/>
                <w:color w:val="000000"/>
                <w:sz w:val="18"/>
                <w:szCs w:val="18"/>
              </w:rPr>
              <w:t xml:space="preserve">Astral GTX Pant</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Hero</w:t>
            </w:r>
          </w:p>
        </w:tc>
      </w:tr>
      <w:tr>
        <w:tc>
          <w:tcPr>
            <w:tcW w:type="dxa" w:w="4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Morän Softshell Standard Pant</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Hero</w:t>
            </w:r>
          </w:p>
        </w:tc>
      </w:tr>
      <w:tr>
        <w:tc>
          <w:tcPr>
            <w:tcW w:type="dxa" w:w="4350"/>
            <w:tcMar>
              <w:top w:type="dxa" w:w="60"/>
              <w:left w:type="dxa" w:w="100"/>
              <w:bottom w:type="dxa" w:w="60"/>
              <w:right w:type="dxa" w:w="100"/>
            </w:tcMar>
            <w:vAlign w:val="center"/>
          </w:tcPr>
          <w:p>
            <w:pPr>
              <w:jc w:val="left"/>
            </w:pPr>
            <w:r>
              <w:rPr>
                <w:b w:val="false"/>
                <w:bCs w:val="false"/>
                <w:color w:val="000000"/>
                <w:sz w:val="18"/>
                <w:szCs w:val="18"/>
              </w:rPr>
              <w:t xml:space="preserve">L.I.M Fuse Pant</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Near-Hero</w:t>
            </w:r>
          </w:p>
        </w:tc>
      </w:tr>
      <w:tr>
        <w:tc>
          <w:tcPr>
            <w:tcW w:type="dxa" w:w="4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Fuse Shorts</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Near-Hero</w:t>
            </w:r>
          </w:p>
        </w:tc>
      </w:tr>
      <w:tr>
        <w:tc>
          <w:tcPr>
            <w:tcW w:type="dxa" w:w="4350"/>
            <w:tcMar>
              <w:top w:type="dxa" w:w="60"/>
              <w:left w:type="dxa" w:w="100"/>
              <w:bottom w:type="dxa" w:w="60"/>
              <w:right w:type="dxa" w:w="100"/>
            </w:tcMar>
            <w:vAlign w:val="center"/>
          </w:tcPr>
          <w:p>
            <w:pPr>
              <w:jc w:val="left"/>
            </w:pPr>
            <w:r>
              <w:rPr>
                <w:b w:val="false"/>
                <w:bCs w:val="false"/>
                <w:color w:val="000000"/>
                <w:sz w:val="18"/>
                <w:szCs w:val="18"/>
              </w:rPr>
              <w:t xml:space="preserve">L.I.M Proof Pant</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Near-Hero</w:t>
            </w:r>
          </w:p>
        </w:tc>
      </w:tr>
      <w:tr>
        <w:tc>
          <w:tcPr>
            <w:tcW w:type="dxa" w:w="4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Mossa Pile Jacket</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Near-Hero</w:t>
            </w:r>
          </w:p>
        </w:tc>
      </w:tr>
    </w:tbl>
    <w:p>
      <w:pPr>
        <w:spacing w:after="160"/>
      </w:pPr>
      <w:r>
        <w:t xml:space="preserve">Worth flagging: 3 of the 6 gaps are L.I.M-line pants/shorts. L.I.M Mid Multi Hood survived (both genders), but Fuse Pant, Fuse Shorts and Proof Pant did not — this looks like a deliberate narrowing of the L.I.M bottoms range rather than a random miss.</w:t>
      </w:r>
    </w:p>
    <w:p>
      <w:pPr>
        <w:pBdr>
          <w:left w:val="single" w:color="B23A3A" w:sz="18"/>
        </w:pBdr>
        <w:shd w:fill="FBE7E7" w:val="clear"/>
        <w:spacing w:after="120" w:before="100"/>
        <w:ind w:left="150" w:right="100"/>
      </w:pPr>
      <w:r>
        <w:rPr>
          <w:b/>
          <w:bCs/>
          <w:color w:val="7A1F1F"/>
        </w:rPr>
        <w:t xml:space="preserve">METHODOLOGY FLAG: </w:t>
      </w:r>
      <w:r>
        <w:t xml:space="preserve">This is pure string-matching, so a genuine name change (not just a version-token bump) would falsely show as 'dropped.' Worth a quick sanity check with Product on those 6 before treating them as confirmed exits.</w:t>
      </w:r>
    </w:p>
    <w:p>
      <w:pPr>
        <w:spacing w:after="160"/>
      </w:pPr>
      <w:r>
        <w:rPr>
          <w:b/>
          <w:bCs/>
        </w:rPr>
        <w:t xml:space="preserve">Validation 2: are the Hero products part of the DTC-incremental pattern?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900"/>
        <w:gridCol w:w="3050"/>
        <w:gridCol w:w="1400"/>
      </w:tblGrid>
      <w:tr>
        <w:trPr>
          <w:tblHeader/>
        </w:trPr>
        <w:tc>
          <w:tcPr>
            <w:tcW w:type="dxa" w:w="4900"/>
            <w:shd w:fill="2F2F2F" w:val="clear"/>
            <w:tcMar>
              <w:top w:type="dxa" w:w="60"/>
              <w:left w:type="dxa" w:w="100"/>
              <w:bottom w:type="dxa" w:w="60"/>
              <w:right w:type="dxa" w:w="100"/>
            </w:tcMar>
            <w:vAlign w:val="center"/>
          </w:tcPr>
          <w:p>
            <w:pPr>
              <w:jc w:val="left"/>
            </w:pPr>
            <w:r>
              <w:rPr>
                <w:b/>
                <w:bCs/>
                <w:color w:val="FFFFFF"/>
                <w:sz w:val="18"/>
                <w:szCs w:val="18"/>
              </w:rPr>
              <w:t xml:space="preserve">Pattern</w:t>
            </w:r>
          </w:p>
        </w:tc>
        <w:tc>
          <w:tcPr>
            <w:tcW w:type="dxa" w:w="3050"/>
            <w:shd w:fill="2F2F2F" w:val="clear"/>
            <w:tcMar>
              <w:top w:type="dxa" w:w="60"/>
              <w:left w:type="dxa" w:w="100"/>
              <w:bottom w:type="dxa" w:w="60"/>
              <w:right w:type="dxa" w:w="100"/>
            </w:tcMar>
            <w:vAlign w:val="center"/>
          </w:tcPr>
          <w:p>
            <w:pPr>
              <w:jc w:val="center"/>
            </w:pPr>
            <w:r>
              <w:rPr>
                <w:b/>
                <w:bCs/>
                <w:color w:val="FFFFFF"/>
                <w:sz w:val="18"/>
                <w:szCs w:val="18"/>
              </w:rPr>
              <w:t xml:space="preserve">N of 34 Hero/Near-Hero franchises</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Share</w:t>
            </w:r>
          </w:p>
        </w:tc>
      </w:tr>
      <w:tr>
        <w:tc>
          <w:tcPr>
            <w:tcW w:type="dxa" w:w="4900"/>
            <w:tcMar>
              <w:top w:type="dxa" w:w="60"/>
              <w:left w:type="dxa" w:w="100"/>
              <w:bottom w:type="dxa" w:w="60"/>
              <w:right w:type="dxa" w:w="100"/>
            </w:tcMar>
            <w:vAlign w:val="center"/>
          </w:tcPr>
          <w:p>
            <w:pPr>
              <w:jc w:val="left"/>
            </w:pPr>
            <w:r>
              <w:rPr>
                <w:b w:val="false"/>
                <w:bCs w:val="false"/>
                <w:color w:val="000000"/>
                <w:sz w:val="18"/>
                <w:szCs w:val="18"/>
              </w:rPr>
              <w:t xml:space="preserve">DTC growth, WS not declining (incremental)</w:t>
            </w:r>
          </w:p>
        </w:tc>
        <w:tc>
          <w:tcPr>
            <w:tcW w:type="dxa" w:w="3050"/>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59%</w:t>
            </w:r>
          </w:p>
        </w:tc>
      </w:tr>
      <w:tr>
        <w:tc>
          <w:tcPr>
            <w:tcW w:type="dxa" w:w="4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SUBSTITUTION candidate (WS down, DTC up)</w:t>
            </w:r>
          </w:p>
        </w:tc>
        <w:tc>
          <w:tcPr>
            <w:tcW w:type="dxa" w:w="3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w:t>
            </w:r>
          </w:p>
        </w:tc>
      </w:tr>
      <w:tr>
        <w:tc>
          <w:tcPr>
            <w:tcW w:type="dxa" w:w="4900"/>
            <w:tcMar>
              <w:top w:type="dxa" w:w="60"/>
              <w:left w:type="dxa" w:w="100"/>
              <w:bottom w:type="dxa" w:w="60"/>
              <w:right w:type="dxa" w:w="100"/>
            </w:tcMar>
            <w:vAlign w:val="center"/>
          </w:tcPr>
          <w:p>
            <w:pPr>
              <w:jc w:val="left"/>
            </w:pPr>
            <w:r>
              <w:rPr>
                <w:b w:val="false"/>
                <w:bCs w:val="false"/>
                <w:color w:val="000000"/>
                <w:sz w:val="18"/>
                <w:szCs w:val="18"/>
              </w:rPr>
              <w:t xml:space="preserve">WS growing, DTC flat/declining</w:t>
            </w:r>
          </w:p>
        </w:tc>
        <w:tc>
          <w:tcPr>
            <w:tcW w:type="dxa" w:w="3050"/>
            <w:tcMar>
              <w:top w:type="dxa" w:w="60"/>
              <w:left w:type="dxa" w:w="100"/>
              <w:bottom w:type="dxa" w:w="60"/>
              <w:right w:type="dxa" w:w="100"/>
            </w:tcMar>
            <w:vAlign w:val="center"/>
          </w:tcPr>
          <w:p>
            <w:pPr>
              <w:jc w:val="center"/>
            </w:pPr>
            <w:r>
              <w:rPr>
                <w:b w:val="false"/>
                <w:bCs w:val="false"/>
                <w:color w:val="000000"/>
                <w:sz w:val="18"/>
                <w:szCs w:val="18"/>
              </w:rPr>
              <w:t xml:space="preserve">5</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15%</w:t>
            </w:r>
          </w:p>
        </w:tc>
      </w:tr>
    </w:tbl>
    <w:p>
      <w:pPr>
        <w:spacing w:after="160"/>
      </w:pPr>
      <w:r>
        <w:t xml:space="preserve">Heroes are mostly the healthy pattern: 59% of Hero/Near-Hero franchises are growing DTC without giving up Wholesale. Only 9 of 34 show the substitution pattern. This is reassuring for the 2029 plan — the growth engine of the portfolio is not, in the main, being funded by cannibalizing Wholesale revenue; it looks like genuine incremental demand.</w:t>
      </w:r>
    </w:p>
    <w:p>
      <w:pPr>
        <w:pBdr>
          <w:left w:val="single" w:color="C97A1A" w:sz="18"/>
        </w:pBdr>
        <w:shd w:fill="FCEFDC" w:val="clear"/>
        <w:spacing w:after="120" w:before="100"/>
        <w:ind w:left="150" w:right="100"/>
      </w:pPr>
      <w:r>
        <w:rPr>
          <w:b/>
          <w:bCs/>
          <w:color w:val="8A4B00"/>
        </w:rPr>
        <w:t xml:space="preserve">NOT ANSWERABLE FROM DATA — ASK: </w:t>
      </w:r>
      <w:r>
        <w:t xml:space="preserve">Should the Hero/Near-Hero list be treated as the explicit design basis for FW27/FW28 marketing and content investment (i.e. a formal 'named hero' commercial process), or does the business already run one informally?</w:t>
      </w:r>
    </w:p>
    <w:p>
      <w:pPr>
        <w:pStyle w:val="Heading3"/>
        <w:spacing w:after="100" w:before="200"/>
      </w:pPr>
      <w:r>
        <w:t xml:space="preserve">1.3.2 Problem Child</w:t>
      </w:r>
    </w:p>
    <w:p>
      <w:pPr>
        <w:spacing w:after="160"/>
      </w:pPr>
      <w:r>
        <w:t xml:space="preserve">Problem Child (151 franchises, 94.8M SEK, GM 33.4%) is two different problems, not one: 129 franchises (88.5M SEK) have a genuine core full-price/cost problem and need a pricing or product fix; 22 franchises (6.3M SEK) are already effectively living in outlet/special-account channels — an outlet-migration issue, not a core discipline issue. (Split rule: &gt;50% of 2025 sales through a special-tagged account — XXL, Zalando, China, Stadium Outlet — routes a franchise to the outlet-migrated bucket; the remaining 129 are the core pricing-fix list.)</w:t>
      </w:r>
    </w:p>
    <w:p>
      <w:pPr>
        <w:spacing w:after="160"/>
      </w:pPr>
      <w:r>
        <w:t xml:space="preserve">Top 15 of the 129 Core Pricing Fix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900"/>
        <w:gridCol w:w="2100"/>
        <w:gridCol w:w="1700"/>
        <w:gridCol w:w="1650"/>
      </w:tblGrid>
      <w:tr>
        <w:trPr>
          <w:tblHeader/>
        </w:trPr>
        <w:tc>
          <w:tcPr>
            <w:tcW w:type="dxa" w:w="3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21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7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65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r>
      <w:tr>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21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700"/>
            <w:tcMar>
              <w:top w:type="dxa" w:w="60"/>
              <w:left w:type="dxa" w:w="100"/>
              <w:bottom w:type="dxa" w:w="60"/>
              <w:right w:type="dxa" w:w="100"/>
            </w:tcMar>
            <w:vAlign w:val="center"/>
          </w:tcPr>
          <w:p>
            <w:pPr>
              <w:jc w:val="center"/>
            </w:pPr>
            <w:r>
              <w:rPr>
                <w:b w:val="false"/>
                <w:bCs w:val="false"/>
                <w:color w:val="000000"/>
                <w:sz w:val="18"/>
                <w:szCs w:val="18"/>
              </w:rPr>
              <w:t xml:space="preserve">9.20M</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36.2%</w:t>
            </w:r>
          </w:p>
        </w:tc>
      </w:tr>
      <w:tr>
        <w:tc>
          <w:tcPr>
            <w:tcW w:type="dxa" w:w="3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GTX Jacket (Men)</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5.23M</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36.0%</w:t>
            </w:r>
          </w:p>
        </w:tc>
      </w:tr>
      <w:tr>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Spitz Down Hood (Men)</w:t>
            </w:r>
          </w:p>
        </w:tc>
        <w:tc>
          <w:tcPr>
            <w:tcW w:type="dxa" w:w="21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700"/>
            <w:tcMar>
              <w:top w:type="dxa" w:w="60"/>
              <w:left w:type="dxa" w:w="100"/>
              <w:bottom w:type="dxa" w:w="60"/>
              <w:right w:type="dxa" w:w="100"/>
            </w:tcMar>
            <w:vAlign w:val="center"/>
          </w:tcPr>
          <w:p>
            <w:pPr>
              <w:jc w:val="center"/>
            </w:pPr>
            <w:r>
              <w:rPr>
                <w:b w:val="false"/>
                <w:bCs w:val="false"/>
                <w:color w:val="000000"/>
                <w:sz w:val="18"/>
                <w:szCs w:val="18"/>
              </w:rPr>
              <w:t xml:space="preserve">4.07M</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39.2%</w:t>
            </w:r>
          </w:p>
        </w:tc>
      </w:tr>
      <w:tr>
        <w:tc>
          <w:tcPr>
            <w:tcW w:type="dxa" w:w="3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(Men)</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3.84M</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36.5%</w:t>
            </w:r>
          </w:p>
        </w:tc>
      </w:tr>
      <w:tr>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Vassi GTX Jacket (Men)</w:t>
            </w:r>
          </w:p>
        </w:tc>
        <w:tc>
          <w:tcPr>
            <w:tcW w:type="dxa" w:w="21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700"/>
            <w:tcMar>
              <w:top w:type="dxa" w:w="60"/>
              <w:left w:type="dxa" w:w="100"/>
              <w:bottom w:type="dxa" w:w="60"/>
              <w:right w:type="dxa" w:w="100"/>
            </w:tcMar>
            <w:vAlign w:val="center"/>
          </w:tcPr>
          <w:p>
            <w:pPr>
              <w:jc w:val="center"/>
            </w:pPr>
            <w:r>
              <w:rPr>
                <w:b w:val="false"/>
                <w:bCs w:val="false"/>
                <w:color w:val="000000"/>
                <w:sz w:val="18"/>
                <w:szCs w:val="18"/>
              </w:rPr>
              <w:t xml:space="preserve">3.51M</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35.7%</w:t>
            </w:r>
          </w:p>
        </w:tc>
      </w:tr>
      <w:tr>
        <w:tc>
          <w:tcPr>
            <w:tcW w:type="dxa" w:w="3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OE Jacket (Men)</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3.44M</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25.3%</w:t>
            </w:r>
          </w:p>
        </w:tc>
      </w:tr>
      <w:tr>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Haglöfs Skuta ProofMid (Men)</w:t>
            </w:r>
          </w:p>
        </w:tc>
        <w:tc>
          <w:tcPr>
            <w:tcW w:type="dxa" w:w="2100"/>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1700"/>
            <w:tcMar>
              <w:top w:type="dxa" w:w="60"/>
              <w:left w:type="dxa" w:w="100"/>
              <w:bottom w:type="dxa" w:w="60"/>
              <w:right w:type="dxa" w:w="100"/>
            </w:tcMar>
            <w:vAlign w:val="center"/>
          </w:tcPr>
          <w:p>
            <w:pPr>
              <w:jc w:val="center"/>
            </w:pPr>
            <w:r>
              <w:rPr>
                <w:b w:val="false"/>
                <w:bCs w:val="false"/>
                <w:color w:val="000000"/>
                <w:sz w:val="18"/>
                <w:szCs w:val="18"/>
              </w:rPr>
              <w:t xml:space="preserve">3.43M</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37.2%</w:t>
            </w:r>
          </w:p>
        </w:tc>
      </w:tr>
      <w:tr>
        <w:tc>
          <w:tcPr>
            <w:tcW w:type="dxa" w:w="3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GTX Jacket (Women)</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3.41M</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38.7%</w:t>
            </w:r>
          </w:p>
        </w:tc>
      </w:tr>
      <w:tr>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Haglöfs Krusa GTXLow (Men)</w:t>
            </w:r>
          </w:p>
        </w:tc>
        <w:tc>
          <w:tcPr>
            <w:tcW w:type="dxa" w:w="2100"/>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700"/>
            <w:tcMar>
              <w:top w:type="dxa" w:w="60"/>
              <w:left w:type="dxa" w:w="100"/>
              <w:bottom w:type="dxa" w:w="60"/>
              <w:right w:type="dxa" w:w="100"/>
            </w:tcMar>
            <w:vAlign w:val="center"/>
          </w:tcPr>
          <w:p>
            <w:pPr>
              <w:jc w:val="center"/>
            </w:pPr>
            <w:r>
              <w:rPr>
                <w:b w:val="false"/>
                <w:bCs w:val="false"/>
                <w:color w:val="000000"/>
                <w:sz w:val="18"/>
                <w:szCs w:val="18"/>
              </w:rPr>
              <w:t xml:space="preserve">3.40M</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37.3%</w:t>
            </w:r>
          </w:p>
        </w:tc>
      </w:tr>
      <w:tr>
        <w:tc>
          <w:tcPr>
            <w:tcW w:type="dxa" w:w="3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Puffy Mimic Hood (Men)</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3.04M</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36.0%</w:t>
            </w:r>
          </w:p>
        </w:tc>
      </w:tr>
      <w:tr>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Spitz OE Jacket (Women)</w:t>
            </w:r>
          </w:p>
        </w:tc>
        <w:tc>
          <w:tcPr>
            <w:tcW w:type="dxa" w:w="21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700"/>
            <w:tcMar>
              <w:top w:type="dxa" w:w="60"/>
              <w:left w:type="dxa" w:w="100"/>
              <w:bottom w:type="dxa" w:w="60"/>
              <w:right w:type="dxa" w:w="100"/>
            </w:tcMar>
            <w:vAlign w:val="center"/>
          </w:tcPr>
          <w:p>
            <w:pPr>
              <w:jc w:val="center"/>
            </w:pPr>
            <w:r>
              <w:rPr>
                <w:b w:val="false"/>
                <w:bCs w:val="false"/>
                <w:color w:val="000000"/>
                <w:sz w:val="18"/>
                <w:szCs w:val="18"/>
              </w:rPr>
              <w:t xml:space="preserve">2.21M</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26.7%</w:t>
            </w:r>
          </w:p>
        </w:tc>
      </w:tr>
      <w:tr>
        <w:tc>
          <w:tcPr>
            <w:tcW w:type="dxa" w:w="3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Jacket (Women)</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2.11M</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37.9%</w:t>
            </w:r>
          </w:p>
        </w:tc>
      </w:tr>
      <w:tr>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L.I.M Down Hood (Men)</w:t>
            </w:r>
          </w:p>
        </w:tc>
        <w:tc>
          <w:tcPr>
            <w:tcW w:type="dxa" w:w="21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700"/>
            <w:tcMar>
              <w:top w:type="dxa" w:w="60"/>
              <w:left w:type="dxa" w:w="100"/>
              <w:bottom w:type="dxa" w:w="60"/>
              <w:right w:type="dxa" w:w="100"/>
            </w:tcMar>
            <w:vAlign w:val="center"/>
          </w:tcPr>
          <w:p>
            <w:pPr>
              <w:jc w:val="center"/>
            </w:pPr>
            <w:r>
              <w:rPr>
                <w:b w:val="false"/>
                <w:bCs w:val="false"/>
                <w:color w:val="000000"/>
                <w:sz w:val="18"/>
                <w:szCs w:val="18"/>
              </w:rPr>
              <w:t xml:space="preserve">1.95M</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38.8%</w:t>
            </w:r>
          </w:p>
        </w:tc>
      </w:tr>
      <w:tr>
        <w:tc>
          <w:tcPr>
            <w:tcW w:type="dxa" w:w="3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Pro Bib (Women)</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1.88M</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40.0%</w:t>
            </w:r>
          </w:p>
        </w:tc>
      </w:tr>
      <w:tr>
        <w:tc>
          <w:tcPr>
            <w:tcW w:type="dxa" w:w="3900"/>
            <w:tcMar>
              <w:top w:type="dxa" w:w="60"/>
              <w:left w:type="dxa" w:w="100"/>
              <w:bottom w:type="dxa" w:w="60"/>
              <w:right w:type="dxa" w:w="100"/>
            </w:tcMar>
            <w:vAlign w:val="center"/>
          </w:tcPr>
          <w:p>
            <w:pPr>
              <w:jc w:val="left"/>
            </w:pPr>
            <w:r>
              <w:rPr>
                <w:b w:val="false"/>
                <w:bCs w:val="false"/>
                <w:color w:val="000000"/>
                <w:sz w:val="18"/>
                <w:szCs w:val="18"/>
              </w:rPr>
              <w:t xml:space="preserve">Spitz GTX PRO Jacket (Women)</w:t>
            </w:r>
          </w:p>
        </w:tc>
        <w:tc>
          <w:tcPr>
            <w:tcW w:type="dxa" w:w="21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700"/>
            <w:tcMar>
              <w:top w:type="dxa" w:w="60"/>
              <w:left w:type="dxa" w:w="100"/>
              <w:bottom w:type="dxa" w:w="60"/>
              <w:right w:type="dxa" w:w="100"/>
            </w:tcMar>
            <w:vAlign w:val="center"/>
          </w:tcPr>
          <w:p>
            <w:pPr>
              <w:jc w:val="center"/>
            </w:pPr>
            <w:r>
              <w:rPr>
                <w:b w:val="false"/>
                <w:bCs w:val="false"/>
                <w:color w:val="000000"/>
                <w:sz w:val="18"/>
                <w:szCs w:val="18"/>
              </w:rPr>
              <w:t xml:space="preserve">1.68M</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34.2%</w:t>
            </w:r>
          </w:p>
        </w:tc>
      </w:tr>
    </w:tbl>
    <w:p>
      <w:pPr>
        <w:spacing w:after="200"/>
      </w:pPr>
      <w:r>
        <w:rPr>
          <w:i/>
          <w:iCs/>
          <w:color w:val="555555"/>
          <w:sz w:val="18"/>
          <w:szCs w:val="18"/>
        </w:rPr>
        <w:t xml:space="preserve">Full 129-franchise list (Core Pricing Fix) and the 22-franchise outlet-migrated list are both in the backup workbook (bob_item3_portfolio_backup.xlsx, sheets 'PC - Core Pricing Fix' and 'PC - Outlet-Migrated').</w:t>
      </w:r>
    </w:p>
    <w:p>
      <w:pPr>
        <w:pStyle w:val="Heading3"/>
        <w:spacing w:after="100" w:before="200"/>
      </w:pPr>
      <w:r>
        <w:t xml:space="preserve">1.3.3 Workhorse</w:t>
      </w:r>
    </w:p>
    <w:p>
      <w:pPr>
        <w:spacing w:after="160"/>
      </w:pPr>
      <w:r>
        <w:t xml:space="preserve">Workhorse (202 franchises, 197.3M SEK, the single largest tier by revenue) is structurally healthy (margin and growth both clear the bar). The addressable opportunity here is not fixing a problem — it's closing a gap: 90 franchises (31.0M SEK) sell in only one of Wholesale/DTC.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800"/>
        <w:gridCol w:w="1400"/>
        <w:gridCol w:w="3600"/>
      </w:tblGrid>
      <w:tr>
        <w:trPr>
          <w:tblHeader/>
        </w:trPr>
        <w:tc>
          <w:tcPr>
            <w:tcW w:type="dxa" w:w="3550"/>
            <w:shd w:fill="2F2F2F" w:val="clear"/>
            <w:tcMar>
              <w:top w:type="dxa" w:w="60"/>
              <w:left w:type="dxa" w:w="100"/>
              <w:bottom w:type="dxa" w:w="60"/>
              <w:right w:type="dxa" w:w="100"/>
            </w:tcMar>
            <w:vAlign w:val="center"/>
          </w:tcPr>
          <w:p>
            <w:pPr>
              <w:jc w:val="left"/>
            </w:pPr>
            <w:r>
              <w:rPr>
                <w:b/>
                <w:bCs/>
                <w:color w:val="FFFFFF"/>
                <w:sz w:val="18"/>
                <w:szCs w:val="18"/>
              </w:rPr>
              <w:t xml:space="preserve">Cut</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3600"/>
            <w:shd w:fill="2F2F2F" w:val="clear"/>
            <w:tcMar>
              <w:top w:type="dxa" w:w="60"/>
              <w:left w:type="dxa" w:w="100"/>
              <w:bottom w:type="dxa" w:w="60"/>
              <w:right w:type="dxa" w:w="100"/>
            </w:tcMar>
            <w:vAlign w:val="center"/>
          </w:tcPr>
          <w:p>
            <w:pPr>
              <w:jc w:val="center"/>
            </w:pPr>
            <w:r>
              <w:rPr>
                <w:b/>
                <w:bCs/>
                <w:color w:val="FFFFFF"/>
                <w:sz w:val="18"/>
                <w:szCs w:val="18"/>
              </w:rPr>
              <w:t xml:space="preserve">Detail</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Single-channel (missing WS or DTC entirely)</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90</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31.0M</w:t>
            </w:r>
          </w:p>
        </w:tc>
        <w:tc>
          <w:tcPr>
            <w:tcW w:type="dxa" w:w="3600"/>
            <w:tcMar>
              <w:top w:type="dxa" w:w="60"/>
              <w:left w:type="dxa" w:w="100"/>
              <w:bottom w:type="dxa" w:w="60"/>
              <w:right w:type="dxa" w:w="100"/>
            </w:tcMar>
            <w:vAlign w:val="center"/>
          </w:tcPr>
          <w:p>
            <w:pPr>
              <w:jc w:val="center"/>
            </w:pPr>
            <w:r>
              <w:rPr>
                <w:b w:val="false"/>
                <w:bCs w:val="false"/>
                <w:color w:val="000000"/>
                <w:sz w:val="18"/>
                <w:szCs w:val="18"/>
              </w:rPr>
              <w:t xml:space="preserve">52 DTC-only (missing Wholesale) / 38 Wholesale-only (missing DTC)</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Clean scale-up shortlist (unblocked, addressable)</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22.5M</w:t>
            </w:r>
          </w:p>
        </w:tc>
        <w:tc>
          <w:tcPr>
            <w:tcW w:type="dxa" w:w="3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39.5M SEK of headroom to reach 2M-SEK (near-Hero) scale if the missing channel opens</w:t>
            </w:r>
          </w:p>
        </w:tc>
      </w:tr>
    </w:tbl>
    <w:p>
      <w:pPr>
        <w:pBdr>
          <w:left w:val="single" w:color="9C4DCC" w:sz="18"/>
        </w:pBdr>
        <w:shd w:fill="F0E6F6" w:val="clear"/>
        <w:spacing w:after="120" w:before="100"/>
        <w:ind w:left="150" w:right="100"/>
      </w:pPr>
      <w:r>
        <w:rPr>
          <w:b/>
          <w:bCs/>
          <w:color w:val="6A1B9A"/>
        </w:rPr>
        <w:t xml:space="preserve">CORRECTED FROM DRAFT: </w:t>
      </w:r>
      <w:r>
        <w:t xml:space="preserve">The prior draft's prose cited '57 franchises, 21.9M SEK, only 1.85M SEK combined gap' for the clean scale-up shortlist — that was an earlier, unfiltered vintage of this cut (before near-miss/structurally-single-channel franchises were excluded) and directly contradicted the table's own '39.5M SEK of headroom' figure two lines below it. The reconciled, final shortlist is 31 franchises / 22.5M SEK / 39.5M SEK of headroom — the number now used consistently throughout this section. The remaining 59 single-channel franchises (90 − 31) are judged near-miss or structurally single-channel (e.g. a technical product with no DTC demand); full detail for both cuts is in the backup workbook.</w:t>
      </w:r>
    </w:p>
    <w:p>
      <w:pPr>
        <w:spacing w:after="160"/>
      </w:pPr>
      <w:r>
        <w:t xml:space="preserve">The 31-franchise shortlist splits into three waves by how much headroom is left to cross the 2M-SEK bar: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1400"/>
        <w:gridCol w:w="1900"/>
        <w:gridCol w:w="2500"/>
      </w:tblGrid>
      <w:tr>
        <w:trPr>
          <w:tblHeader/>
        </w:trPr>
        <w:tc>
          <w:tcPr>
            <w:tcW w:type="dxa" w:w="3550"/>
            <w:shd w:fill="2F2F2F" w:val="clear"/>
            <w:tcMar>
              <w:top w:type="dxa" w:w="60"/>
              <w:left w:type="dxa" w:w="100"/>
              <w:bottom w:type="dxa" w:w="60"/>
              <w:right w:type="dxa" w:w="100"/>
            </w:tcMar>
            <w:vAlign w:val="center"/>
          </w:tcPr>
          <w:p>
            <w:pPr>
              <w:jc w:val="left"/>
            </w:pPr>
            <w:r>
              <w:rPr>
                <w:b/>
                <w:bCs/>
                <w:color w:val="FFFFFF"/>
                <w:sz w:val="18"/>
                <w:szCs w:val="18"/>
              </w:rPr>
              <w:t xml:space="preserve">Wave</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2500"/>
            <w:shd w:fill="2F2F2F" w:val="clear"/>
            <w:tcMar>
              <w:top w:type="dxa" w:w="60"/>
              <w:left w:type="dxa" w:w="100"/>
              <w:bottom w:type="dxa" w:w="60"/>
              <w:right w:type="dxa" w:w="100"/>
            </w:tcMar>
            <w:vAlign w:val="center"/>
          </w:tcPr>
          <w:p>
            <w:pPr>
              <w:jc w:val="center"/>
            </w:pPr>
            <w:r>
              <w:rPr>
                <w:b/>
                <w:bCs/>
                <w:color w:val="FFFFFF"/>
                <w:sz w:val="18"/>
                <w:szCs w:val="18"/>
              </w:rPr>
              <w:t xml:space="preserve">Headroom to 2M-SEK bar</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Wave 1 (&lt;500K to go)</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6.56M</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1.44M</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Wave 2 (500K-1.3M to go)</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10.91M</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15.09M</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Wave 3 (&gt;1.3M to go, longer runway)</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5.00M</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23.00M</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rPr>
          <w:tblHeader/>
        </w:trPr>
        <w:tc>
          <w:tcPr>
            <w:tcW w:type="dxa" w:w="7350"/>
            <w:shd w:fill="2F2F2F" w:val="clear"/>
            <w:tcMar>
              <w:top w:type="dxa" w:w="60"/>
              <w:left w:type="dxa" w:w="100"/>
              <w:bottom w:type="dxa" w:w="60"/>
              <w:right w:type="dxa" w:w="100"/>
            </w:tcMar>
            <w:vAlign w:val="center"/>
          </w:tcPr>
          <w:p>
            <w:pPr>
              <w:jc w:val="left"/>
            </w:pPr>
            <w:r>
              <w:rPr>
                <w:b/>
                <w:bCs/>
                <w:color w:val="FFFFFF"/>
                <w:sz w:val="18"/>
                <w:szCs w:val="18"/>
              </w:rPr>
              <w:t xml:space="preserve">Lever needed (shortlist of 31)</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N</w:t>
            </w:r>
          </w:p>
        </w:tc>
      </w:tr>
      <w:tr>
        <w:tc>
          <w:tcPr>
            <w:tcW w:type="dxa" w:w="7350"/>
            <w:tcMar>
              <w:top w:type="dxa" w:w="60"/>
              <w:left w:type="dxa" w:w="100"/>
              <w:bottom w:type="dxa" w:w="60"/>
              <w:right w:type="dxa" w:w="100"/>
            </w:tcMar>
            <w:vAlign w:val="center"/>
          </w:tcPr>
          <w:p>
            <w:pPr>
              <w:jc w:val="left"/>
            </w:pPr>
            <w:r>
              <w:rPr>
                <w:b w:val="false"/>
                <w:bCs w:val="false"/>
                <w:color w:val="000000"/>
                <w:sz w:val="18"/>
                <w:szCs w:val="18"/>
              </w:rPr>
              <w:t xml:space="preserve">Wholesale distribution (currently DTC-only, needs accounts/listings)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13</w:t>
            </w:r>
          </w:p>
        </w:tc>
      </w:tr>
      <w:tr>
        <w:tc>
          <w:tcPr>
            <w:tcW w:type="dxa" w:w="7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DTC content/marketing (currently WS-only, needs DTC visibility)</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w:t>
            </w:r>
          </w:p>
        </w:tc>
      </w:tr>
      <w:tr>
        <w:tc>
          <w:tcPr>
            <w:tcW w:type="dxa" w:w="7350"/>
            <w:tcMar>
              <w:top w:type="dxa" w:w="60"/>
              <w:left w:type="dxa" w:w="100"/>
              <w:bottom w:type="dxa" w:w="60"/>
              <w:right w:type="dxa" w:w="100"/>
            </w:tcMar>
            <w:vAlign w:val="center"/>
          </w:tcPr>
          <w:p>
            <w:pPr>
              <w:jc w:val="left"/>
            </w:pPr>
            <w:r>
              <w:rPr>
                <w:b w:val="false"/>
                <w:bCs w:val="false"/>
                <w:color w:val="000000"/>
                <w:sz w:val="18"/>
                <w:szCs w:val="18"/>
              </w:rPr>
              <w:t xml:space="preserve">Both channels underdeveloped relative to potential</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8</w:t>
            </w:r>
          </w:p>
        </w:tc>
      </w:tr>
    </w:tbl>
    <w:p>
      <w:pPr>
        <w:spacing w:after="160"/>
      </w:pPr>
      <w:r>
        <w:t xml:space="preserve">This is a concrete, low-ambiguity list: 31 named franchises, each tagged with the specific channel lever it needs. Counting the 8 'both channels' franchises against each relevant ask: 21 franchises (13 Wholesale-only + 8 both) need Wholesale distribution work, and 18 franchises (10 DTC-only + 8 both) need DTC content investment — the 8 'both' franchises appear in both counts by definition. Full detail is in the backup workbook.</w:t>
      </w:r>
    </w:p>
    <w:p>
      <w:pPr>
        <w:pBdr>
          <w:left w:val="single" w:color="C97A1A" w:sz="18"/>
        </w:pBdr>
        <w:shd w:fill="FCEFDC" w:val="clear"/>
        <w:spacing w:after="120" w:before="100"/>
        <w:ind w:left="150" w:right="100"/>
      </w:pPr>
      <w:r>
        <w:rPr>
          <w:b/>
          <w:bCs/>
          <w:color w:val="8A4B00"/>
        </w:rPr>
        <w:t xml:space="preserve">NOT ANSWERABLE FROM DATA — ASK: </w:t>
      </w:r>
      <w:r>
        <w:t xml:space="preserve">For the 21 franchises needing Wholesale distribution (in whole or in part) — is the gap a listing/account problem (Sales can act on this directly) or a genuine lack of Wholesale buyer interest in the product (a product/positioning problem)? Owner: Wholesale Director.</w:t>
      </w:r>
    </w:p>
    <w:p>
      <w:pPr>
        <w:spacing w:after="80" w:before="160"/>
      </w:pPr>
      <w:r>
        <w:rPr>
          <w:b/>
          <w:bCs/>
          <w:i/>
          <w:iCs/>
          <w:color w:val="444444"/>
          <w:sz w:val="21"/>
          <w:szCs w:val="21"/>
        </w:rPr>
        <w:t xml:space="preserve">Is the DTC-lever group actually wholesale-exclusive (SMU) product?</w:t>
      </w:r>
    </w:p>
    <w:p>
      <w:pPr>
        <w:spacing w:after="160"/>
      </w:pPr>
      <w:r>
        <w:t xml:space="preserve">Check requested: for the 10 franchises tagged 'DTC content/marketing' (i.e. currently Wholesale-only), is the missing DTC presence because these are account-exclusive special-make-up (SMU) styles rather than a genuine addressable gap?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1700"/>
        <w:gridCol w:w="2900"/>
        <w:gridCol w:w="1650"/>
      </w:tblGrid>
      <w:tr>
        <w:trPr>
          <w:tblHeader/>
        </w:trPr>
        <w:tc>
          <w:tcPr>
            <w:tcW w:type="dxa" w:w="31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700"/>
            <w:shd w:fill="2F2F2F" w:val="clear"/>
            <w:tcMar>
              <w:top w:type="dxa" w:w="60"/>
              <w:left w:type="dxa" w:w="100"/>
              <w:bottom w:type="dxa" w:w="60"/>
              <w:right w:type="dxa" w:w="100"/>
            </w:tcMar>
            <w:vAlign w:val="center"/>
          </w:tcPr>
          <w:p>
            <w:pPr>
              <w:jc w:val="center"/>
            </w:pPr>
            <w:r>
              <w:rPr>
                <w:b/>
                <w:bCs/>
                <w:color w:val="FFFFFF"/>
                <w:sz w:val="18"/>
                <w:szCs w:val="18"/>
              </w:rPr>
              <w:t xml:space="preserve"># WS accounts selling it</w:t>
            </w:r>
          </w:p>
        </w:tc>
        <w:tc>
          <w:tcPr>
            <w:tcW w:type="dxa" w:w="2900"/>
            <w:shd w:fill="2F2F2F" w:val="clear"/>
            <w:tcMar>
              <w:top w:type="dxa" w:w="60"/>
              <w:left w:type="dxa" w:w="100"/>
              <w:bottom w:type="dxa" w:w="60"/>
              <w:right w:type="dxa" w:w="100"/>
            </w:tcMar>
            <w:vAlign w:val="center"/>
          </w:tcPr>
          <w:p>
            <w:pPr>
              <w:jc w:val="center"/>
            </w:pPr>
            <w:r>
              <w:rPr>
                <w:b/>
                <w:bCs/>
                <w:color w:val="FFFFFF"/>
                <w:sz w:val="18"/>
                <w:szCs w:val="18"/>
              </w:rPr>
              <w:t xml:space="preserve">Largest WS account</w:t>
            </w:r>
          </w:p>
        </w:tc>
        <w:tc>
          <w:tcPr>
            <w:tcW w:type="dxa" w:w="1650"/>
            <w:shd w:fill="2F2F2F" w:val="clear"/>
            <w:tcMar>
              <w:top w:type="dxa" w:w="60"/>
              <w:left w:type="dxa" w:w="100"/>
              <w:bottom w:type="dxa" w:w="60"/>
              <w:right w:type="dxa" w:w="100"/>
            </w:tcMar>
            <w:vAlign w:val="center"/>
          </w:tcPr>
          <w:p>
            <w:pPr>
              <w:jc w:val="center"/>
            </w:pPr>
            <w:r>
              <w:rPr>
                <w:b/>
                <w:bCs/>
                <w:color w:val="FFFFFF"/>
                <w:sz w:val="18"/>
                <w:szCs w:val="18"/>
              </w:rPr>
              <w:t xml:space="preserve">Its share of WS sales</w:t>
            </w:r>
          </w:p>
        </w:tc>
      </w:tr>
      <w:tr>
        <w:tc>
          <w:tcPr>
            <w:tcW w:type="dxa" w:w="3100"/>
            <w:tcMar>
              <w:top w:type="dxa" w:w="60"/>
              <w:left w:type="dxa" w:w="100"/>
              <w:bottom w:type="dxa" w:w="60"/>
              <w:right w:type="dxa" w:w="100"/>
            </w:tcMar>
            <w:vAlign w:val="center"/>
          </w:tcPr>
          <w:p>
            <w:pPr>
              <w:jc w:val="left"/>
            </w:pPr>
            <w:r>
              <w:rPr>
                <w:b w:val="false"/>
                <w:bCs w:val="false"/>
                <w:color w:val="000000"/>
                <w:sz w:val="18"/>
                <w:szCs w:val="18"/>
              </w:rPr>
              <w:t xml:space="preserve">Aria Proof Jacket (Women)</w:t>
            </w:r>
          </w:p>
        </w:tc>
        <w:tc>
          <w:tcPr>
            <w:tcW w:type="dxa" w:w="1700"/>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ALEWALDS</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44.5%</w:t>
            </w:r>
          </w:p>
        </w:tc>
      </w:tr>
      <w:tr>
        <w:tc>
          <w:tcPr>
            <w:tcW w:type="dxa" w:w="3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Finch Proof Jacket (Women)</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ZALANDO</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43.8%</w:t>
            </w:r>
          </w:p>
        </w:tc>
      </w:tr>
      <w:tr>
        <w:tc>
          <w:tcPr>
            <w:tcW w:type="dxa" w:w="3100"/>
            <w:tcMar>
              <w:top w:type="dxa" w:w="60"/>
              <w:left w:type="dxa" w:w="100"/>
              <w:bottom w:type="dxa" w:w="60"/>
              <w:right w:type="dxa" w:w="100"/>
            </w:tcMar>
            <w:vAlign w:val="center"/>
          </w:tcPr>
          <w:p>
            <w:pPr>
              <w:jc w:val="left"/>
            </w:pPr>
            <w:r>
              <w:rPr>
                <w:b w:val="false"/>
                <w:bCs w:val="false"/>
                <w:color w:val="000000"/>
                <w:sz w:val="18"/>
                <w:szCs w:val="18"/>
              </w:rPr>
              <w:t xml:space="preserve">Furudal Mimic Parka (Women)</w:t>
            </w:r>
          </w:p>
        </w:tc>
        <w:tc>
          <w:tcPr>
            <w:tcW w:type="dxa" w:w="1700"/>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VINGÅKERS FACTORY OUTLET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39.0%</w:t>
            </w:r>
          </w:p>
        </w:tc>
      </w:tr>
      <w:tr>
        <w:tc>
          <w:tcPr>
            <w:tcW w:type="dxa" w:w="3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Ridge Low (Men)</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NORDIC OUTDOOR &amp; SPORTS GROUP</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26.7%</w:t>
            </w:r>
          </w:p>
        </w:tc>
      </w:tr>
      <w:tr>
        <w:tc>
          <w:tcPr>
            <w:tcW w:type="dxa" w:w="3100"/>
            <w:tcMar>
              <w:top w:type="dxa" w:w="60"/>
              <w:left w:type="dxa" w:w="100"/>
              <w:bottom w:type="dxa" w:w="60"/>
              <w:right w:type="dxa" w:w="100"/>
            </w:tcMar>
            <w:vAlign w:val="center"/>
          </w:tcPr>
          <w:p>
            <w:pPr>
              <w:jc w:val="left"/>
            </w:pPr>
            <w:r>
              <w:rPr>
                <w:b w:val="false"/>
                <w:bCs w:val="false"/>
                <w:color w:val="000000"/>
                <w:sz w:val="18"/>
                <w:szCs w:val="18"/>
              </w:rPr>
              <w:t xml:space="preserve">L.I.M Airak 38 (Unisex)</w:t>
            </w:r>
          </w:p>
        </w:tc>
        <w:tc>
          <w:tcPr>
            <w:tcW w:type="dxa" w:w="1700"/>
            <w:tcMar>
              <w:top w:type="dxa" w:w="60"/>
              <w:left w:type="dxa" w:w="100"/>
              <w:bottom w:type="dxa" w:w="60"/>
              <w:right w:type="dxa" w:w="100"/>
            </w:tcMar>
            <w:vAlign w:val="center"/>
          </w:tcPr>
          <w:p>
            <w:pPr>
              <w:jc w:val="center"/>
            </w:pPr>
            <w:r>
              <w:rPr>
                <w:b w:val="false"/>
                <w:bCs w:val="false"/>
                <w:color w:val="000000"/>
                <w:sz w:val="18"/>
                <w:szCs w:val="18"/>
              </w:rPr>
              <w:t xml:space="preserve">15</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STADIUM Outlet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37.6%</w:t>
            </w:r>
          </w:p>
        </w:tc>
      </w:tr>
      <w:tr>
        <w:tc>
          <w:tcPr>
            <w:tcW w:type="dxa" w:w="3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Alpha Vest (Men)</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ZALANDO</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63.3%</w:t>
            </w:r>
          </w:p>
        </w:tc>
      </w:tr>
      <w:tr>
        <w:tc>
          <w:tcPr>
            <w:tcW w:type="dxa" w:w="3100"/>
            <w:tcMar>
              <w:top w:type="dxa" w:w="60"/>
              <w:left w:type="dxa" w:w="100"/>
              <w:bottom w:type="dxa" w:w="60"/>
              <w:right w:type="dxa" w:w="100"/>
            </w:tcMar>
            <w:vAlign w:val="center"/>
          </w:tcPr>
          <w:p>
            <w:pPr>
              <w:jc w:val="left"/>
            </w:pPr>
            <w:r>
              <w:rPr>
                <w:b w:val="false"/>
                <w:bCs w:val="false"/>
                <w:color w:val="000000"/>
                <w:sz w:val="18"/>
                <w:szCs w:val="18"/>
              </w:rPr>
              <w:t xml:space="preserve">Mora Mid (Men)</w:t>
            </w:r>
          </w:p>
        </w:tc>
        <w:tc>
          <w:tcPr>
            <w:tcW w:type="dxa" w:w="1700"/>
            <w:tcMar>
              <w:top w:type="dxa" w:w="60"/>
              <w:left w:type="dxa" w:w="100"/>
              <w:bottom w:type="dxa" w:w="60"/>
              <w:right w:type="dxa" w:w="100"/>
            </w:tcMar>
            <w:vAlign w:val="center"/>
          </w:tcPr>
          <w:p>
            <w:pPr>
              <w:jc w:val="center"/>
            </w:pPr>
            <w:r>
              <w:rPr>
                <w:b w:val="false"/>
                <w:bCs w:val="false"/>
                <w:color w:val="000000"/>
                <w:sz w:val="18"/>
                <w:szCs w:val="18"/>
              </w:rPr>
              <w:t xml:space="preserve">49</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ZALANDO</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29.8%</w:t>
            </w:r>
          </w:p>
        </w:tc>
      </w:tr>
      <w:tr>
        <w:tc>
          <w:tcPr>
            <w:tcW w:type="dxa" w:w="3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Mora Mid (Women)</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ZALANDO</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20.5%</w:t>
            </w:r>
          </w:p>
        </w:tc>
      </w:tr>
      <w:tr>
        <w:tc>
          <w:tcPr>
            <w:tcW w:type="dxa" w:w="3100"/>
            <w:tcMar>
              <w:top w:type="dxa" w:w="60"/>
              <w:left w:type="dxa" w:w="100"/>
              <w:bottom w:type="dxa" w:w="60"/>
              <w:right w:type="dxa" w:w="100"/>
            </w:tcMar>
            <w:vAlign w:val="center"/>
          </w:tcPr>
          <w:p>
            <w:pPr>
              <w:jc w:val="left"/>
            </w:pPr>
            <w:r>
              <w:rPr>
                <w:b w:val="false"/>
                <w:bCs w:val="false"/>
                <w:color w:val="000000"/>
                <w:sz w:val="18"/>
                <w:szCs w:val="18"/>
              </w:rPr>
              <w:t xml:space="preserve">Porfyr Proof Jacket (Men)</w:t>
            </w:r>
          </w:p>
        </w:tc>
        <w:tc>
          <w:tcPr>
            <w:tcW w:type="dxa" w:w="1700"/>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ZALANDO</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36.4%</w:t>
            </w:r>
          </w:p>
        </w:tc>
      </w:tr>
      <w:tr>
        <w:tc>
          <w:tcPr>
            <w:tcW w:type="dxa" w:w="3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Reed GTX Parka (Women)</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ZALANDO</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58.7%</w:t>
            </w:r>
          </w:p>
        </w:tc>
      </w:tr>
    </w:tbl>
    <w:p>
      <w:pPr>
        <w:pBdr>
          <w:left w:val="single" w:color="3C8A4C" w:sz="18"/>
        </w:pBdr>
        <w:shd w:fill="EAF3EA" w:val="clear"/>
        <w:spacing w:after="120" w:before="100"/>
        <w:ind w:left="150" w:right="100"/>
      </w:pPr>
      <w:r>
        <w:rPr>
          <w:b/>
          <w:bCs/>
          <w:color w:val="1F5C2E"/>
        </w:rPr>
        <w:t xml:space="preserve">DATA SHOWS: </w:t>
      </w:r>
      <w:r>
        <w:t xml:space="preserve">None of the 10 is an SMU/single-account exclusive — every franchise sells through 4-49 different Wholesale accounts, so this is not a structural 'it only exists for one retailer' story. But 8 of the 10 have an outlet-type account (Zalando, Stadium Outlet, or a factory outlet) as their single largest Wholesale account, in three cases over half of Wholesale volume (L.I.M Alpha Vest 63.3%, Reed GTX Parka 58.7%, Finch Proof Jacket 43.8% Zalando). These franchises' existing Wholesale distribution is already skewed toward clearance-type accounts rather than full-price doors — worth factoring into the DTC-investment case, since the Wholesale side of the business may not be a strong quality benchmark to grow DTC alongside.</w:t>
      </w:r>
    </w:p>
    <w:p>
      <w:pPr>
        <w:pStyle w:val="Heading3"/>
        <w:spacing w:after="100" w:before="200"/>
      </w:pPr>
      <w:r>
        <w:t xml:space="preserve">1.3.4 Harvest</w:t>
      </w:r>
    </w:p>
    <w:p>
      <w:pPr>
        <w:spacing w:after="160"/>
      </w:pPr>
      <w:r>
        <w:t xml:space="preserve">Harvest (236 franchises) lost more revenue year-over-year than any other tier — 216.2M SEK in 2024 to 120.2M in 2025, a -96.0M SEK swing — while still running a healthy 50.6% margin. This is a volume/relevance problem on otherwise-profitable product, and 94 of these franchises (31.5M SEK) have no confirmed FW27 continuation.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700"/>
        <w:gridCol w:w="1400"/>
        <w:gridCol w:w="3700"/>
      </w:tblGrid>
      <w:tr>
        <w:trPr>
          <w:tblHeader/>
        </w:trPr>
        <w:tc>
          <w:tcPr>
            <w:tcW w:type="dxa" w:w="3550"/>
            <w:shd w:fill="2F2F2F" w:val="clear"/>
            <w:tcMar>
              <w:top w:type="dxa" w:w="60"/>
              <w:left w:type="dxa" w:w="100"/>
              <w:bottom w:type="dxa" w:w="60"/>
              <w:right w:type="dxa" w:w="100"/>
            </w:tcMar>
            <w:vAlign w:val="center"/>
          </w:tcPr>
          <w:p>
            <w:pPr>
              <w:jc w:val="left"/>
            </w:pPr>
            <w:r>
              <w:rPr>
                <w:b/>
                <w:bCs/>
                <w:color w:val="FFFFFF"/>
                <w:sz w:val="18"/>
                <w:szCs w:val="18"/>
              </w:rPr>
              <w:t xml:space="preserve">Cut</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37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No confirmed FW27 continuation</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94</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31.5M</w:t>
            </w:r>
          </w:p>
        </w:tc>
        <w:tc>
          <w:tcPr>
            <w:tcW w:type="dxa" w:w="3700"/>
            <w:tcMar>
              <w:top w:type="dxa" w:w="60"/>
              <w:left w:type="dxa" w:w="100"/>
              <w:bottom w:type="dxa" w:w="60"/>
              <w:right w:type="dxa" w:w="100"/>
            </w:tcMar>
            <w:vAlign w:val="center"/>
          </w:tcPr>
          <w:p>
            <w:pPr>
              <w:jc w:val="center"/>
            </w:pPr>
            <w:r>
              <w:rPr>
                <w:b w:val="false"/>
                <w:bCs w:val="false"/>
                <w:color w:val="000000"/>
                <w:sz w:val="18"/>
                <w:szCs w:val="18"/>
              </w:rPr>
              <w:t xml:space="preserve">Highest-value FW27 gap of any single tier — see Section 1.4</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Confirmed continuing in FW27</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142</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88.7M</w:t>
            </w:r>
          </w:p>
        </w:tc>
        <w:tc>
          <w:tcPr>
            <w:tcW w:type="dxa" w:w="3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Product is planned to continue despite the decline — worth checking why</w:t>
            </w:r>
          </w:p>
        </w:tc>
      </w:tr>
    </w:tbl>
    <w:p>
      <w:pPr>
        <w:pStyle w:val="Heading3"/>
        <w:spacing w:after="100" w:before="200"/>
      </w:pPr>
      <w:r>
        <w:t xml:space="preserve">1.3.5 New/Test</w:t>
      </w:r>
    </w:p>
    <w:p>
      <w:pPr>
        <w:spacing w:after="160"/>
      </w:pPr>
      <w:r>
        <w:t xml:space="preserve">New/Test (197 launches, 123.9M SEK year-1 sales) shows a real launch-follow-through gap: only 13.0% Wholesale reorder conversion company-wide, and 30 launches (15% of the cohort) are flagged on 2+ risk indicators simultaneously (low margin, no DTC presence, no reorder, no FW27 plan).</w:t>
      </w:r>
    </w:p>
    <w:p>
      <w:pPr>
        <w:spacing w:after="160"/>
      </w:pPr>
      <w:r>
        <w:t xml:space="preserve">Every franchise with no real trading in 2024 but real trading in 2025 was scored against five Tier-1 KPIs checkable from current data (margin at launch, outlet-leakage, reorder conversion, DTC presence, FW27 continuation plan). A second, richer scorecard (tier migration, YoY growth in year 2) needs 2026 data, expected next week.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900"/>
        <w:gridCol w:w="1400"/>
        <w:gridCol w:w="3050"/>
      </w:tblGrid>
      <w:tr>
        <w:trPr>
          <w:tblHeader/>
        </w:trPr>
        <w:tc>
          <w:tcPr>
            <w:tcW w:type="dxa" w:w="4900"/>
            <w:shd w:fill="2F2F2F" w:val="clear"/>
            <w:tcMar>
              <w:top w:type="dxa" w:w="60"/>
              <w:left w:type="dxa" w:w="100"/>
              <w:bottom w:type="dxa" w:w="60"/>
              <w:right w:type="dxa" w:w="100"/>
            </w:tcMar>
            <w:vAlign w:val="center"/>
          </w:tcPr>
          <w:p>
            <w:pPr>
              <w:jc w:val="left"/>
            </w:pPr>
            <w:r>
              <w:rPr>
                <w:b/>
                <w:bCs/>
                <w:color w:val="FFFFFF"/>
                <w:sz w:val="18"/>
                <w:szCs w:val="18"/>
              </w:rPr>
              <w:t xml:space="preserve">Segment</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3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r>
      <w:tr>
        <w:tc>
          <w:tcPr>
            <w:tcW w:type="dxa" w:w="4900"/>
            <w:tcMar>
              <w:top w:type="dxa" w:w="60"/>
              <w:left w:type="dxa" w:w="100"/>
              <w:bottom w:type="dxa" w:w="60"/>
              <w:right w:type="dxa" w:w="100"/>
            </w:tcMar>
            <w:vAlign w:val="center"/>
          </w:tcPr>
          <w:p>
            <w:pPr>
              <w:jc w:val="left"/>
            </w:pPr>
            <w:r>
              <w:rPr>
                <w:b w:val="false"/>
                <w:bCs w:val="false"/>
                <w:color w:val="000000"/>
                <w:sz w:val="18"/>
                <w:szCs w:val="18"/>
              </w:rPr>
              <w:t xml:space="preserve">Clean — no flags</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111</w:t>
            </w:r>
          </w:p>
        </w:tc>
        <w:tc>
          <w:tcPr>
            <w:tcW w:type="dxa" w:w="3050"/>
            <w:tcMar>
              <w:top w:type="dxa" w:w="60"/>
              <w:left w:type="dxa" w:w="100"/>
              <w:bottom w:type="dxa" w:w="60"/>
              <w:right w:type="dxa" w:w="100"/>
            </w:tcMar>
            <w:vAlign w:val="center"/>
          </w:tcPr>
          <w:p>
            <w:pPr>
              <w:jc w:val="center"/>
            </w:pPr>
            <w:r>
              <w:rPr>
                <w:b w:val="false"/>
                <w:bCs w:val="false"/>
                <w:color w:val="000000"/>
                <w:sz w:val="18"/>
                <w:szCs w:val="18"/>
              </w:rPr>
              <w:t xml:space="preserve">91.9M</w:t>
            </w:r>
          </w:p>
        </w:tc>
      </w:tr>
      <w:tr>
        <w:tc>
          <w:tcPr>
            <w:tcW w:type="dxa" w:w="4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1 flag</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w:t>
            </w:r>
          </w:p>
        </w:tc>
        <w:tc>
          <w:tcPr>
            <w:tcW w:type="dxa" w:w="3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 — mixed</w:t>
            </w:r>
          </w:p>
        </w:tc>
      </w:tr>
      <w:tr>
        <w:tc>
          <w:tcPr>
            <w:tcW w:type="dxa" w:w="4900"/>
            <w:tcMar>
              <w:top w:type="dxa" w:w="60"/>
              <w:left w:type="dxa" w:w="100"/>
              <w:bottom w:type="dxa" w:w="60"/>
              <w:right w:type="dxa" w:w="100"/>
            </w:tcMar>
            <w:vAlign w:val="center"/>
          </w:tcPr>
          <w:p>
            <w:pPr>
              <w:jc w:val="left"/>
            </w:pPr>
            <w:r>
              <w:rPr>
                <w:b w:val="false"/>
                <w:bCs w:val="false"/>
                <w:color w:val="000000"/>
                <w:sz w:val="18"/>
                <w:szCs w:val="18"/>
              </w:rPr>
              <w:t xml:space="preserve">2+ flags (priority watchlist)</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3050"/>
            <w:tcMar>
              <w:top w:type="dxa" w:w="60"/>
              <w:left w:type="dxa" w:w="100"/>
              <w:bottom w:type="dxa" w:w="60"/>
              <w:right w:type="dxa" w:w="100"/>
            </w:tcMar>
            <w:vAlign w:val="center"/>
          </w:tcPr>
          <w:p>
            <w:pPr>
              <w:jc w:val="center"/>
            </w:pPr>
            <w:r>
              <w:rPr>
                <w:b w:val="false"/>
                <w:bCs w:val="false"/>
                <w:color w:val="000000"/>
                <w:sz w:val="18"/>
                <w:szCs w:val="18"/>
              </w:rPr>
              <w:t xml:space="preserve">3.9M</w:t>
            </w:r>
          </w:p>
        </w:tc>
      </w:tr>
    </w:tbl>
    <w:p>
      <w:pPr>
        <w:spacing w:after="160"/>
      </w:pPr>
      <w:r>
        <w:rPr>
          <w:i/>
          <w:iCs/>
        </w:rPr>
        <w:t xml:space="preserve">Which of the 30 two-flag launches trip which flag (not mutually exclusive):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rPr>
          <w:tblHeader/>
        </w:trPr>
        <w:tc>
          <w:tcPr>
            <w:tcW w:type="dxa" w:w="7350"/>
            <w:shd w:fill="2F2F2F" w:val="clear"/>
            <w:tcMar>
              <w:top w:type="dxa" w:w="60"/>
              <w:left w:type="dxa" w:w="100"/>
              <w:bottom w:type="dxa" w:w="60"/>
              <w:right w:type="dxa" w:w="100"/>
            </w:tcMar>
            <w:vAlign w:val="center"/>
          </w:tcPr>
          <w:p>
            <w:pPr>
              <w:jc w:val="left"/>
            </w:pPr>
            <w:r>
              <w:rPr>
                <w:b/>
                <w:bCs/>
                <w:color w:val="FFFFFF"/>
                <w:sz w:val="18"/>
                <w:szCs w:val="18"/>
              </w:rPr>
              <w:t xml:space="preserve">Flag</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N of 197</w:t>
            </w:r>
          </w:p>
        </w:tc>
      </w:tr>
      <w:tr>
        <w:tc>
          <w:tcPr>
            <w:tcW w:type="dxa" w:w="7350"/>
            <w:tcMar>
              <w:top w:type="dxa" w:w="60"/>
              <w:left w:type="dxa" w:w="100"/>
              <w:bottom w:type="dxa" w:w="60"/>
              <w:right w:type="dxa" w:w="100"/>
            </w:tcMar>
            <w:vAlign w:val="center"/>
          </w:tcPr>
          <w:p>
            <w:pPr>
              <w:jc w:val="left"/>
            </w:pPr>
            <w:r>
              <w:rPr>
                <w:b w:val="false"/>
                <w:bCs w:val="false"/>
                <w:color w:val="000000"/>
                <w:sz w:val="18"/>
                <w:szCs w:val="18"/>
              </w:rPr>
              <w:t xml:space="preserve">No DTC presence in year 1</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34</w:t>
            </w:r>
          </w:p>
        </w:tc>
      </w:tr>
      <w:tr>
        <w:tc>
          <w:tcPr>
            <w:tcW w:type="dxa" w:w="7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No confirmed FW27 continuation plan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w:t>
            </w:r>
          </w:p>
        </w:tc>
      </w:tr>
      <w:tr>
        <w:tc>
          <w:tcPr>
            <w:tcW w:type="dxa" w:w="7350"/>
            <w:tcMar>
              <w:top w:type="dxa" w:w="60"/>
              <w:left w:type="dxa" w:w="100"/>
              <w:bottom w:type="dxa" w:w="60"/>
              <w:right w:type="dxa" w:w="100"/>
            </w:tcMar>
            <w:vAlign w:val="center"/>
          </w:tcPr>
          <w:p>
            <w:pPr>
              <w:jc w:val="left"/>
            </w:pPr>
            <w:r>
              <w:rPr>
                <w:b w:val="false"/>
                <w:bCs w:val="false"/>
                <w:color w:val="000000"/>
                <w:sz w:val="18"/>
                <w:szCs w:val="18"/>
              </w:rPr>
              <w:t xml:space="preserve">Low margin at launch (&lt;35% GM)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28</w:t>
            </w:r>
          </w:p>
        </w:tc>
      </w:tr>
      <w:tr>
        <w:tc>
          <w:tcPr>
            <w:tcW w:type="dxa" w:w="7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Outlet-leaking (&gt;50% special-account exposure)</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w:t>
            </w:r>
          </w:p>
        </w:tc>
      </w:tr>
      <w:tr>
        <w:tc>
          <w:tcPr>
            <w:tcW w:type="dxa" w:w="7350"/>
            <w:tcMar>
              <w:top w:type="dxa" w:w="60"/>
              <w:left w:type="dxa" w:w="100"/>
              <w:bottom w:type="dxa" w:w="60"/>
              <w:right w:type="dxa" w:w="100"/>
            </w:tcMar>
            <w:vAlign w:val="center"/>
          </w:tcPr>
          <w:p>
            <w:pPr>
              <w:jc w:val="left"/>
            </w:pPr>
            <w:r>
              <w:rPr>
                <w:b w:val="false"/>
                <w:bCs w:val="false"/>
                <w:color w:val="000000"/>
                <w:sz w:val="18"/>
                <w:szCs w:val="18"/>
              </w:rPr>
              <w:t xml:space="preserve">Zero reorder despite &gt;100K Preorder (Wholesale)</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8</w:t>
            </w:r>
          </w:p>
        </w:tc>
      </w:tr>
    </w:tbl>
    <w:p>
      <w:pPr>
        <w:pBdr>
          <w:left w:val="single" w:color="C97A1A" w:sz="18"/>
        </w:pBdr>
        <w:shd w:fill="FCEFDC" w:val="clear"/>
        <w:spacing w:after="120" w:before="100"/>
        <w:ind w:left="150" w:right="100"/>
      </w:pPr>
      <w:r>
        <w:rPr>
          <w:b/>
          <w:bCs/>
          <w:color w:val="8A4B00"/>
        </w:rPr>
        <w:t xml:space="preserve">NOT ANSWERABLE FROM DATA — ASK: </w:t>
      </w:r>
      <w:r>
        <w:t xml:space="preserve">For the 31 launches flagged 'no confirmed FW27 continuation plan': is a franchise dropped from the FW27 (Fall/Winter) assortment file necessarily dropped from the range, or could it continue as an SS27/SS28 (Spring/Summer) style instead? No Spring/Summer assortment file has been supplied for this engagement (only Assortment_Attribution_ReviewF27.xlsx, which is FW-only), so this cannot be checked from data — a real gap, not just a caveat.</w:t>
      </w:r>
    </w:p>
    <w:p>
      <w:pPr>
        <w:spacing w:after="160"/>
      </w:pPr>
      <w:r>
        <w:t xml:space="preserve">Company-wide Wholesale reorder conversion for New/Test launches is 13.0% — roughly 1 in 8 launched styles gets reordered at all in its first year. Most new product either lands and holds (clean, 111 franchises) or launches and is never reordered, with little in between.</w:t>
      </w:r>
    </w:p>
    <w:p>
      <w:pPr>
        <w:pBdr>
          <w:left w:val="single" w:color="C97A1A" w:sz="18"/>
        </w:pBdr>
        <w:shd w:fill="FCEFDC" w:val="clear"/>
        <w:spacing w:after="120" w:before="100"/>
        <w:ind w:left="150" w:right="100"/>
      </w:pPr>
      <w:r>
        <w:rPr>
          <w:b/>
          <w:bCs/>
          <w:color w:val="8A4B00"/>
        </w:rPr>
        <w:t xml:space="preserve">NOT ANSWERABLE FROM DATA — ASK: </w:t>
      </w:r>
      <w:r>
        <w:t xml:space="preserve">Is there a formal post-launch review checkpoint (e.g. at end of first selling season) where a new style's early reorder/DTC/margin signals are checked and a keep/kill/fix call is made? If not, this Tier-1 scorecard could become that checkpoint going forward. Owner: whoever owns the product lifecycle process (CPO / Merchandising Director).</w:t>
      </w:r>
    </w:p>
    <w:p>
      <w:pPr>
        <w:pStyle w:val="Heading3"/>
        <w:spacing w:after="100" w:before="200"/>
      </w:pPr>
      <w:r>
        <w:t xml:space="preserve">1.3.6 Exited &amp; Thin</w:t>
      </w:r>
    </w:p>
    <w:p>
      <w:pPr>
        <w:spacing w:after="160"/>
      </w:pPr>
      <w:r>
        <w:t xml:space="preserve">Rather than reviewing all 864 Thin franchises individually — impractical and low-value given they total only 8.1M SEK combined — each was segmented into one of five actionable groups, using both core and special-account sales so a franchise that looks dead in the core view but is alive in outlet is not miscounted as a kill candidate.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500"/>
        <w:gridCol w:w="1500"/>
        <w:gridCol w:w="1900"/>
        <w:gridCol w:w="2850"/>
      </w:tblGrid>
      <w:tr>
        <w:trPr>
          <w:tblHeader/>
        </w:trPr>
        <w:tc>
          <w:tcPr>
            <w:tcW w:type="dxa" w:w="2600"/>
            <w:shd w:fill="2F2F2F" w:val="clear"/>
            <w:tcMar>
              <w:top w:type="dxa" w:w="60"/>
              <w:left w:type="dxa" w:w="100"/>
              <w:bottom w:type="dxa" w:w="60"/>
              <w:right w:type="dxa" w:w="100"/>
            </w:tcMar>
            <w:vAlign w:val="center"/>
          </w:tcPr>
          <w:p>
            <w:pPr>
              <w:jc w:val="left"/>
            </w:pPr>
            <w:r>
              <w:rPr>
                <w:b/>
                <w:bCs/>
                <w:color w:val="FFFFFF"/>
                <w:sz w:val="18"/>
                <w:szCs w:val="18"/>
              </w:rPr>
              <w:t xml:space="preserve">Segment</w:t>
            </w:r>
          </w:p>
        </w:tc>
        <w:tc>
          <w:tcPr>
            <w:tcW w:type="dxa" w:w="5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Core Sales 2025</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Special-Acct Sales 2025</w:t>
            </w:r>
          </w:p>
        </w:tc>
        <w:tc>
          <w:tcPr>
            <w:tcW w:type="dxa" w:w="2850"/>
            <w:shd w:fill="2F2F2F" w:val="clear"/>
            <w:tcMar>
              <w:top w:type="dxa" w:w="60"/>
              <w:left w:type="dxa" w:w="100"/>
              <w:bottom w:type="dxa" w:w="60"/>
              <w:right w:type="dxa" w:w="100"/>
            </w:tcMar>
            <w:vAlign w:val="center"/>
          </w:tcPr>
          <w:p>
            <w:pPr>
              <w:jc w:val="center"/>
            </w:pPr>
            <w:r>
              <w:rPr>
                <w:b/>
                <w:bCs/>
                <w:color w:val="FFFFFF"/>
                <w:sz w:val="18"/>
                <w:szCs w:val="18"/>
              </w:rPr>
              <w:t xml:space="preserve">Recommended default action</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Shrinking trace, still limping</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393</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4.5M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0.4M</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Kill candidate — formalize exit, lowest-effort largest cleanup</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Faded to zero</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227</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2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Kill candidate — already effectively dead, formalize the exit record</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Too new to judge</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84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1.5M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0.3M</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Give it another season before any decision</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Actually alive in outlet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40.2M</w:t>
            </w:r>
          </w:p>
        </w:tc>
        <w:tc>
          <w:tcPr>
            <w:tcW w:type="dxa" w:w="2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a kill candidate — re-tag as outlet/clearance, not exited</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No presence either year</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79</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Data noise — ignore, no decision needed</w:t>
            </w:r>
          </w:p>
        </w:tc>
      </w:tr>
    </w:tbl>
    <w:p>
      <w:pPr>
        <w:spacing w:after="160"/>
      </w:pPr>
      <w:r>
        <w:t xml:space="preserve">The 81-franchise 'alive in outlet' segment is the one genuine trap here: it looks worthless in the core-scope view (2.1M SEK) but carries 40.2M SEK of outlet sales — nearly 20x the core figure. A blanket 'Thin = kill' rule would have wrongly flagged that revenue for exit.</w:t>
      </w:r>
    </w:p>
    <w:p>
      <w:pPr>
        <w:pStyle w:val="ListParagraph"/>
        <w:numPr>
          <w:ilvl w:val="0"/>
          <w:numId w:val="2"/>
        </w:numPr>
        <w:spacing w:after="80"/>
      </w:pPr>
      <w:r>
        <w:t xml:space="preserve">Practical recommendation: the 620 franchises in 'Shrinking trace' + 'Faded to zero' (4.5M SEK combined core sales) can be formally exited as a single batch decision rather than reviewed line by line — the SEK at stake does not justify individual review.</w:t>
      </w:r>
    </w:p>
    <w:p>
      <w:pPr>
        <w:pStyle w:val="ListParagraph"/>
        <w:numPr>
          <w:ilvl w:val="0"/>
          <w:numId w:val="2"/>
        </w:numPr>
        <w:spacing w:after="80"/>
      </w:pPr>
      <w:r>
        <w:t xml:space="preserve">The 84 'too new to judge' franchises should roll into the New/Test Tier-1 scorecard process (Section 1.3.5) once they clear the 100-unit real-trading threshold.</w:t>
      </w:r>
    </w:p>
    <w:p>
      <w:pPr>
        <w:spacing w:after="80" w:before="160"/>
      </w:pPr>
      <w:r>
        <w:rPr>
          <w:b/>
          <w:bCs/>
          <w:i/>
          <w:iCs/>
          <w:color w:val="444444"/>
          <w:sz w:val="21"/>
          <w:szCs w:val="21"/>
        </w:rPr>
        <w:t xml:space="preserve">Shrinking trace — top 10 by 2025 sales (list requested for the kill-candidate batch)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1750"/>
        <w:gridCol w:w="1800"/>
      </w:tblGrid>
      <w:tr>
        <w:trPr>
          <w:tblHeader/>
        </w:trPr>
        <w:tc>
          <w:tcPr>
            <w:tcW w:type="dxa" w:w="38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Sales 2024</w:t>
            </w:r>
          </w:p>
        </w:tc>
        <w:tc>
          <w:tcPr>
            <w:tcW w:type="dxa" w:w="18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r>
      <w:tr>
        <w:tc>
          <w:tcPr>
            <w:tcW w:type="dxa" w:w="3800"/>
            <w:tcMar>
              <w:top w:type="dxa" w:w="60"/>
              <w:left w:type="dxa" w:w="100"/>
              <w:bottom w:type="dxa" w:w="60"/>
              <w:right w:type="dxa" w:w="100"/>
            </w:tcMar>
            <w:vAlign w:val="center"/>
          </w:tcPr>
          <w:p>
            <w:pPr>
              <w:jc w:val="left"/>
            </w:pPr>
            <w:r>
              <w:rPr>
                <w:b w:val="false"/>
                <w:bCs w:val="false"/>
                <w:color w:val="000000"/>
                <w:sz w:val="18"/>
                <w:szCs w:val="18"/>
              </w:rPr>
              <w:t xml:space="preserve">Nordic Expedition Down -26 (Unisex)</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Sleepingbags</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0.10M</w:t>
            </w:r>
          </w:p>
        </w:tc>
        <w:tc>
          <w:tcPr>
            <w:tcW w:type="dxa" w:w="1800"/>
            <w:tcMar>
              <w:top w:type="dxa" w:w="60"/>
              <w:left w:type="dxa" w:w="100"/>
              <w:bottom w:type="dxa" w:w="60"/>
              <w:right w:type="dxa" w:w="100"/>
            </w:tcMar>
            <w:vAlign w:val="center"/>
          </w:tcPr>
          <w:p>
            <w:pPr>
              <w:jc w:val="center"/>
            </w:pPr>
            <w:r>
              <w:rPr>
                <w:b w:val="false"/>
                <w:bCs w:val="false"/>
                <w:color w:val="000000"/>
                <w:sz w:val="18"/>
                <w:szCs w:val="18"/>
              </w:rPr>
              <w:t xml:space="preserve">0.18M</w:t>
            </w:r>
          </w:p>
        </w:tc>
      </w:tr>
      <w:tr>
        <w:tc>
          <w:tcPr>
            <w:tcW w:type="dxa" w:w="38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ZT Down Jacket (Men)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0.26M</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0.13M</w:t>
            </w:r>
          </w:p>
        </w:tc>
      </w:tr>
      <w:tr>
        <w:tc>
          <w:tcPr>
            <w:tcW w:type="dxa" w:w="3800"/>
            <w:tcMar>
              <w:top w:type="dxa" w:w="60"/>
              <w:left w:type="dxa" w:w="100"/>
              <w:bottom w:type="dxa" w:w="60"/>
              <w:right w:type="dxa" w:w="100"/>
            </w:tcMar>
            <w:vAlign w:val="center"/>
          </w:tcPr>
          <w:p>
            <w:pPr>
              <w:jc w:val="left"/>
            </w:pPr>
            <w:r>
              <w:rPr>
                <w:b w:val="false"/>
                <w:bCs w:val="false"/>
                <w:color w:val="000000"/>
                <w:sz w:val="18"/>
                <w:szCs w:val="18"/>
              </w:rPr>
              <w:t xml:space="preserve">Betula GTX OE Jacket (Men)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800"/>
            <w:tcMar>
              <w:top w:type="dxa" w:w="60"/>
              <w:left w:type="dxa" w:w="100"/>
              <w:bottom w:type="dxa" w:w="60"/>
              <w:right w:type="dxa" w:w="100"/>
            </w:tcMar>
            <w:vAlign w:val="center"/>
          </w:tcPr>
          <w:p>
            <w:pPr>
              <w:jc w:val="center"/>
            </w:pPr>
            <w:r>
              <w:rPr>
                <w:b w:val="false"/>
                <w:bCs w:val="false"/>
                <w:color w:val="000000"/>
                <w:sz w:val="18"/>
                <w:szCs w:val="18"/>
              </w:rPr>
              <w:t xml:space="preserve">0.11M</w:t>
            </w:r>
          </w:p>
        </w:tc>
      </w:tr>
      <w:tr>
        <w:tc>
          <w:tcPr>
            <w:tcW w:type="dxa" w:w="38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ZT Down Jacket (Women)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0.11M</w:t>
            </w:r>
          </w:p>
        </w:tc>
      </w:tr>
      <w:tr>
        <w:tc>
          <w:tcPr>
            <w:tcW w:type="dxa" w:w="3800"/>
            <w:tcMar>
              <w:top w:type="dxa" w:w="60"/>
              <w:left w:type="dxa" w:w="100"/>
              <w:bottom w:type="dxa" w:w="60"/>
              <w:right w:type="dxa" w:w="100"/>
            </w:tcMar>
            <w:vAlign w:val="center"/>
          </w:tcPr>
          <w:p>
            <w:pPr>
              <w:jc w:val="left"/>
            </w:pPr>
            <w:r>
              <w:rPr>
                <w:b w:val="false"/>
                <w:bCs w:val="false"/>
                <w:color w:val="000000"/>
                <w:sz w:val="18"/>
                <w:szCs w:val="18"/>
              </w:rPr>
              <w:t xml:space="preserve">Nordic Expedition Down -12 (Unisex)</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Sleepingbags</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0.07M</w:t>
            </w:r>
          </w:p>
        </w:tc>
        <w:tc>
          <w:tcPr>
            <w:tcW w:type="dxa" w:w="1800"/>
            <w:tcMar>
              <w:top w:type="dxa" w:w="60"/>
              <w:left w:type="dxa" w:w="100"/>
              <w:bottom w:type="dxa" w:w="60"/>
              <w:right w:type="dxa" w:w="100"/>
            </w:tcMar>
            <w:vAlign w:val="center"/>
          </w:tcPr>
          <w:p>
            <w:pPr>
              <w:jc w:val="center"/>
            </w:pPr>
            <w:r>
              <w:rPr>
                <w:b w:val="false"/>
                <w:bCs w:val="false"/>
                <w:color w:val="000000"/>
                <w:sz w:val="18"/>
                <w:szCs w:val="18"/>
              </w:rPr>
              <w:t xml:space="preserve">0.09M</w:t>
            </w:r>
          </w:p>
        </w:tc>
      </w:tr>
      <w:tr>
        <w:tc>
          <w:tcPr>
            <w:tcW w:type="dxa" w:w="38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IC3 Gore-Tex Jacket (Unisex)</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0.07M</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0.08M</w:t>
            </w:r>
          </w:p>
        </w:tc>
      </w:tr>
      <w:tr>
        <w:tc>
          <w:tcPr>
            <w:tcW w:type="dxa" w:w="3800"/>
            <w:tcMar>
              <w:top w:type="dxa" w:w="60"/>
              <w:left w:type="dxa" w:w="100"/>
              <w:bottom w:type="dxa" w:w="60"/>
              <w:right w:type="dxa" w:w="100"/>
            </w:tcMar>
            <w:vAlign w:val="center"/>
          </w:tcPr>
          <w:p>
            <w:pPr>
              <w:jc w:val="left"/>
            </w:pPr>
            <w:r>
              <w:rPr>
                <w:b w:val="false"/>
                <w:bCs w:val="false"/>
                <w:color w:val="000000"/>
                <w:sz w:val="18"/>
                <w:szCs w:val="18"/>
              </w:rPr>
              <w:t xml:space="preserve">Scand Down +5 (Unisex)</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Sleepingbags</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1800"/>
            <w:tcMar>
              <w:top w:type="dxa" w:w="60"/>
              <w:left w:type="dxa" w:w="100"/>
              <w:bottom w:type="dxa" w:w="60"/>
              <w:right w:type="dxa" w:w="100"/>
            </w:tcMar>
            <w:vAlign w:val="center"/>
          </w:tcPr>
          <w:p>
            <w:pPr>
              <w:jc w:val="center"/>
            </w:pPr>
            <w:r>
              <w:rPr>
                <w:b w:val="false"/>
                <w:bCs w:val="false"/>
                <w:color w:val="000000"/>
                <w:sz w:val="18"/>
                <w:szCs w:val="18"/>
              </w:rPr>
              <w:t xml:space="preserve">0.08M</w:t>
            </w:r>
          </w:p>
        </w:tc>
      </w:tr>
      <w:tr>
        <w:tc>
          <w:tcPr>
            <w:tcW w:type="dxa" w:w="38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Nordic GTX Pro Jacket (Women)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0.09M</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0.08M</w:t>
            </w:r>
          </w:p>
        </w:tc>
      </w:tr>
      <w:tr>
        <w:tc>
          <w:tcPr>
            <w:tcW w:type="dxa" w:w="3800"/>
            <w:tcMar>
              <w:top w:type="dxa" w:w="60"/>
              <w:left w:type="dxa" w:w="100"/>
              <w:bottom w:type="dxa" w:w="60"/>
              <w:right w:type="dxa" w:w="100"/>
            </w:tcMar>
            <w:vAlign w:val="center"/>
          </w:tcPr>
          <w:p>
            <w:pPr>
              <w:jc w:val="left"/>
            </w:pPr>
            <w:r>
              <w:rPr>
                <w:b w:val="false"/>
                <w:bCs w:val="false"/>
                <w:color w:val="000000"/>
                <w:sz w:val="18"/>
                <w:szCs w:val="18"/>
              </w:rPr>
              <w:t xml:space="preserve">Näs Down Jacket (Men)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800"/>
            <w:tcMar>
              <w:top w:type="dxa" w:w="60"/>
              <w:left w:type="dxa" w:w="100"/>
              <w:bottom w:type="dxa" w:w="60"/>
              <w:right w:type="dxa" w:w="100"/>
            </w:tcMar>
            <w:vAlign w:val="center"/>
          </w:tcPr>
          <w:p>
            <w:pPr>
              <w:jc w:val="center"/>
            </w:pPr>
            <w:r>
              <w:rPr>
                <w:b w:val="false"/>
                <w:bCs w:val="false"/>
                <w:color w:val="000000"/>
                <w:sz w:val="18"/>
                <w:szCs w:val="18"/>
              </w:rPr>
              <w:t xml:space="preserve">0.08M</w:t>
            </w:r>
          </w:p>
        </w:tc>
      </w:tr>
      <w:tr>
        <w:tc>
          <w:tcPr>
            <w:tcW w:type="dxa" w:w="38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Ski Pants Oxygene (Men)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0.06M</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0.08M</w:t>
            </w:r>
          </w:p>
        </w:tc>
      </w:tr>
    </w:tbl>
    <w:p>
      <w:pPr>
        <w:spacing w:after="200"/>
      </w:pPr>
      <w:r>
        <w:rPr>
          <w:i/>
          <w:iCs/>
          <w:color w:val="555555"/>
          <w:sz w:val="18"/>
          <w:szCs w:val="18"/>
        </w:rPr>
        <w:t xml:space="preserve">Full 393-franchise list is in the backup workbook (bob_item3_portfolio_backup.xlsx, sheet 'Exited and Thin - Segmented'). All 393 are individually small (largest single franchise here is 0.18M SEK) — the batch-exit recommendation stands.</w:t>
      </w:r>
    </w:p>
    <w:p>
      <w:pPr>
        <w:spacing w:after="80" w:before="160"/>
      </w:pPr>
      <w:r>
        <w:rPr>
          <w:b/>
          <w:bCs/>
          <w:i/>
          <w:iCs/>
          <w:color w:val="444444"/>
          <w:sz w:val="21"/>
          <w:szCs w:val="21"/>
        </w:rPr>
        <w:t xml:space="preserve">Too new to judge — top 10 by 2025 sales (checked against the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1750"/>
        <w:gridCol w:w="1800"/>
      </w:tblGrid>
      <w:tr>
        <w:trPr>
          <w:tblHeader/>
        </w:trPr>
        <w:tc>
          <w:tcPr>
            <w:tcW w:type="dxa" w:w="38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80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r>
      <w:tr>
        <w:tc>
          <w:tcPr>
            <w:tcW w:type="dxa" w:w="3800"/>
            <w:tcMar>
              <w:top w:type="dxa" w:w="60"/>
              <w:left w:type="dxa" w:w="100"/>
              <w:bottom w:type="dxa" w:w="60"/>
              <w:right w:type="dxa" w:w="100"/>
            </w:tcMar>
            <w:vAlign w:val="center"/>
          </w:tcPr>
          <w:p>
            <w:pPr>
              <w:jc w:val="left"/>
            </w:pPr>
            <w:r>
              <w:rPr>
                <w:b w:val="false"/>
                <w:bCs w:val="false"/>
                <w:color w:val="000000"/>
                <w:sz w:val="18"/>
                <w:szCs w:val="18"/>
              </w:rPr>
              <w:t xml:space="preserve">L.I.M ZT Big Belay (Men)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0.22M</w:t>
            </w:r>
          </w:p>
        </w:tc>
        <w:tc>
          <w:tcPr>
            <w:tcW w:type="dxa" w:w="1800"/>
            <w:tcMar>
              <w:top w:type="dxa" w:w="60"/>
              <w:left w:type="dxa" w:w="100"/>
              <w:bottom w:type="dxa" w:w="60"/>
              <w:right w:type="dxa" w:w="100"/>
            </w:tcMar>
            <w:vAlign w:val="center"/>
          </w:tcPr>
          <w:p>
            <w:pPr>
              <w:jc w:val="center"/>
            </w:pPr>
            <w:r>
              <w:rPr>
                <w:b w:val="false"/>
                <w:bCs w:val="false"/>
                <w:color w:val="000000"/>
                <w:sz w:val="18"/>
                <w:szCs w:val="18"/>
              </w:rPr>
              <w:t xml:space="preserve">96</w:t>
            </w:r>
          </w:p>
        </w:tc>
      </w:tr>
      <w:tr>
        <w:tc>
          <w:tcPr>
            <w:tcW w:type="dxa" w:w="38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Liden Long Down Parka (Men)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0.21M</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w:t>
            </w:r>
          </w:p>
        </w:tc>
      </w:tr>
      <w:tr>
        <w:tc>
          <w:tcPr>
            <w:tcW w:type="dxa" w:w="3800"/>
            <w:tcMar>
              <w:top w:type="dxa" w:w="60"/>
              <w:left w:type="dxa" w:w="100"/>
              <w:bottom w:type="dxa" w:w="60"/>
              <w:right w:type="dxa" w:w="100"/>
            </w:tcMar>
            <w:vAlign w:val="center"/>
          </w:tcPr>
          <w:p>
            <w:pPr>
              <w:jc w:val="left"/>
            </w:pPr>
            <w:r>
              <w:rPr>
                <w:b w:val="false"/>
                <w:bCs w:val="false"/>
                <w:color w:val="000000"/>
                <w:sz w:val="18"/>
                <w:szCs w:val="18"/>
              </w:rPr>
              <w:t xml:space="preserve">ROC Sight Softshell Jacket (Women)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0.12M</w:t>
            </w:r>
          </w:p>
        </w:tc>
        <w:tc>
          <w:tcPr>
            <w:tcW w:type="dxa" w:w="1800"/>
            <w:tcMar>
              <w:top w:type="dxa" w:w="60"/>
              <w:left w:type="dxa" w:w="100"/>
              <w:bottom w:type="dxa" w:w="60"/>
              <w:right w:type="dxa" w:w="100"/>
            </w:tcMar>
            <w:vAlign w:val="center"/>
          </w:tcPr>
          <w:p>
            <w:pPr>
              <w:jc w:val="center"/>
            </w:pPr>
            <w:r>
              <w:rPr>
                <w:b w:val="false"/>
                <w:bCs w:val="false"/>
                <w:color w:val="000000"/>
                <w:sz w:val="18"/>
                <w:szCs w:val="18"/>
              </w:rPr>
              <w:t xml:space="preserve">92</w:t>
            </w:r>
          </w:p>
        </w:tc>
      </w:tr>
      <w:tr>
        <w:tc>
          <w:tcPr>
            <w:tcW w:type="dxa" w:w="38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Liden Long Down Parka (Women)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0.10M</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w:t>
            </w:r>
          </w:p>
        </w:tc>
      </w:tr>
      <w:tr>
        <w:tc>
          <w:tcPr>
            <w:tcW w:type="dxa" w:w="3800"/>
            <w:tcMar>
              <w:top w:type="dxa" w:w="60"/>
              <w:left w:type="dxa" w:w="100"/>
              <w:bottom w:type="dxa" w:w="60"/>
              <w:right w:type="dxa" w:w="100"/>
            </w:tcMar>
            <w:vAlign w:val="center"/>
          </w:tcPr>
          <w:p>
            <w:pPr>
              <w:jc w:val="left"/>
            </w:pPr>
            <w:r>
              <w:rPr>
                <w:b w:val="false"/>
                <w:bCs w:val="false"/>
                <w:color w:val="000000"/>
                <w:sz w:val="18"/>
                <w:szCs w:val="18"/>
              </w:rPr>
              <w:t xml:space="preserve">L.I.M ZT Light Liner (Women)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800"/>
            <w:tcMar>
              <w:top w:type="dxa" w:w="60"/>
              <w:left w:type="dxa" w:w="100"/>
              <w:bottom w:type="dxa" w:w="60"/>
              <w:right w:type="dxa" w:w="100"/>
            </w:tcMar>
            <w:vAlign w:val="center"/>
          </w:tcPr>
          <w:p>
            <w:pPr>
              <w:jc w:val="center"/>
            </w:pPr>
            <w:r>
              <w:rPr>
                <w:b w:val="false"/>
                <w:bCs w:val="false"/>
                <w:color w:val="000000"/>
                <w:sz w:val="18"/>
                <w:szCs w:val="18"/>
              </w:rPr>
              <w:t xml:space="preserve">54</w:t>
            </w:r>
          </w:p>
        </w:tc>
      </w:tr>
      <w:tr>
        <w:tc>
          <w:tcPr>
            <w:tcW w:type="dxa" w:w="38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ZT Air Mid (Women)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0.07M</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w:t>
            </w:r>
          </w:p>
        </w:tc>
      </w:tr>
      <w:tr>
        <w:tc>
          <w:tcPr>
            <w:tcW w:type="dxa" w:w="3800"/>
            <w:tcMar>
              <w:top w:type="dxa" w:w="60"/>
              <w:left w:type="dxa" w:w="100"/>
              <w:bottom w:type="dxa" w:w="60"/>
              <w:right w:type="dxa" w:w="100"/>
            </w:tcMar>
            <w:vAlign w:val="center"/>
          </w:tcPr>
          <w:p>
            <w:pPr>
              <w:jc w:val="left"/>
            </w:pPr>
            <w:r>
              <w:rPr>
                <w:b w:val="false"/>
                <w:bCs w:val="false"/>
                <w:color w:val="000000"/>
                <w:sz w:val="18"/>
                <w:szCs w:val="18"/>
              </w:rPr>
              <w:t xml:space="preserve">L.I.M ZT Flex Pant (Women)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0.06M</w:t>
            </w:r>
          </w:p>
        </w:tc>
        <w:tc>
          <w:tcPr>
            <w:tcW w:type="dxa" w:w="1800"/>
            <w:tcMar>
              <w:top w:type="dxa" w:w="60"/>
              <w:left w:type="dxa" w:w="100"/>
              <w:bottom w:type="dxa" w:w="60"/>
              <w:right w:type="dxa" w:w="100"/>
            </w:tcMar>
            <w:vAlign w:val="center"/>
          </w:tcPr>
          <w:p>
            <w:pPr>
              <w:jc w:val="center"/>
            </w:pPr>
            <w:r>
              <w:rPr>
                <w:b w:val="false"/>
                <w:bCs w:val="false"/>
                <w:color w:val="000000"/>
                <w:sz w:val="18"/>
                <w:szCs w:val="18"/>
              </w:rPr>
              <w:t xml:space="preserve">53</w:t>
            </w:r>
          </w:p>
        </w:tc>
      </w:tr>
      <w:tr>
        <w:tc>
          <w:tcPr>
            <w:tcW w:type="dxa" w:w="38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Mimic BarrierVest (Men)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0.05M</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97</w:t>
            </w:r>
          </w:p>
        </w:tc>
      </w:tr>
      <w:tr>
        <w:tc>
          <w:tcPr>
            <w:tcW w:type="dxa" w:w="3800"/>
            <w:tcMar>
              <w:top w:type="dxa" w:w="60"/>
              <w:left w:type="dxa" w:w="100"/>
              <w:bottom w:type="dxa" w:w="60"/>
              <w:right w:type="dxa" w:w="100"/>
            </w:tcMar>
            <w:vAlign w:val="center"/>
          </w:tcPr>
          <w:p>
            <w:pPr>
              <w:jc w:val="left"/>
            </w:pPr>
            <w:r>
              <w:rPr>
                <w:b w:val="false"/>
                <w:bCs w:val="false"/>
                <w:color w:val="000000"/>
                <w:sz w:val="18"/>
                <w:szCs w:val="18"/>
              </w:rPr>
              <w:t xml:space="preserve">L.I.M ZT Breathe Insulated Jacket Wom (Unisex)</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0.05M</w:t>
            </w:r>
          </w:p>
        </w:tc>
        <w:tc>
          <w:tcPr>
            <w:tcW w:type="dxa" w:w="1800"/>
            <w:tcMar>
              <w:top w:type="dxa" w:w="60"/>
              <w:left w:type="dxa" w:w="100"/>
              <w:bottom w:type="dxa" w:w="60"/>
              <w:right w:type="dxa" w:w="100"/>
            </w:tcMar>
            <w:vAlign w:val="center"/>
          </w:tcPr>
          <w:p>
            <w:pPr>
              <w:jc w:val="center"/>
            </w:pPr>
            <w:r>
              <w:rPr>
                <w:b w:val="false"/>
                <w:bCs w:val="false"/>
                <w:color w:val="000000"/>
                <w:sz w:val="18"/>
                <w:szCs w:val="18"/>
              </w:rPr>
              <w:t xml:space="preserve">56</w:t>
            </w:r>
          </w:p>
        </w:tc>
      </w:tr>
      <w:tr>
        <w:tc>
          <w:tcPr>
            <w:tcW w:type="dxa" w:w="38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Proof Jacket (Women)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0.05M</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w:t>
            </w:r>
          </w:p>
        </w:tc>
      </w:tr>
    </w:tbl>
    <w:p>
      <w:pPr>
        <w:spacing w:after="200"/>
      </w:pPr>
      <w:r>
        <w:rPr>
          <w:i/>
          <w:iCs/>
          <w:color w:val="555555"/>
          <w:sz w:val="18"/>
          <w:szCs w:val="18"/>
        </w:rPr>
        <w:t xml:space="preserve">All 84 have zero 2024 sales and are below the 100-unit real-trading threshold in 2025 — consistent with genuinely new, still-ramping styles rather than misclassified continuing product.</w:t>
      </w:r>
    </w:p>
    <w:p>
      <w:pPr>
        <w:spacing w:after="80" w:before="160"/>
      </w:pPr>
      <w:r>
        <w:rPr>
          <w:b/>
          <w:bCs/>
          <w:i/>
          <w:iCs/>
          <w:color w:val="444444"/>
          <w:sz w:val="21"/>
          <w:szCs w:val="21"/>
        </w:rPr>
        <w:t xml:space="preserve">Actually alive in outlet — account deep-dive (the 40.2M SEK special-account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8"/>
                <w:szCs w:val="18"/>
              </w:rPr>
              <w:t xml:space="preserve">Account</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2025 Special-Acct Sales (this segment)</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XXL SE</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20.5M</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XXL NO</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11.8M</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5.6M</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ZALANDO</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2.0M</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STADIUM Outlet</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0.3M</w:t>
            </w:r>
          </w:p>
        </w:tc>
      </w:tr>
    </w:tbl>
    <w:p>
      <w:pPr>
        <w:pBdr>
          <w:left w:val="single" w:color="3C8A4C" w:sz="18"/>
        </w:pBdr>
        <w:shd w:fill="EAF3EA" w:val="clear"/>
        <w:spacing w:after="120" w:before="100"/>
        <w:ind w:left="150" w:right="100"/>
      </w:pPr>
      <w:r>
        <w:rPr>
          <w:b/>
          <w:bCs/>
          <w:color w:val="1F5C2E"/>
        </w:rPr>
        <w:t xml:space="preserve">DATA SHOWS: </w:t>
      </w:r>
      <w:r>
        <w:t xml:space="preserve">81.5% of this segment's outlet revenue (32.3M of 40.2M) sits in the two XXL accounts specifically, which are both in planned wind-down (per config.py's account-context notes). This 40.2M SEK is real today but is not a stable, defensible revenue base going forward — most of it depends on an account relationship that is being deliberately exited. The re-tagging recommendation (NOT a kill candidate) is correct for 2025 reporting purposes, but the medium-term outlook for this specific 81-franchise group should not be read as safe.</w:t>
      </w:r>
    </w:p>
    <w:p>
      <w:pPr>
        <w:pStyle w:val="Heading2"/>
        <w:spacing w:after="120" w:before="240"/>
      </w:pPr>
      <w:r>
        <w:t xml:space="preserve">1.4 Cross-Tier FW27 Confirm-or-Exit List (211 franchises, 87.4M SEK)</w:t>
      </w:r>
    </w:p>
    <w:p>
      <w:pPr>
        <w:spacing w:after="160"/>
      </w:pPr>
      <w:r>
        <w:t xml:space="preserve">The single most time-sensitive list in this pack. Every Problem Child, Harvest and Workhorse franchise was checked against the Assortment Attribution Review for a confirmed FW27 continuation. These 211 franchises — split across three tiers with very different underlying stories — have none found.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550"/>
        <w:gridCol w:w="500"/>
        <w:gridCol w:w="1300"/>
        <w:gridCol w:w="4300"/>
      </w:tblGrid>
      <w:tr>
        <w:trPr>
          <w:tblHeader/>
        </w:trPr>
        <w:tc>
          <w:tcPr>
            <w:tcW w:type="dxa" w:w="1700"/>
            <w:shd w:fill="2F2F2F" w:val="clear"/>
            <w:tcMar>
              <w:top w:type="dxa" w:w="60"/>
              <w:left w:type="dxa" w:w="100"/>
              <w:bottom w:type="dxa" w:w="60"/>
              <w:right w:type="dxa" w:w="100"/>
            </w:tcMar>
            <w:vAlign w:val="center"/>
          </w:tcPr>
          <w:p>
            <w:pPr>
              <w:jc w:val="left"/>
            </w:pPr>
            <w:r>
              <w:rPr>
                <w:b/>
                <w:bCs/>
                <w:color w:val="FFFFFF"/>
                <w:sz w:val="18"/>
                <w:szCs w:val="18"/>
              </w:rPr>
              <w:t xml:space="preserve">Source tier</w:t>
            </w:r>
          </w:p>
        </w:tc>
        <w:tc>
          <w:tcPr>
            <w:tcW w:type="dxa" w:w="1550"/>
            <w:shd w:fill="2F2F2F" w:val="clear"/>
            <w:tcMar>
              <w:top w:type="dxa" w:w="60"/>
              <w:left w:type="dxa" w:w="100"/>
              <w:bottom w:type="dxa" w:w="60"/>
              <w:right w:type="dxa" w:w="100"/>
            </w:tcMar>
            <w:vAlign w:val="center"/>
          </w:tcPr>
          <w:p>
            <w:pPr>
              <w:jc w:val="center"/>
            </w:pPr>
            <w:r>
              <w:rPr>
                <w:b/>
                <w:bCs/>
                <w:color w:val="FFFFFF"/>
                <w:sz w:val="18"/>
                <w:szCs w:val="18"/>
              </w:rPr>
              <w:t xml:space="preserve">Growth direction</w:t>
            </w:r>
          </w:p>
        </w:tc>
        <w:tc>
          <w:tcPr>
            <w:tcW w:type="dxa" w:w="5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43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Harvest</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Flat/declining</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94</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31.5M</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Consistent with the broader Harvest decline — plausibly a deliberate range cut</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Workhorse</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Growing</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26.9M</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HIGHEST URGENCY — a working, growing product with apparently no FW27 plan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Workhorse</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Flat/declining</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13.6M</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Lower urgency — declining anyway, exit is plausibly already the right call</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Problem Child</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Growing</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10.8M</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Growing despite a margin problem — worth checking if it's a pricing fix, not an exit</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Problem Child</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Flat/declining</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4.6M</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Lowest urgency — declining and already a margin problem, exit is plausibly correct</w:t>
            </w:r>
          </w:p>
        </w:tc>
      </w:tr>
    </w:tbl>
    <w:p>
      <w:pPr>
        <w:spacing w:after="160"/>
      </w:pPr>
      <w:r>
        <w:t xml:space="preserve">Of the 70 growing-but-unconfirmed franchises (50 Workhorse + 20 Problem Child), 42 are flagged as the highest-priority subset in the backup workbook ('PRIORITY - Growing, no plan' sheet) — these are the ones worth raising by name at the workshop, not the full 70.</w:t>
      </w:r>
    </w:p>
    <w:p>
      <w:pPr>
        <w:pBdr>
          <w:left w:val="single" w:color="B23A3A" w:sz="18"/>
        </w:pBdr>
        <w:shd w:fill="FBE7E7" w:val="clear"/>
        <w:spacing w:after="120" w:before="100"/>
        <w:ind w:left="150" w:right="100"/>
      </w:pPr>
      <w:r>
        <w:rPr>
          <w:b/>
          <w:bCs/>
          <w:color w:val="7A1F1F"/>
        </w:rPr>
        <w:t xml:space="preserve">METHODOLOGY FLAG: </w:t>
      </w:r>
      <w:r>
        <w:t xml:space="preserve">Two checks were requested on this list and neither is fully answerable from the data available for this engagement: (1) whether any of these 211 are a genuine product substitution (an unrelated-name successor already covered elsewhere in FW27) rather than a true exit — the franchise-matching logic already collapses version-token successors (II, 2.0) into the same franchise, so this list is not simply missing next-gen versions under the same name, but a genuine rename to an unrelated name would not be caught; and (2) whether any continue in an SS27/SS28 (Spring/Summer) assortment instead — only the FW27 (Fall/Winter) assortment file was supplied for this engagement, so no Spring/Summer cross-check is possible. Both need a manual Product/Merchandising check on this specific 211-franchise list before it is treated as a confirmed exit list.</w:t>
      </w:r>
    </w:p>
    <w:p>
      <w:pPr>
        <w:pStyle w:val="Heading2"/>
        <w:spacing w:after="120" w:before="240"/>
      </w:pPr>
      <w:r>
        <w:t xml:space="preserve">1.5 Five Cross-Tier Levers: Reorganizing the Tier Findings into an Action Framework</w:t>
      </w:r>
    </w:p>
    <w:p>
      <w:pPr>
        <w:spacing w:after="160"/>
      </w:pPr>
      <w:r>
        <w:t xml:space="preserve">The eight diagnostic tiers above answer 'what is this franchise.' The five levers below answer 'what do we do about it' — because the same action (a pricing fix, a channel-distribution push, an FW27 decision) recurs across multiple tiers, and the workshop will move faster organized this way than tier-by-tier.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350"/>
        <w:gridCol w:w="700"/>
        <w:gridCol w:w="1300"/>
      </w:tblGrid>
      <w:tr>
        <w:trPr>
          <w:tblHeader/>
        </w:trPr>
        <w:tc>
          <w:tcPr>
            <w:tcW w:type="dxa" w:w="2000"/>
            <w:shd w:fill="2F2F2F" w:val="clear"/>
            <w:tcMar>
              <w:top w:type="dxa" w:w="60"/>
              <w:left w:type="dxa" w:w="100"/>
              <w:bottom w:type="dxa" w:w="60"/>
              <w:right w:type="dxa" w:w="100"/>
            </w:tcMar>
            <w:vAlign w:val="center"/>
          </w:tcPr>
          <w:p>
            <w:pPr>
              <w:jc w:val="left"/>
            </w:pPr>
            <w:r>
              <w:rPr>
                <w:b/>
                <w:bCs/>
                <w:color w:val="FFFFFF"/>
                <w:sz w:val="18"/>
                <w:szCs w:val="18"/>
              </w:rPr>
              <w:t xml:space="preserve">Lever</w:t>
            </w:r>
          </w:p>
        </w:tc>
        <w:tc>
          <w:tcPr>
            <w:tcW w:type="dxa" w:w="3350"/>
            <w:shd w:fill="2F2F2F" w:val="clear"/>
            <w:tcMar>
              <w:top w:type="dxa" w:w="60"/>
              <w:left w:type="dxa" w:w="100"/>
              <w:bottom w:type="dxa" w:w="60"/>
              <w:right w:type="dxa" w:w="100"/>
            </w:tcMar>
            <w:vAlign w:val="center"/>
          </w:tcPr>
          <w:p>
            <w:pPr>
              <w:jc w:val="center"/>
            </w:pPr>
            <w:r>
              <w:rPr>
                <w:b/>
                <w:bCs/>
                <w:color w:val="FFFFFF"/>
                <w:sz w:val="18"/>
                <w:szCs w:val="18"/>
              </w:rPr>
              <w:t xml:space="preserve">Where it comes from</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SEK</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1. Core pricing/margin discipline</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Problem Child — Core Pricing Fix (1.3.2)</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129</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88.5M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2. FW27 confirm-or-exit</w:t>
            </w:r>
          </w:p>
        </w:tc>
        <w:tc>
          <w:tcPr>
            <w:tcW w:type="dxa" w:w="3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Problem Child + Harvest + Workhorse, no FW27 match (1.4)</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211</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87.4M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3. Wholesale distribution expansion</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Workhorse scale-up shortlist, WS-lever franchises (1.3.3)</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21</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of 22.5M shortlist</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4. DTC content/marketing investment</w:t>
            </w:r>
          </w:p>
        </w:tc>
        <w:tc>
          <w:tcPr>
            <w:tcW w:type="dxa" w:w="3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Workhorse scale-up shortlist, DTC-lever franchises (1.3.3)</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of 22.5M shortlist</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5. Outlet/special-account re-tagging (not a 'fix' — a reclassification)</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Problem Child Outlet-Migrated (6.3M) + Thin Alive-in-outlet (2.1M core / 40.2M special)</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103</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8.4M core / 40.2M special</w:t>
            </w:r>
          </w:p>
        </w:tc>
      </w:tr>
    </w:tbl>
    <w:p>
      <w:pPr>
        <w:pStyle w:val="ListParagraph"/>
        <w:numPr>
          <w:ilvl w:val="0"/>
          <w:numId w:val="2"/>
        </w:numPr>
        <w:spacing w:after="80"/>
      </w:pPr>
      <w:r>
        <w:t xml:space="preserve">Levers 1 and 2 are the two big-ticket items (88.5M and 87.4M SEK respectively) and should anchor the workshop discussion — both are concentrated, well-defined lists ready for named-owner follow-up, not open-ended investigations.</w:t>
      </w:r>
    </w:p>
    <w:p>
      <w:pPr>
        <w:pStyle w:val="ListParagraph"/>
        <w:numPr>
          <w:ilvl w:val="0"/>
          <w:numId w:val="2"/>
        </w:numPr>
        <w:spacing w:after="80"/>
      </w:pPr>
      <w:r>
        <w:t xml:space="preserve">Levers 3-4 are smaller in SEK today (22.5M current sales across 31 franchises, corrected from an earlier 57-franchise/21.9M-SEK vintage — see 1.3.3) but have a genuinely sizeable gap to close (39.5M SEK to cross the 2M-SEK threshold, not the 1.85M previously stated) and are the cleanest 'quick win' in relative terms — each franchise already works in one channel, this is a distribution/marketing execution question, not a product-market-fit question.</w:t>
      </w:r>
    </w:p>
    <w:p>
      <w:pPr>
        <w:pStyle w:val="ListParagraph"/>
        <w:numPr>
          <w:ilvl w:val="0"/>
          <w:numId w:val="2"/>
        </w:numPr>
        <w:spacing w:after="80"/>
      </w:pPr>
      <w:r>
        <w:t xml:space="preserve">Lever 5 is explicitly NOT a discount-discipline problem — it is a mis-tagging problem. 8.4M SEK of core-scope sales and 40.2M SEK of special-account sales are being judged against core-channel margin/growth norms when they are structurally outlet product. Fixing the tagging (not the pricing) is the correct action. (Reconciles cleanly: 103 = 22 Problem Child outlet-migrated + 81 Thin alive-in-outlet; 8.4M = 6.3M + 2.1M; 40.2M matches the Thin segment's special-account sales exactly.)</w:t>
      </w:r>
    </w:p>
    <w:p>
      <w:pPr>
        <w:pStyle w:val="ListParagraph"/>
        <w:numPr>
          <w:ilvl w:val="0"/>
          <w:numId w:val="2"/>
        </w:numPr>
        <w:spacing w:after="80"/>
      </w:pPr>
      <w:r>
        <w:t xml:space="preserve">Not yet a lever, deliberately: New/Test (1.3.5) and Harvest's non-FW27-gap remainder (1.4) both need a person, not a rule — a launch-review checkpoint and a range-planning reconciliation respectively — a process ask for the relevant owners, not a SEK-sized lever.</w:t>
      </w:r>
    </w:p>
    <w:p>
      <w:pPr>
        <w:pStyle w:val="Heading2"/>
        <w:spacing w:after="120" w:before="240"/>
      </w:pPr>
      <w:r>
        <w:t xml:space="preserve">1.6 Open Questions for Stakeholders</w:t>
      </w:r>
    </w:p>
    <w:p>
      <w:pPr>
        <w:spacing w:after="160"/>
      </w:pPr>
      <w:r>
        <w:t xml:space="preserve">Consolidated from the boxes above, for use as a pre-read distribution list before the workshop: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
        <w:gridCol w:w="6250"/>
        <w:gridCol w:w="2700"/>
      </w:tblGrid>
      <w:tr>
        <w:trPr>
          <w:tblHeader/>
        </w:trPr>
        <w:tc>
          <w:tcPr>
            <w:tcW w:type="dxa" w:w="400"/>
            <w:shd w:fill="2F2F2F" w:val="clear"/>
            <w:tcMar>
              <w:top w:type="dxa" w:w="60"/>
              <w:left w:type="dxa" w:w="100"/>
              <w:bottom w:type="dxa" w:w="60"/>
              <w:right w:type="dxa" w:w="100"/>
            </w:tcMar>
            <w:vAlign w:val="center"/>
          </w:tcPr>
          <w:p>
            <w:pPr>
              <w:jc w:val="left"/>
            </w:pPr>
            <w:r>
              <w:rPr>
                <w:b/>
                <w:bCs/>
                <w:color w:val="FFFFFF"/>
                <w:sz w:val="18"/>
                <w:szCs w:val="18"/>
              </w:rPr>
              <w:t xml:space="preserve">#</w:t>
            </w:r>
          </w:p>
        </w:tc>
        <w:tc>
          <w:tcPr>
            <w:tcW w:type="dxa" w:w="6250"/>
            <w:shd w:fill="2F2F2F" w:val="clear"/>
            <w:tcMar>
              <w:top w:type="dxa" w:w="60"/>
              <w:left w:type="dxa" w:w="100"/>
              <w:bottom w:type="dxa" w:w="60"/>
              <w:right w:type="dxa" w:w="100"/>
            </w:tcMar>
            <w:vAlign w:val="center"/>
          </w:tcPr>
          <w:p>
            <w:pPr>
              <w:jc w:val="center"/>
            </w:pPr>
            <w:r>
              <w:rPr>
                <w:b/>
                <w:bCs/>
                <w:color w:val="FFFFFF"/>
                <w:sz w:val="18"/>
                <w:szCs w:val="18"/>
              </w:rPr>
              <w:t xml:space="preserve">Question</w:t>
            </w:r>
          </w:p>
        </w:tc>
        <w:tc>
          <w:tcPr>
            <w:tcW w:type="dxa" w:w="2700"/>
            <w:shd w:fill="2F2F2F" w:val="clear"/>
            <w:tcMar>
              <w:top w:type="dxa" w:w="60"/>
              <w:left w:type="dxa" w:w="100"/>
              <w:bottom w:type="dxa" w:w="60"/>
              <w:right w:type="dxa" w:w="100"/>
            </w:tcMar>
            <w:vAlign w:val="center"/>
          </w:tcPr>
          <w:p>
            <w:pPr>
              <w:jc w:val="center"/>
            </w:pPr>
            <w:r>
              <w:rPr>
                <w:b/>
                <w:bCs/>
                <w:color w:val="FFFFFF"/>
                <w:sz w:val="18"/>
                <w:szCs w:val="18"/>
              </w:rPr>
              <w:t xml:space="preserve">Owner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1</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For the 218 substitution-pattern franchises — is the Wholesale decline a distribution pull-back, a sell-through problem, or genuine channel preference?</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Wholesale Director / Merchandising Director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2</w:t>
            </w:r>
          </w:p>
        </w:tc>
        <w:tc>
          <w:tcPr>
            <w:tcW w:type="dxa" w:w="6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Should the 34-franchise Hero/Near-Hero list become the formal basis for marketing/content investment prioritization?</w:t>
            </w:r>
          </w:p>
        </w:tc>
        <w:tc>
          <w:tcPr>
            <w:tcW w:type="dxa" w:w="2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CEO / Brand &amp; Marketing Director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3</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For the 129 Core Pricing Fix franchises — pricing, cost, or exit, per franchise/layer?</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CPO / Merchandising Director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4</w:t>
            </w:r>
          </w:p>
        </w:tc>
        <w:tc>
          <w:tcPr>
            <w:tcW w:type="dxa" w:w="6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For the 21 franchises needing Wholesale distribution (corrected from 39 — see 1.3.3) — listing/account gap, or genuine lack of buyer interest?</w:t>
            </w:r>
          </w:p>
        </w:tc>
        <w:tc>
          <w:tcPr>
            <w:tcW w:type="dxa" w:w="2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Wholesale Director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5</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For the 18-franchise DTC-content-lever shortlist from the Workhorse scale-up list — to confirm the list and push the marketing?</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Merchandising Director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6</w:t>
            </w:r>
          </w:p>
        </w:tc>
        <w:tc>
          <w:tcPr>
            <w:tcW w:type="dxa" w:w="6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For the 142 Harvest franchises confirmed continuing in FW27 despite decline — deliberate keeps or unreviewed?</w:t>
            </w:r>
          </w:p>
        </w:tc>
        <w:tc>
          <w:tcPr>
            <w:tcW w:type="dxa" w:w="2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FW27 range-planning owner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7</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Is there appetite to batch-close ~620 dead Thin-tier SKUs for catalog hygiene, independent of the immaterial P&amp;L impact?</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Article master/catalog system owner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8</w:t>
            </w:r>
          </w:p>
        </w:tc>
        <w:tc>
          <w:tcPr>
            <w:tcW w:type="dxa" w:w="6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For the 211-franchise FW27 gap list — how many are already-made range decisions vs. genuine gaps, especially the 42 highest-priority growing-with-no-plan franchises?</w:t>
            </w:r>
          </w:p>
        </w:tc>
        <w:tc>
          <w:tcPr>
            <w:tcW w:type="dxa" w:w="2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FW27 range-planning owner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9</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Is there a formal post-launch review checkpoint for New/Test styles today, or should the Tier-1 scorecard become that process?</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CPO / Merchandising Director</w:t>
            </w:r>
          </w:p>
        </w:tc>
      </w:tr>
    </w:tbl>
    <w:p>
      <w:r>
        <w:br w:type="page"/>
      </w:r>
    </w:p>
    <w:p>
      <w:pPr>
        <w:pStyle w:val="Heading1"/>
        <w:spacing w:after="160" w:before="320"/>
      </w:pPr>
      <w:r>
        <w:t xml:space="preserve">2. Wholesale: Increase the Share of Reorder / ABS as a Negotiation Lever</w:t>
      </w:r>
    </w:p>
    <w:p>
      <w:pPr>
        <w:spacing w:after="160"/>
      </w:pPr>
      <w:r>
        <w:t xml:space="preserve">Premise in the original draft: Reorder is higher-margin than Preorder 'in theory.' Risk noted: high Preorder gives demand stability; Reorder is forecast-based and carries real inventory risk. Proposed approach: selectively grow Reorder on NOS (never-out-of-stock) items only, with supply-planning support.</w:t>
      </w:r>
    </w:p>
    <w:p>
      <w:pPr>
        <w:pStyle w:val="Heading2"/>
        <w:spacing w:after="120" w:before="240"/>
      </w:pPr>
      <w:r>
        <w:t xml:space="preserve">2.1 Account-Level Preorder/Reorder/Closeout Overview (2025, sales-ordered)</w:t>
      </w:r>
    </w:p>
    <w:p>
      <w:pPr>
        <w:spacing w:after="160"/>
      </w:pPr>
      <w:r>
        <w:t xml:space="preserve">All 498 Wholesale accounts were split by ordertype. Top 10 by 2025 total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2000"/>
        <w:gridCol w:w="2000"/>
        <w:gridCol w:w="2250"/>
      </w:tblGrid>
      <w:tr>
        <w:trPr>
          <w:tblHeader/>
        </w:trPr>
        <w:tc>
          <w:tcPr>
            <w:tcW w:type="dxa" w:w="1750"/>
            <w:shd w:fill="2F2F2F" w:val="clear"/>
            <w:tcMar>
              <w:top w:type="dxa" w:w="60"/>
              <w:left w:type="dxa" w:w="100"/>
              <w:bottom w:type="dxa" w:w="60"/>
              <w:right w:type="dxa" w:w="100"/>
            </w:tcMar>
            <w:vAlign w:val="center"/>
          </w:tcPr>
          <w:p>
            <w:pPr>
              <w:jc w:val="left"/>
            </w:pPr>
            <w:r>
              <w:rPr>
                <w:b/>
                <w:bCs/>
                <w:color w:val="FFFFFF"/>
                <w:sz w:val="18"/>
                <w:szCs w:val="18"/>
              </w:rPr>
              <w:t xml:space="preserve">Account</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Total Sales</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Preorder (GM%)</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Reorder (GM%)</w:t>
            </w:r>
          </w:p>
        </w:tc>
        <w:tc>
          <w:tcPr>
            <w:tcW w:type="dxa" w:w="2250"/>
            <w:shd w:fill="2F2F2F" w:val="clear"/>
            <w:tcMar>
              <w:top w:type="dxa" w:w="60"/>
              <w:left w:type="dxa" w:w="100"/>
              <w:bottom w:type="dxa" w:w="60"/>
              <w:right w:type="dxa" w:w="100"/>
            </w:tcMar>
            <w:vAlign w:val="center"/>
          </w:tcPr>
          <w:p>
            <w:pPr>
              <w:jc w:val="center"/>
            </w:pPr>
            <w:r>
              <w:rPr>
                <w:b/>
                <w:bCs/>
                <w:color w:val="FFFFFF"/>
                <w:sz w:val="18"/>
                <w:szCs w:val="18"/>
              </w:rPr>
              <w:t xml:space="preserve">Closeout (GM%)</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XXL SE</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81.9M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70.6M (38.3%)</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0.01M (7.4%)</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11.3M (-18.0%)</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Intersport</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79.9M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66.2M (46.1%)</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9.1M (38.5%)</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4.7M (37.5%)</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Zalando</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52.5M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10.1M (67.9%)</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0.4M (noise)</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42.1M (27.4%)</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49.1M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47.2M (10.6%)</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1.9M (11.1%)</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XXL NO</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33.7M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26.3M (44.0%)</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7.4M (-20.8%)</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Outnorth</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30.8M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26.8M (44.3%)</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3.7M (45.4%)</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0.4M (34.9%)</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Eventyr Sport</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26.7M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23.2M (53.3%)</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2.3M (30.6%)</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1.2M (loss)</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RCT Japan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21.1M (40.3%)</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0.06M (40.1%)</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SGN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17.9M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14.2M (46.4%)</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2.6M (45.3%)</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1.1M (26.6%)</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Mega Sport</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15.7M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12.1M (35.2%)</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3.6M (30.8%)</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r>
    </w:tbl>
    <w:p>
      <w:pPr>
        <w:spacing w:after="200"/>
      </w:pPr>
      <w:r>
        <w:rPr>
          <w:i/>
          <w:iCs/>
          <w:color w:val="555555"/>
          <w:sz w:val="18"/>
          <w:szCs w:val="18"/>
        </w:rPr>
        <w:t xml:space="preserve">Full 498-account table in the backup workbook, sheet 'Account Overview (all 498, 2025)'.</w:t>
      </w:r>
    </w:p>
    <w:p>
      <w:pPr>
        <w:pStyle w:val="ListParagraph"/>
        <w:numPr>
          <w:ilvl w:val="0"/>
          <w:numId w:val="2"/>
        </w:numPr>
        <w:spacing w:after="80"/>
      </w:pPr>
      <w:r>
        <w:t xml:space="preserve">The theory that Reorder margin should exceed Preorder margin does not hold in FY2025: company-wide, Preorder GM% is 40.9% vs. Reorder GM% 38.7% — a 2.2pt gap in the 'wrong' direction. It persists even after excluding special accounts (44.9% vs. 43.4%).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2000"/>
        <w:gridCol w:w="2000"/>
        <w:gridCol w:w="2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Scope</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Preorder GM%</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Reorder GM%</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Gap</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All Wholesale accounts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40.9%</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38.7%</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Reorder -2.2pt</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Core only (ex XXL/Zalando/China/Stadium)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44.9%</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43.4%</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Reorder -1.5pt</w:t>
            </w:r>
          </w:p>
        </w:tc>
      </w:tr>
    </w:tbl>
    <w:p>
      <w:pPr>
        <w:spacing w:after="160"/>
      </w:pPr>
      <w:r>
        <w:t xml:space="preserve">The margin gap holds with and without special accounts — it is not an artifact of them. This is consistent with, and a level-based confirmation of, the Topic 2 finding that Reorder ASP declined more than Preorder ASP (-8.3% vs. -4.4% YoY). If Reorder pricing/allocation is being treated as an afterthought rather than a deliberate, planned top-up, that would explain both findings together.</w:t>
      </w:r>
    </w:p>
    <w:p>
      <w:pPr>
        <w:pBdr>
          <w:left w:val="single" w:color="2E8FB5" w:sz="18"/>
        </w:pBdr>
        <w:shd w:fill="E3F1F7" w:val="clear"/>
        <w:spacing w:after="120" w:before="100"/>
        <w:ind w:left="150" w:right="100"/>
      </w:pPr>
      <w:r>
        <w:rPr>
          <w:b/>
          <w:bCs/>
          <w:color w:val="0F5C7A"/>
        </w:rPr>
        <w:t xml:space="preserve">2026 YTD ADDED: </w:t>
      </w:r>
      <w:r>
        <w:t xml:space="preserve">The FY2025 finding reverses in YTD2026: core Wholesale Reorder GM% (48.5%) is now ABOVE Preorder GM% (47.9%) for the first time — a +0.6pt gap in the theorized direction, versus FY2025's -1.5pt gap. Core Wholesale ordertype mix, FY2025 vs. YTD2026: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850"/>
        <w:gridCol w:w="1850"/>
        <w:gridCol w:w="1850"/>
        <w:gridCol w:w="1900"/>
      </w:tblGrid>
      <w:tr>
        <w:trPr>
          <w:tblHeader/>
        </w:trPr>
        <w:tc>
          <w:tcPr>
            <w:tcW w:type="dxa" w:w="1900"/>
            <w:shd w:fill="2F2F2F" w:val="clear"/>
            <w:tcMar>
              <w:top w:type="dxa" w:w="60"/>
              <w:left w:type="dxa" w:w="100"/>
              <w:bottom w:type="dxa" w:w="60"/>
              <w:right w:type="dxa" w:w="100"/>
            </w:tcMar>
            <w:vAlign w:val="center"/>
          </w:tcPr>
          <w:p>
            <w:pPr>
              <w:jc w:val="left"/>
            </w:pPr>
            <w:r>
              <w:rPr>
                <w:b/>
                <w:bCs/>
                <w:color w:val="FFFFFF"/>
                <w:sz w:val="18"/>
                <w:szCs w:val="18"/>
              </w:rPr>
              <w:t xml:space="preserve">Ordertype</w:t>
            </w:r>
          </w:p>
        </w:tc>
        <w:tc>
          <w:tcPr>
            <w:tcW w:type="dxa" w:w="1850"/>
            <w:shd w:fill="2F2F2F" w:val="clear"/>
            <w:tcMar>
              <w:top w:type="dxa" w:w="60"/>
              <w:left w:type="dxa" w:w="100"/>
              <w:bottom w:type="dxa" w:w="60"/>
              <w:right w:type="dxa" w:w="100"/>
            </w:tcMar>
            <w:vAlign w:val="center"/>
          </w:tcPr>
          <w:p>
            <w:pPr>
              <w:jc w:val="center"/>
            </w:pPr>
            <w:r>
              <w:rPr>
                <w:b/>
                <w:bCs/>
                <w:color w:val="FFFFFF"/>
                <w:sz w:val="18"/>
                <w:szCs w:val="18"/>
              </w:rPr>
              <w:t xml:space="preserve">FY2025 mix</w:t>
            </w:r>
          </w:p>
        </w:tc>
        <w:tc>
          <w:tcPr>
            <w:tcW w:type="dxa" w:w="1850"/>
            <w:shd w:fill="2F2F2F" w:val="clear"/>
            <w:tcMar>
              <w:top w:type="dxa" w:w="60"/>
              <w:left w:type="dxa" w:w="100"/>
              <w:bottom w:type="dxa" w:w="60"/>
              <w:right w:type="dxa" w:w="100"/>
            </w:tcMar>
            <w:vAlign w:val="center"/>
          </w:tcPr>
          <w:p>
            <w:pPr>
              <w:jc w:val="center"/>
            </w:pPr>
            <w:r>
              <w:rPr>
                <w:b/>
                <w:bCs/>
                <w:color w:val="FFFFFF"/>
                <w:sz w:val="18"/>
                <w:szCs w:val="18"/>
              </w:rPr>
              <w:t xml:space="preserve">FY2025 GM%</w:t>
            </w:r>
          </w:p>
        </w:tc>
        <w:tc>
          <w:tcPr>
            <w:tcW w:type="dxa" w:w="1850"/>
            <w:shd w:fill="2F2F2F" w:val="clear"/>
            <w:tcMar>
              <w:top w:type="dxa" w:w="60"/>
              <w:left w:type="dxa" w:w="100"/>
              <w:bottom w:type="dxa" w:w="60"/>
              <w:right w:type="dxa" w:w="100"/>
            </w:tcMar>
            <w:vAlign w:val="center"/>
          </w:tcPr>
          <w:p>
            <w:pPr>
              <w:jc w:val="center"/>
            </w:pPr>
            <w:r>
              <w:rPr>
                <w:b/>
                <w:bCs/>
                <w:color w:val="FFFFFF"/>
                <w:sz w:val="18"/>
                <w:szCs w:val="18"/>
              </w:rPr>
              <w:t xml:space="preserve">YTD2026 mix</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YTD2026 GM%</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Preorder</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72.9%</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44.9%</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69.3%</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47.9%</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Reorder</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16.0%</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43.4%</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20.1%</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48.5%</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Closeout</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11.1%</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23.8%</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10.6%</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25.6%</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Blended</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42.3%</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45.6%</w:t>
            </w:r>
          </w:p>
        </w:tc>
      </w:tr>
    </w:tbl>
    <w:p>
      <w:pPr>
        <w:pBdr>
          <w:left w:val="single" w:color="3C8A4C" w:sz="18"/>
        </w:pBdr>
        <w:shd w:fill="EAF3EA" w:val="clear"/>
        <w:spacing w:after="120" w:before="100"/>
        <w:ind w:left="150" w:right="100"/>
      </w:pPr>
      <w:r>
        <w:rPr>
          <w:b/>
          <w:bCs/>
          <w:color w:val="1F5C2E"/>
        </w:rPr>
        <w:t xml:space="preserve">DATA SHOWS: </w:t>
      </w:r>
      <w:r>
        <w:t xml:space="preserve">Reorder mix is also growing (16.0% → 20.1% of core Wholesale), so the shift the original premise called for is already happening directionally in YTD2026, and for the first time it's happening on the 'right' side of the margin gap. Whether this is a durable repricing or a one-off mix effect (e.g. fewer distressed closeouts pulling the Reorder average up) needs another data cut once FY2026 is complete.</w:t>
      </w:r>
    </w:p>
    <w:p>
      <w:pPr>
        <w:pStyle w:val="Heading2"/>
        <w:spacing w:after="120" w:before="240"/>
      </w:pPr>
      <w:r>
        <w:t xml:space="preserve">2.2 Reorder Follow-Through: How Much Reorder Actually Follows Preorder</w:t>
      </w:r>
    </w:p>
    <w:p>
      <w:pPr>
        <w:pStyle w:val="ListParagraph"/>
        <w:numPr>
          <w:ilvl w:val="0"/>
          <w:numId w:val="2"/>
        </w:numPr>
        <w:spacing w:after="80"/>
      </w:pPr>
      <w:r>
        <w:t xml:space="preserve">Reorder follow-through is weak in aggregate: of 10,550 article-account combinations that received a Preorder in 2025, only 27.4% ever received any Reorder, and the Reorder SEK for that cohort is just 8.6% of the original Preorder SEK.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8"/>
                <w:szCs w:val="18"/>
              </w:rPr>
              <w:t xml:space="preserve">Metric</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Value</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Preordered article-account combinations (2025, Wholesale)</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10,550</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Of which also received a Reorder</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2,892 (27.4%)</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Total Preorder SEK for this cohort</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472.2M</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Total Reorder SEK for this cohort</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40.5M (8.6% of Preorder SEK)</w:t>
            </w:r>
          </w:p>
        </w:tc>
      </w:tr>
    </w:tbl>
    <w:p>
      <w:pPr>
        <w:spacing w:after="160"/>
      </w:pPr>
      <w:r>
        <w:t xml:space="preserve">This aggregate masks a sharp account-level split: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650"/>
      </w:tblGrid>
      <w:tr>
        <w:trPr>
          <w:tblHeader/>
        </w:trPr>
        <w:tc>
          <w:tcPr>
            <w:tcW w:type="dxa" w:w="2600"/>
            <w:shd w:fill="2F2F2F" w:val="clear"/>
            <w:tcMar>
              <w:top w:type="dxa" w:w="60"/>
              <w:left w:type="dxa" w:w="100"/>
              <w:bottom w:type="dxa" w:w="60"/>
              <w:right w:type="dxa" w:w="100"/>
            </w:tcMar>
            <w:vAlign w:val="center"/>
          </w:tcPr>
          <w:p>
            <w:pPr>
              <w:jc w:val="left"/>
            </w:pPr>
            <w:r>
              <w:rPr>
                <w:b/>
                <w:bCs/>
                <w:color w:val="FFFFFF"/>
                <w:sz w:val="18"/>
                <w:szCs w:val="18"/>
              </w:rPr>
              <w:t xml:space="preserve">Account type</w:t>
            </w:r>
          </w:p>
        </w:tc>
        <w:tc>
          <w:tcPr>
            <w:tcW w:type="dxa" w:w="2100"/>
            <w:shd w:fill="2F2F2F" w:val="clear"/>
            <w:tcMar>
              <w:top w:type="dxa" w:w="60"/>
              <w:left w:type="dxa" w:w="100"/>
              <w:bottom w:type="dxa" w:w="60"/>
              <w:right w:type="dxa" w:w="100"/>
            </w:tcMar>
            <w:vAlign w:val="center"/>
          </w:tcPr>
          <w:p>
            <w:pPr>
              <w:jc w:val="center"/>
            </w:pPr>
            <w:r>
              <w:rPr>
                <w:b/>
                <w:bCs/>
                <w:color w:val="FFFFFF"/>
                <w:sz w:val="18"/>
                <w:szCs w:val="18"/>
              </w:rPr>
              <w:t xml:space="preserve">Follow-through rate</w:t>
            </w:r>
          </w:p>
        </w:tc>
        <w:tc>
          <w:tcPr>
            <w:tcW w:type="dxa" w:w="4650"/>
            <w:shd w:fill="2F2F2F" w:val="clear"/>
            <w:tcMar>
              <w:top w:type="dxa" w:w="60"/>
              <w:left w:type="dxa" w:w="100"/>
              <w:bottom w:type="dxa" w:w="60"/>
              <w:right w:type="dxa" w:w="100"/>
            </w:tcMar>
            <w:vAlign w:val="center"/>
          </w:tcPr>
          <w:p>
            <w:pPr>
              <w:jc w:val="center"/>
            </w:pPr>
            <w:r>
              <w:rPr>
                <w:b/>
                <w:bCs/>
                <w:color w:val="FFFFFF"/>
                <w:sz w:val="18"/>
                <w:szCs w:val="18"/>
              </w:rPr>
              <w:t xml:space="preserve">Examples</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'Special' accounts (flagged in Items 1-4)</w:t>
            </w:r>
          </w:p>
        </w:tc>
        <w:tc>
          <w:tcPr>
            <w:tcW w:type="dxa" w:w="2100"/>
            <w:tcMar>
              <w:top w:type="dxa" w:w="60"/>
              <w:left w:type="dxa" w:w="100"/>
              <w:bottom w:type="dxa" w:w="60"/>
              <w:right w:type="dxa" w:w="100"/>
            </w:tcMar>
            <w:vAlign w:val="center"/>
          </w:tcPr>
          <w:p>
            <w:pPr>
              <w:jc w:val="center"/>
            </w:pPr>
            <w:r>
              <w:rPr>
                <w:b w:val="false"/>
                <w:bCs w:val="false"/>
                <w:color w:val="000000"/>
                <w:sz w:val="18"/>
                <w:szCs w:val="18"/>
              </w:rPr>
              <w:t xml:space="preserve">1-4% — essentially none</w:t>
            </w:r>
          </w:p>
        </w:tc>
        <w:tc>
          <w:tcPr>
            <w:tcW w:type="dxa" w:w="4650"/>
            <w:tcMar>
              <w:top w:type="dxa" w:w="60"/>
              <w:left w:type="dxa" w:w="100"/>
              <w:bottom w:type="dxa" w:w="60"/>
              <w:right w:type="dxa" w:w="100"/>
            </w:tcMar>
            <w:vAlign w:val="center"/>
          </w:tcPr>
          <w:p>
            <w:pPr>
              <w:jc w:val="center"/>
            </w:pPr>
            <w:r>
              <w:rPr>
                <w:b w:val="false"/>
                <w:bCs w:val="false"/>
                <w:color w:val="000000"/>
                <w:sz w:val="18"/>
                <w:szCs w:val="18"/>
              </w:rPr>
              <w:t xml:space="preserve">XXL SE 2.8%, XXL NO 4.2%, Zalando 1.3%, China 12.0%, RCT Japan 2.3%, Stadium 2.2%</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Genuine specialty-retail accounts</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40-85% — healthy</w:t>
            </w:r>
          </w:p>
        </w:tc>
        <w:tc>
          <w:tcPr>
            <w:tcW w:type="dxa" w:w="4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Intersport 85.0%, Mega Sport 68.0%, SGN 66.8%, Outnorth 63.6%, Scandinavian Outdoor 40.2%</w:t>
            </w:r>
          </w:p>
        </w:tc>
      </w:tr>
    </w:tbl>
    <w:p>
      <w:pPr>
        <w:spacing w:after="160"/>
      </w:pPr>
      <w:r>
        <w:t xml:space="preserve">Every account with near-zero follow-through is one already flagged as structurally different for other reasons (planned wind-down, outlet mechanism, cost-plus arrangement, distributor, unexplained volume push). The weak company-wide 27.4%/8.6% figures are being dragged down by these accounts, not by a broad failure of the reorder mechanism among normal specialty retailers. Intersport's 85% follow-through is the best available internal benchmark for what 'working' looks like.</w:t>
      </w:r>
    </w:p>
    <w:p>
      <w:pPr>
        <w:spacing w:after="160"/>
      </w:pPr>
      <w:r>
        <w:t xml:space="preserve">General sell-through-rate practice (70-80% healthy, 80%+ triggers reorder, &lt;60% triggers markdown) — Haglöfs' 27.4% follow-through implies most preordered styles are running well short of that zone. Recommend using Intersport as the internal benchmark rather than searching further for an external one.</w:t>
      </w:r>
    </w:p>
    <w:p>
      <w:pPr>
        <w:pStyle w:val="ListParagraph"/>
        <w:numPr>
          <w:ilvl w:val="0"/>
          <w:numId w:val="2"/>
        </w:numPr>
        <w:spacing w:after="80"/>
      </w:pPr>
      <w:r>
        <w:t xml:space="preserve">Reorder strength correlates meaningfully with DTC (Retail+E-com) presence: Spearman 0.67 on absolute SEK. Franchises with any DTC presence average a 0.17 Reorder/Preorder ratio; franchises with none average 0.008 — essentially zero.</w:t>
      </w:r>
    </w:p>
    <w:p>
      <w:pPr>
        <w:pBdr>
          <w:left w:val="single" w:color="2E8FB5" w:sz="18"/>
        </w:pBdr>
        <w:shd w:fill="E3F1F7" w:val="clear"/>
        <w:spacing w:after="120" w:before="100"/>
        <w:ind w:left="150" w:right="100"/>
      </w:pPr>
      <w:r>
        <w:rPr>
          <w:b/>
          <w:bCs/>
          <w:color w:val="0F5C7A"/>
        </w:rPr>
        <w:t xml:space="preserve">2026 YTD ADDED: </w:t>
      </w:r>
      <w:r>
        <w:t xml:space="preserve">YTD2026 follow-through is improving on both counts vs. FY2025 — company-wide 28.9% of preordered combinations also reordered (vs. 27.4% FY2025), and Reorder SEK is now 12.4% of Preorder SEK for that cohort (vs. 8.6% FY2025). Core-only (ex special accounts), the SEK-conversion improvement is sharper still: 14.3% YTD2026 vs. 12.4% FY2025. Early-stage and partial-year, but directionally the reorder mechanism is working better in 2026, not worse.</w:t>
      </w:r>
    </w:p>
    <w:p>
      <w:pPr>
        <w:pStyle w:val="Heading3"/>
        <w:spacing w:after="100" w:before="200"/>
      </w:pPr>
      <w:r>
        <w:t xml:space="preserve">Top 10 most-reordered franchises (2025, Wholesale)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2000"/>
        <w:gridCol w:w="2050"/>
      </w:tblGrid>
      <w:tr>
        <w:trPr>
          <w:tblHeader/>
        </w:trPr>
        <w:tc>
          <w:tcPr>
            <w:tcW w:type="dxa" w:w="33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Reorder SEK</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Preorder SEK</w:t>
            </w:r>
          </w:p>
        </w:tc>
        <w:tc>
          <w:tcPr>
            <w:tcW w:type="dxa" w:w="2050"/>
            <w:shd w:fill="2F2F2F" w:val="clear"/>
            <w:tcMar>
              <w:top w:type="dxa" w:w="60"/>
              <w:left w:type="dxa" w:w="100"/>
              <w:bottom w:type="dxa" w:w="60"/>
              <w:right w:type="dxa" w:w="100"/>
            </w:tcMar>
            <w:vAlign w:val="center"/>
          </w:tcPr>
          <w:p>
            <w:pPr>
              <w:jc w:val="center"/>
            </w:pPr>
            <w:r>
              <w:rPr>
                <w:b/>
                <w:bCs/>
                <w:color w:val="FFFFFF"/>
                <w:sz w:val="18"/>
                <w:szCs w:val="18"/>
              </w:rPr>
              <w:t xml:space="preserve">Reorder/Preorder ratio</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Astral GTX Jacket (Men)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2.96M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9.92M</w:t>
            </w:r>
          </w:p>
        </w:tc>
        <w:tc>
          <w:tcPr>
            <w:tcW w:type="dxa" w:w="2050"/>
            <w:tcMar>
              <w:top w:type="dxa" w:w="60"/>
              <w:left w:type="dxa" w:w="100"/>
              <w:bottom w:type="dxa" w:w="60"/>
              <w:right w:type="dxa" w:w="100"/>
            </w:tcMar>
            <w:vAlign w:val="center"/>
          </w:tcPr>
          <w:p>
            <w:pPr>
              <w:jc w:val="center"/>
            </w:pPr>
            <w:r>
              <w:rPr>
                <w:b w:val="false"/>
                <w:bCs w:val="false"/>
                <w:color w:val="000000"/>
                <w:sz w:val="18"/>
                <w:szCs w:val="18"/>
              </w:rPr>
              <w:t xml:space="preserve">29.9%</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Jacket (Women)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1.78M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6.37M</w:t>
            </w:r>
          </w:p>
        </w:tc>
        <w:tc>
          <w:tcPr>
            <w:tcW w:type="dxa" w:w="2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27.9%</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Haglöfs Ridge GTX Low (Men)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1.67M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9.24M</w:t>
            </w:r>
          </w:p>
        </w:tc>
        <w:tc>
          <w:tcPr>
            <w:tcW w:type="dxa" w:w="2050"/>
            <w:tcMar>
              <w:top w:type="dxa" w:w="60"/>
              <w:left w:type="dxa" w:w="100"/>
              <w:bottom w:type="dxa" w:w="60"/>
              <w:right w:type="dxa" w:w="100"/>
            </w:tcMar>
            <w:vAlign w:val="center"/>
          </w:tcPr>
          <w:p>
            <w:pPr>
              <w:jc w:val="center"/>
            </w:pPr>
            <w:r>
              <w:rPr>
                <w:b w:val="false"/>
                <w:bCs w:val="false"/>
                <w:color w:val="000000"/>
                <w:sz w:val="18"/>
                <w:szCs w:val="18"/>
              </w:rPr>
              <w:t xml:space="preserve">18.1%</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6.88M</w:t>
            </w:r>
          </w:p>
        </w:tc>
        <w:tc>
          <w:tcPr>
            <w:tcW w:type="dxa" w:w="2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18.8%</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Tight Large (Unisex)</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1.18M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3.75M</w:t>
            </w:r>
          </w:p>
        </w:tc>
        <w:tc>
          <w:tcPr>
            <w:tcW w:type="dxa" w:w="2050"/>
            <w:tcMar>
              <w:top w:type="dxa" w:w="60"/>
              <w:left w:type="dxa" w:w="100"/>
              <w:bottom w:type="dxa" w:w="60"/>
              <w:right w:type="dxa" w:w="100"/>
            </w:tcMar>
            <w:vAlign w:val="center"/>
          </w:tcPr>
          <w:p>
            <w:pPr>
              <w:jc w:val="center"/>
            </w:pPr>
            <w:r>
              <w:rPr>
                <w:b w:val="false"/>
                <w:bCs w:val="false"/>
                <w:color w:val="000000"/>
                <w:sz w:val="18"/>
                <w:szCs w:val="18"/>
              </w:rPr>
              <w:t xml:space="preserve">31.6%</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Tight Medium (Unisex)</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1.14M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3.57M</w:t>
            </w:r>
          </w:p>
        </w:tc>
        <w:tc>
          <w:tcPr>
            <w:tcW w:type="dxa" w:w="2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32.1%</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Lava 50 (Unisex)</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1.11M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1.88M</w:t>
            </w:r>
          </w:p>
        </w:tc>
        <w:tc>
          <w:tcPr>
            <w:tcW w:type="dxa" w:w="2050"/>
            <w:tcMar>
              <w:top w:type="dxa" w:w="60"/>
              <w:left w:type="dxa" w:w="100"/>
              <w:bottom w:type="dxa" w:w="60"/>
              <w:right w:type="dxa" w:w="100"/>
            </w:tcMar>
            <w:vAlign w:val="center"/>
          </w:tcPr>
          <w:p>
            <w:pPr>
              <w:jc w:val="center"/>
            </w:pPr>
            <w:r>
              <w:rPr>
                <w:b w:val="false"/>
                <w:bCs w:val="false"/>
                <w:color w:val="000000"/>
                <w:sz w:val="18"/>
                <w:szCs w:val="18"/>
              </w:rPr>
              <w:t xml:space="preserve">58.8%</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Vide 25 (Unisex)</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0.96M</w:t>
            </w:r>
          </w:p>
        </w:tc>
        <w:tc>
          <w:tcPr>
            <w:tcW w:type="dxa" w:w="2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112.9%</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Corker Large (Unisex)</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1.03M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2.20M</w:t>
            </w:r>
          </w:p>
        </w:tc>
        <w:tc>
          <w:tcPr>
            <w:tcW w:type="dxa" w:w="2050"/>
            <w:tcMar>
              <w:top w:type="dxa" w:w="60"/>
              <w:left w:type="dxa" w:w="100"/>
              <w:bottom w:type="dxa" w:w="60"/>
              <w:right w:type="dxa" w:w="100"/>
            </w:tcMar>
            <w:vAlign w:val="center"/>
          </w:tcPr>
          <w:p>
            <w:pPr>
              <w:jc w:val="center"/>
            </w:pPr>
            <w:r>
              <w:rPr>
                <w:b w:val="false"/>
                <w:bCs w:val="false"/>
                <w:color w:val="000000"/>
                <w:sz w:val="18"/>
                <w:szCs w:val="18"/>
              </w:rPr>
              <w:t xml:space="preserve">47.0%</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GTX Jacket (Men)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1.01M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2.02M</w:t>
            </w:r>
          </w:p>
        </w:tc>
        <w:tc>
          <w:tcPr>
            <w:tcW w:type="dxa" w:w="2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50.0%</w:t>
            </w:r>
          </w:p>
        </w:tc>
      </w:tr>
    </w:tbl>
    <w:p>
      <w:pPr>
        <w:spacing w:after="200"/>
      </w:pPr>
      <w:r>
        <w:rPr>
          <w:i/>
          <w:iCs/>
          <w:color w:val="555555"/>
          <w:sz w:val="18"/>
          <w:szCs w:val="18"/>
        </w:rPr>
        <w:t xml:space="preserve">Astral GTX Jacket (Men) is the single largest Reorder franchise company-wide at the franchise level (2.96M SEK, combining both the outgoing and 'II' article codes).</w:t>
      </w:r>
    </w:p>
    <w:p>
      <w:pPr>
        <w:pStyle w:val="Heading2"/>
        <w:spacing w:after="120" w:before="240"/>
      </w:pPr>
      <w:r>
        <w:t xml:space="preserve">2.3 Core Assortment: Reorder Follow-Through</w:t>
      </w:r>
    </w:p>
    <w:p>
      <w:pPr>
        <w:spacing w:after="160"/>
      </w:pPr>
      <w:r>
        <w:t xml:space="preserve">The 27.4%/8.6% company-wide figures above already carry a caveat that special accounts drag them down. This section isolates the core-assortment (ex special-account) follow-through rate directly, on the same methodology as the company-wide cut: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350"/>
        <w:gridCol w:w="2200"/>
        <w:gridCol w:w="2200"/>
      </w:tblGrid>
      <w:tr>
        <w:trPr>
          <w:tblHeader/>
        </w:trPr>
        <w:tc>
          <w:tcPr>
            <w:tcW w:type="dxa" w:w="2600"/>
            <w:shd w:fill="2F2F2F" w:val="clear"/>
            <w:tcMar>
              <w:top w:type="dxa" w:w="60"/>
              <w:left w:type="dxa" w:w="100"/>
              <w:bottom w:type="dxa" w:w="60"/>
              <w:right w:type="dxa" w:w="100"/>
            </w:tcMar>
            <w:vAlign w:val="center"/>
          </w:tcPr>
          <w:p>
            <w:pPr>
              <w:jc w:val="left"/>
            </w:pPr>
            <w:r>
              <w:rPr>
                <w:b/>
                <w:bCs/>
                <w:color w:val="FFFFFF"/>
                <w:sz w:val="18"/>
                <w:szCs w:val="18"/>
              </w:rPr>
              <w:t xml:space="preserve">Scope</w:t>
            </w:r>
          </w:p>
        </w:tc>
        <w:tc>
          <w:tcPr>
            <w:tcW w:type="dxa" w:w="2350"/>
            <w:shd w:fill="2F2F2F" w:val="clear"/>
            <w:tcMar>
              <w:top w:type="dxa" w:w="60"/>
              <w:left w:type="dxa" w:w="100"/>
              <w:bottom w:type="dxa" w:w="60"/>
              <w:right w:type="dxa" w:w="100"/>
            </w:tcMar>
            <w:vAlign w:val="center"/>
          </w:tcPr>
          <w:p>
            <w:pPr>
              <w:jc w:val="center"/>
            </w:pPr>
            <w:r>
              <w:rPr>
                <w:b/>
                <w:bCs/>
                <w:color w:val="FFFFFF"/>
                <w:sz w:val="18"/>
                <w:szCs w:val="18"/>
              </w:rPr>
              <w:t xml:space="preserve">Preordered combos</w:t>
            </w:r>
          </w:p>
        </w:tc>
        <w:tc>
          <w:tcPr>
            <w:tcW w:type="dxa" w:w="2200"/>
            <w:shd w:fill="2F2F2F" w:val="clear"/>
            <w:tcMar>
              <w:top w:type="dxa" w:w="60"/>
              <w:left w:type="dxa" w:w="100"/>
              <w:bottom w:type="dxa" w:w="60"/>
              <w:right w:type="dxa" w:w="100"/>
            </w:tcMar>
            <w:vAlign w:val="center"/>
          </w:tcPr>
          <w:p>
            <w:pPr>
              <w:jc w:val="center"/>
            </w:pPr>
            <w:r>
              <w:rPr>
                <w:b/>
                <w:bCs/>
                <w:color w:val="FFFFFF"/>
                <w:sz w:val="18"/>
                <w:szCs w:val="18"/>
              </w:rPr>
              <w:t xml:space="preserve">Also reordered</w:t>
            </w:r>
          </w:p>
        </w:tc>
        <w:tc>
          <w:tcPr>
            <w:tcW w:type="dxa" w:w="2200"/>
            <w:shd w:fill="2F2F2F" w:val="clear"/>
            <w:tcMar>
              <w:top w:type="dxa" w:w="60"/>
              <w:left w:type="dxa" w:w="100"/>
              <w:bottom w:type="dxa" w:w="60"/>
              <w:right w:type="dxa" w:w="100"/>
            </w:tcMar>
            <w:vAlign w:val="center"/>
          </w:tcPr>
          <w:p>
            <w:pPr>
              <w:jc w:val="center"/>
            </w:pPr>
            <w:r>
              <w:rPr>
                <w:b/>
                <w:bCs/>
                <w:color w:val="FFFFFF"/>
                <w:sz w:val="18"/>
                <w:szCs w:val="18"/>
              </w:rPr>
              <w:t xml:space="preserve">Reorder SEK as % of Preorder SEK</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All Wholesale accounts</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10,550</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27.4%</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8.6%</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Core only (ex XXL/Zalando/China/Stadium)</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9,997</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28.4%</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12.4%</w:t>
            </w:r>
          </w:p>
        </w:tc>
      </w:tr>
    </w:tbl>
    <w:p>
      <w:pPr>
        <w:pBdr>
          <w:left w:val="single" w:color="3C8A4C" w:sz="18"/>
        </w:pBdr>
        <w:shd w:fill="EAF3EA" w:val="clear"/>
        <w:spacing w:after="120" w:before="100"/>
        <w:ind w:left="150" w:right="100"/>
      </w:pPr>
      <w:r>
        <w:rPr>
          <w:b/>
          <w:bCs/>
          <w:color w:val="1F5C2E"/>
        </w:rPr>
        <w:t xml:space="preserve">DATA SHOWS: </w:t>
      </w:r>
      <w:r>
        <w:t xml:space="preserve">Restricting to core accounts barely moves the count-based follow-through rate (27.4% → 28.4%) but meaningfully improves the SEK-conversion rate (8.6% → 12.4%). The interpretation: special accounts don't materially change how MANY styles get reordered somewhere, but they are disproportionately large Preorder placements with almost no Reorder on top — so they drag the SEK-weighted figure down much harder than the count-weighted one.</w:t>
      </w:r>
    </w:p>
    <w:p>
      <w:pPr>
        <w:pBdr>
          <w:left w:val="single" w:color="2E8FB5" w:sz="18"/>
        </w:pBdr>
        <w:shd w:fill="E3F1F7" w:val="clear"/>
        <w:spacing w:after="120" w:before="100"/>
        <w:ind w:left="150" w:right="100"/>
      </w:pPr>
      <w:r>
        <w:rPr>
          <w:b/>
          <w:bCs/>
          <w:color w:val="0F5C7A"/>
        </w:rPr>
        <w:t xml:space="preserve">2026 YTD ADDED: </w:t>
      </w:r>
      <w:r>
        <w:t xml:space="preserve">YTD2026 core-only: 29.6% of preordered combinations also reordered, and Reorder SEK is 14.3% of Preorder SEK for that cohort — both slightly ahead of FY2025's core-only 28.4%/12.4%, consistent with the company-wide improvement noted in 2.2.</w:t>
      </w:r>
    </w:p>
    <w:p>
      <w:pPr>
        <w:pStyle w:val="Heading2"/>
        <w:spacing w:after="120" w:before="240"/>
      </w:pPr>
      <w:r>
        <w:t xml:space="preserve">2.4 Q2 2026 Key Account Report</w:t>
      </w:r>
    </w:p>
    <w:p>
      <w:pPr>
        <w:spacing w:after="160"/>
      </w:pPr>
      <w:r>
        <w:rPr>
          <w:b/>
          <w:bCs/>
        </w:rPr>
        <w:t xml:space="preserve">Q2 2026 evidence: Two accounts, independently and unprompted, used nearly identical language: Intersport Finland and Scandinavian Outdoor Finland both said 'prices are almost everything.' This is a strong, repeated, ground-level signal about price sensitivity that should inform how the Astral GTX pricing question raised elsewhere in this note is discussed at the workshop.</w:t>
      </w:r>
    </w:p>
    <w:p>
      <w:pPr>
        <w:spacing w:after="160"/>
      </w:pPr>
      <w:r>
        <w:rPr>
          <w:b/>
          <w:bCs/>
        </w:rPr>
        <w:t xml:space="preserve">Q2 2026 evidence: Total Q2 2026 Wholesale sell-in was 87.3M SEK against a budget of 129.0M (-32.3% miss) and against Q2 2025 of 106.8M (-18.3% YoY). Top 30 accounts (89% of total sales) declined a milder -12%, meaning the long tail of smaller accounts is where the miss concentrates most sharply relative to its size.</w:t>
      </w:r>
    </w:p>
    <w:p>
      <w:pPr>
        <w:spacing w:after="160"/>
      </w:pPr>
      <w:r>
        <w:t xml:space="preserve">Additional account-level color from the report, for reference:</w:t>
      </w:r>
    </w:p>
    <w:p>
      <w:pPr>
        <w:pStyle w:val="ListParagraph"/>
        <w:numPr>
          <w:ilvl w:val="0"/>
          <w:numId w:val="2"/>
        </w:numPr>
        <w:spacing w:after="80"/>
      </w:pPr>
      <w:r>
        <w:t xml:space="preserve">Intersport Sweden remains the standout healthy account (sell-out +13%, invoiced +50.1%) but still shows margin down 2.2pt YoY (37.8%) — erosion is happening even at the healthiest relationship.</w:t>
      </w:r>
    </w:p>
    <w:p>
      <w:pPr>
        <w:pStyle w:val="ListParagraph"/>
        <w:numPr>
          <w:ilvl w:val="0"/>
          <w:numId w:val="2"/>
        </w:numPr>
        <w:spacing w:after="80"/>
      </w:pPr>
      <w:r>
        <w:t xml:space="preserve">John Lewis UK shows invoiced +62% but underlying sell-through -43%, explicitly described as 'old stock holding last year was driving sales' — a stocking effect, not demand.</w:t>
      </w:r>
    </w:p>
    <w:p>
      <w:pPr>
        <w:pStyle w:val="ListParagraph"/>
        <w:numPr>
          <w:ilvl w:val="0"/>
          <w:numId w:val="2"/>
        </w:numPr>
        <w:spacing w:after="80"/>
      </w:pPr>
      <w:r>
        <w:t xml:space="preserve">Scandinavian Outdoor Finland (invoiced -42%) cites concrete execution problems: 'missing a lot of important articles on re-orders,' 'totally out from the 2.5-layer business,' and 'unhealthy size range.'</w:t>
      </w:r>
    </w:p>
    <w:p>
      <w:pPr>
        <w:pBdr>
          <w:left w:val="single" w:color="3C8A4C" w:sz="18"/>
        </w:pBdr>
        <w:shd w:fill="EAF3EA" w:val="clear"/>
        <w:spacing w:after="120" w:before="100"/>
        <w:ind w:left="150" w:right="100"/>
      </w:pPr>
      <w:r>
        <w:rPr>
          <w:b/>
          <w:bCs/>
          <w:color w:val="1F5C2E"/>
        </w:rPr>
        <w:t xml:space="preserve">DATA SHOWS: </w:t>
      </w:r>
      <w:r>
        <w:t xml:space="preserve">Which products/accounts drive Reorder: Astral GTX Jacket (Men) is the single largest Reorder franchise company-wide (2.96M SEK). Intersport's 85% follow-through rate (Preorder that converts to a subsequent Reorder) is the best internal benchmark for what 'working' looks like; XXL, Zalando, China, RCT Japan and Stadium all show 1-4% follow-through and are structurally different accounts, not a fair comparison set.</w:t>
      </w:r>
    </w:p>
    <w:p>
      <w:r>
        <w:br w:type="page"/>
      </w:r>
    </w:p>
    <w:p>
      <w:pPr>
        <w:pStyle w:val="Heading1"/>
        <w:spacing w:after="160" w:before="320"/>
      </w:pPr>
      <w:r>
        <w:t xml:space="preserve">3. New Products: Profitable and Growing, but Low Reorder</w:t>
      </w:r>
    </w:p>
    <w:p>
      <w:pPr>
        <w:pStyle w:val="Heading2"/>
        <w:spacing w:after="120" w:before="240"/>
      </w:pPr>
      <w:r>
        <w:t xml:space="preserve">3.1 New Product: Reorder Conversion</w:t>
      </w:r>
    </w:p>
    <w:p>
      <w:pPr>
        <w:pBdr>
          <w:left w:val="single" w:color="3C8A4C" w:sz="18"/>
        </w:pBdr>
        <w:shd w:fill="EAF3EA" w:val="clear"/>
        <w:spacing w:after="120" w:before="100"/>
        <w:ind w:left="150" w:right="100"/>
      </w:pPr>
      <w:r>
        <w:rPr>
          <w:b/>
          <w:bCs/>
          <w:color w:val="1F5C2E"/>
        </w:rPr>
        <w:t xml:space="preserve">DATA SHOWS: </w:t>
      </w:r>
      <w:r>
        <w:t xml:space="preserve">New/Test: 123.9M SEK (19% of core 2025 sales). Only 13.0% get a Wholesale reorder company-wide; 30 of 197 launches (15%) are flagged on 2+ risk indicators (low margin at launch, no DTC presence, no reorder, no confirmed FW27 continuation).</w:t>
      </w:r>
    </w:p>
    <w:p>
      <w:pPr>
        <w:spacing w:after="160"/>
      </w:pPr>
      <w:r>
        <w:t xml:space="preserve">Team input needed, not derivable from sales data: the product brief needs to be tight from target market through to product story before development starts — per the 2026-07-28 session, missing pieces include a clear statement of the consumer, the activity, and the specific problem being solved (not just 'filling a portfolio gap'), plus basic technical decision-criteria (e.g. a warmth index for insulation, comparable to how Shell already states breathability/water column).</w:t>
      </w:r>
    </w:p>
    <w:p>
      <w:pPr>
        <w:pBdr>
          <w:left w:val="single" w:color="C97A1A" w:sz="18"/>
        </w:pBdr>
        <w:shd w:fill="FCEFDC" w:val="clear"/>
        <w:spacing w:after="120" w:before="100"/>
        <w:ind w:left="150" w:right="100"/>
      </w:pPr>
      <w:r>
        <w:rPr>
          <w:b/>
          <w:bCs/>
          <w:color w:val="8A4B00"/>
        </w:rPr>
        <w:t xml:space="preserve">NOT ANSWERABLE FROM DATA — ASK: </w:t>
      </w:r>
      <w:r>
        <w:t xml:space="preserve">What's missing from the SS27/FW27 assortment — this is a team/merchandising exercise, not a data pull.</w:t>
      </w:r>
    </w:p>
    <w:p>
      <w:pPr>
        <w:spacing w:after="160"/>
      </w:pPr>
      <w:r>
        <w:rPr>
          <w:b/>
          <w:bCs/>
        </w:rPr>
        <w:t xml:space="preserve">Headline: FW27 is already in sell-in — it cannot be changed. This note is deliberately forward-looking to SS28. Combining internal portfolio diagnostics with external market research, two categories emerge as 'double tailwind' bets where market growth and Haglöfs' own momentum both point the same direction — Accessories and Trail running shoes — and one, the L.I.M ultralight relaunch, shows a real tension between strong press reception and at least one wholesale account's direct negative feedback that should be resolved before further investment.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8"/>
                <w:szCs w:val="18"/>
              </w:rPr>
              <w:t xml:space="preserve">Metric</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Value</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New/Test franchises, 2025</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197, worth 123.9M SEK (19% of core sales)</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Wholesale reorder conversion, New/Test launches</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13.0%</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Launches flagged 2+ risk indicators</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30 of 197 (15%), worth only 3.9M SEK combined</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Launches with no confirmed FW27 continuation plan already</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 of 197</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FW27 price-realization gap, continuing styles (N=146)</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-24.2%</w:t>
            </w:r>
          </w:p>
        </w:tc>
      </w:tr>
    </w:tbl>
    <w:p>
      <w:pPr>
        <w:pStyle w:val="ListParagraph"/>
        <w:numPr>
          <w:ilvl w:val="0"/>
          <w:numId w:val="2"/>
        </w:numPr>
        <w:spacing w:after="80"/>
      </w:pPr>
      <w:r>
        <w:t xml:space="preserve">New/Test franchises are already 19% of core 2025 sales (123.9M SEK) — innovation is not a marginal contributor — but quality signals are weak: 13.0% Wholesale reorder conversion, 30 of 197 launches (15%) flagged on 2+ risk indicators, and 31 with no confirmed FW27 continuation already.</w:t>
      </w:r>
    </w:p>
    <w:p>
      <w:pPr>
        <w:pStyle w:val="ListParagraph"/>
        <w:numPr>
          <w:ilvl w:val="0"/>
          <w:numId w:val="2"/>
        </w:numPr>
        <w:spacing w:after="80"/>
      </w:pPr>
      <w:r>
        <w:t xml:space="preserve">The innovation cycle does not fix the pricing/margin problem on its own: the FW27 target-margin price-realization gap is almost identical for continuing styles (-24.2%) and genuinely new FW27 styles (-23.2%).</w:t>
      </w:r>
    </w:p>
    <w:p>
      <w:pPr>
        <w:pStyle w:val="Heading2"/>
        <w:spacing w:after="120" w:before="240"/>
      </w:pPr>
      <w:r>
        <w:t xml:space="preserve">3.2 SS28 Product Priorities from the Internal Data</w:t>
      </w:r>
    </w:p>
    <w:p>
      <w:pPr>
        <w:pStyle w:val="Heading3"/>
        <w:spacing w:after="100" w:before="200"/>
      </w:pPr>
      <w:r>
        <w:t xml:space="preserve">3.2.1 Apparel</w:t>
      </w:r>
    </w:p>
    <w:p>
      <w:pPr>
        <w:spacing w:after="160"/>
      </w:pPr>
      <w:r>
        <w:rPr>
          <w:b/>
          <w:bCs/>
        </w:rPr>
        <w:t xml:space="preserve">Shell — not a gap, but the highest-stakes category by scale</w:t>
      </w:r>
    </w:p>
    <w:p>
      <w:pPr>
        <w:spacing w:after="160"/>
      </w:pPr>
      <w:r>
        <w:t xml:space="preserve">Shell is simultaneously the largest chunk of the Harvest decline, the largest and weakest-margin Problem Child layer, the largest layer on the FW27 exit list, and already the largest New/Test category. The SS28 question is not whether Shell gets new product — it already does — but whether what launches actually fixes the margin problem (Topic 2's core finding) rather than replacing volume at the same weak economics.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5650"/>
      </w:tblGrid>
      <w:tr>
        <w:trPr>
          <w:tblHeader/>
        </w:trPr>
        <w:tc>
          <w:tcPr>
            <w:tcW w:type="dxa" w:w="3000"/>
            <w:shd w:fill="2F2F2F" w:val="clear"/>
            <w:tcMar>
              <w:top w:type="dxa" w:w="60"/>
              <w:left w:type="dxa" w:w="100"/>
              <w:bottom w:type="dxa" w:w="60"/>
              <w:right w:type="dxa" w:w="100"/>
            </w:tcMar>
            <w:vAlign w:val="center"/>
          </w:tcPr>
          <w:p>
            <w:pPr>
              <w:jc w:val="left"/>
            </w:pPr>
            <w:r>
              <w:rPr>
                <w:b/>
                <w:bCs/>
                <w:color w:val="FFFFFF"/>
                <w:sz w:val="18"/>
                <w:szCs w:val="18"/>
              </w:rPr>
              <w:t xml:space="preserve">Shell in each diagnostic view</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56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r>
      <w:tr>
        <w:tc>
          <w:tcPr>
            <w:tcW w:type="dxa" w:w="3000"/>
            <w:tcMar>
              <w:top w:type="dxa" w:w="60"/>
              <w:left w:type="dxa" w:w="100"/>
              <w:bottom w:type="dxa" w:w="60"/>
              <w:right w:type="dxa" w:w="100"/>
            </w:tcMar>
            <w:vAlign w:val="center"/>
          </w:tcPr>
          <w:p>
            <w:pPr>
              <w:jc w:val="left"/>
            </w:pPr>
            <w:r>
              <w:rPr>
                <w:b w:val="false"/>
                <w:bCs w:val="false"/>
                <w:color w:val="000000"/>
                <w:sz w:val="18"/>
                <w:szCs w:val="18"/>
              </w:rPr>
              <w:t xml:space="preserve">Harvest tier</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43</w:t>
            </w:r>
          </w:p>
        </w:tc>
        <w:tc>
          <w:tcPr>
            <w:tcW w:type="dxa" w:w="5650"/>
            <w:tcMar>
              <w:top w:type="dxa" w:w="60"/>
              <w:left w:type="dxa" w:w="100"/>
              <w:bottom w:type="dxa" w:w="60"/>
              <w:right w:type="dxa" w:w="100"/>
            </w:tcMar>
            <w:vAlign w:val="center"/>
          </w:tcPr>
          <w:p>
            <w:pPr>
              <w:jc w:val="center"/>
            </w:pPr>
            <w:r>
              <w:rPr>
                <w:b w:val="false"/>
                <w:bCs w:val="false"/>
                <w:color w:val="000000"/>
                <w:sz w:val="18"/>
                <w:szCs w:val="18"/>
              </w:rPr>
              <w:t xml:space="preserve">37.6M (down from 67.8M, -30.2M)</w:t>
            </w:r>
          </w:p>
        </w:tc>
      </w:tr>
      <w:tr>
        <w:tc>
          <w:tcPr>
            <w:tcW w:type="dxa" w:w="3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Problem Child tier</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61</w:t>
            </w:r>
          </w:p>
        </w:tc>
        <w:tc>
          <w:tcPr>
            <w:tcW w:type="dxa" w:w="5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51.2M (26.9% GM — the weakest of any major layer)</w:t>
            </w:r>
          </w:p>
        </w:tc>
      </w:tr>
      <w:tr>
        <w:tc>
          <w:tcPr>
            <w:tcW w:type="dxa" w:w="3000"/>
            <w:tcMar>
              <w:top w:type="dxa" w:w="60"/>
              <w:left w:type="dxa" w:w="100"/>
              <w:bottom w:type="dxa" w:w="60"/>
              <w:right w:type="dxa" w:w="100"/>
            </w:tcMar>
            <w:vAlign w:val="center"/>
          </w:tcPr>
          <w:p>
            <w:pPr>
              <w:jc w:val="left"/>
            </w:pPr>
            <w:r>
              <w:rPr>
                <w:b w:val="false"/>
                <w:bCs w:val="false"/>
                <w:color w:val="000000"/>
                <w:sz w:val="18"/>
                <w:szCs w:val="18"/>
              </w:rPr>
              <w:t xml:space="preserve">FW27 exit list</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60</w:t>
            </w:r>
          </w:p>
        </w:tc>
        <w:tc>
          <w:tcPr>
            <w:tcW w:type="dxa" w:w="5650"/>
            <w:tcMar>
              <w:top w:type="dxa" w:w="60"/>
              <w:left w:type="dxa" w:w="100"/>
              <w:bottom w:type="dxa" w:w="60"/>
              <w:right w:type="dxa" w:w="100"/>
            </w:tcMar>
            <w:vAlign w:val="center"/>
          </w:tcPr>
          <w:p>
            <w:pPr>
              <w:jc w:val="center"/>
            </w:pPr>
            <w:r>
              <w:rPr>
                <w:b w:val="false"/>
                <w:bCs w:val="false"/>
                <w:color w:val="000000"/>
                <w:sz w:val="18"/>
                <w:szCs w:val="18"/>
              </w:rPr>
              <w:t xml:space="preserve">34.8M — by far the largest layer on this list</w:t>
            </w:r>
          </w:p>
        </w:tc>
      </w:tr>
      <w:tr>
        <w:tc>
          <w:tcPr>
            <w:tcW w:type="dxa" w:w="3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New/Test (current pipeline)</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5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39.1M — already the largest New/Test layer</w:t>
            </w:r>
          </w:p>
        </w:tc>
      </w:tr>
    </w:tbl>
    <w:p>
      <w:pPr>
        <w:pStyle w:val="ListParagraph"/>
        <w:numPr>
          <w:ilvl w:val="0"/>
          <w:numId w:val="2"/>
        </w:numPr>
        <w:spacing w:after="80"/>
      </w:pPr>
      <w:r>
        <w:t xml:space="preserve">The L.I.M ultralight relaunch is well-received in outdoor press (positioned favorably against Arc'teryx, in a 5.3-6.5% CAGR category) — but the same line drew explicit negative feedback from a wholesale account in the Q2 2026 KA report. This needs resolving, not assuming, before further SS28 commitment.</w:t>
      </w:r>
    </w:p>
    <w:p>
      <w:pPr>
        <w:pStyle w:val="Heading3"/>
        <w:spacing w:after="100" w:before="200"/>
      </w:pPr>
      <w:r>
        <w:t xml:space="preserve">3.2.2 Footwear</w:t>
      </w:r>
    </w:p>
    <w:p>
      <w:pPr>
        <w:spacing w:after="160"/>
      </w:pPr>
      <w:r>
        <w:t xml:space="preserve">Footwear is the sharpest internal gap: Trail running shoes -51.8% YoY, Hiking shoes -8.0%, and only 3% of New/Test launches are footwear — yet trail running is externally the fastest-growing footwear segment researched (7.2% CAGR). The market wants this category; Haglöfs' pipeline has largely ignored 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2000"/>
        <w:gridCol w:w="4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Growth% vs 2024</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Trail running shoes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1.4M</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-51.8%</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Hiking shoes</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30.2M</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-8.0%</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Casual shoes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1.1M</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-15.7%</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Trekking shoes</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12.5M</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+17.1% (boosted by 4 New/Test launches)</w:t>
            </w:r>
          </w:p>
        </w:tc>
      </w:tr>
    </w:tbl>
    <w:p>
      <w:pPr>
        <w:pStyle w:val="Heading3"/>
        <w:spacing w:after="100" w:before="200"/>
      </w:pPr>
      <w:r>
        <w:t xml:space="preserve">3.2.3 Accessories: Well-Growing, but Assortment Reads as Outdated</w:t>
      </w:r>
    </w:p>
    <w:p>
      <w:pPr>
        <w:pBdr>
          <w:left w:val="single" w:color="3C8A4C" w:sz="18"/>
        </w:pBdr>
        <w:shd w:fill="EAF3EA" w:val="clear"/>
        <w:spacing w:after="120" w:before="100"/>
        <w:ind w:left="150" w:right="100"/>
      </w:pPr>
      <w:r>
        <w:rPr>
          <w:b/>
          <w:bCs/>
          <w:color w:val="1F5C2E"/>
        </w:rPr>
        <w:t xml:space="preserve">DATA SHOWS: </w:t>
      </w:r>
      <w:r>
        <w:t xml:space="preserve">Accessories: 13.9M SEK (2025), +38.2% YoY, 54.0% GM vs. 46.6% core company average. New/Test alone is nearly a third of 2025 Accessories sales, and the 'Tight' branded sub-line is a genuine, working brand-extension pattern.</w:t>
      </w:r>
    </w:p>
    <w:p>
      <w:pPr>
        <w:pBdr>
          <w:left w:val="single" w:color="C97A1A" w:sz="18"/>
        </w:pBdr>
        <w:shd w:fill="FCEFDC" w:val="clear"/>
        <w:spacing w:after="120" w:before="100"/>
        <w:ind w:left="150" w:right="100"/>
      </w:pPr>
      <w:r>
        <w:rPr>
          <w:b/>
          <w:bCs/>
          <w:color w:val="8A4B00"/>
        </w:rPr>
        <w:t xml:space="preserve">NOT ANSWERABLE FROM DATA — ASK: </w:t>
      </w:r>
      <w:r>
        <w:t xml:space="preserve">'Outdated design' is a product/brand judgment, not something the sales data can confirm or deny — it comes from the CEO's own portfolio review (caps/beanies flagged specifically, old-logo stock still in the range) at the 2026-07-28 working session, not from analysis. Cite it as that, so the workshop doesn't look for data that doesn't exist to support it.</w:t>
      </w:r>
    </w:p>
    <w:p>
      <w:pPr>
        <w:pStyle w:val="ListParagraph"/>
        <w:numPr>
          <w:ilvl w:val="0"/>
          <w:numId w:val="2"/>
        </w:numPr>
        <w:spacing w:after="80"/>
      </w:pPr>
      <w:r>
        <w:t xml:space="preserve">Decision already made (2026-07-28): stop purchasing legacy/old-logo accessory stock; review the full portfolio for a design refresh.</w:t>
      </w:r>
    </w:p>
    <w:p>
      <w:pPr>
        <w:pStyle w:val="ListParagraph"/>
        <w:numPr>
          <w:ilvl w:val="0"/>
          <w:numId w:val="2"/>
        </w:numPr>
        <w:spacing w:after="80"/>
      </w:pPr>
      <w:r>
        <w:t xml:space="preserve">Accessories is the clearest 'double tailwind' opportunity: externally the fastest-growing category researched (accessories 6.9% CAGR, hip packs specifically 7.2% CAGR, thermal gloves +21% demand), and internally already Haglöfs' best growth+margin combination (+38.2%, 54.0% GM) with a proven brand-extension formula already working.</w:t>
      </w:r>
    </w:p>
    <w:p>
      <w:r>
        <w:br w:type="page"/>
      </w:r>
    </w:p>
    <w:p>
      <w:pPr>
        <w:pStyle w:val="Heading1"/>
        <w:spacing w:after="160" w:before="320"/>
      </w:pPr>
      <w:r>
        <w:t xml:space="preserve">4. Full Price Recovery: Sell More at Full Price, Discount Less</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Headline: Full-price recovery is real but small — roughly 16M SEK/year of genuine, mix-adjusted price erosion across Wholesale, Retail and E-com combined, against a ~330M SEK total GM bridge. It is necessary hygiene, not the primary lever.</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The larger, -14.5pt Wholesale gap to FW27 target margin is overwhelmingly a pricing/RRP-realization question, not a cost question — but whether that gap is a discipline failure or an unrealistic planning assumption cannot be settled from this data alone.</w:t>
      </w:r>
    </w:p>
    <w:p>
      <w:pPr>
        <w:pStyle w:val="ListParagraph"/>
        <w:numPr>
          <w:ilvl w:val="0"/>
          <w:numId w:val="2"/>
        </w:numPr>
        <w:spacing w:after="80"/>
      </w:pPr>
      <w:r>
        <w:t xml:space="preserve">Consolidated, mix-adjusted, genuine price-erosion opportunity across all three channels: roughly -16M SEK/year — real, but small next to the ~330M SEK total bridge.</w:t>
      </w:r>
    </w:p>
    <w:p>
      <w:pPr>
        <w:pStyle w:val="ListParagraph"/>
        <w:numPr>
          <w:ilvl w:val="0"/>
          <w:numId w:val="2"/>
        </w:numPr>
        <w:spacing w:after="80"/>
      </w:pPr>
      <w:r>
        <w:t xml:space="preserve">The FW27 target-margin gap (Wholesale, correct like-for-like basis: 44.5% actual vs. 59.0% target GM0%, a -14.5pt gap) is overwhelmingly a price-realization story (-24.2% vs. target WP) and essentially not a cost story (-0.3% cost overrun, i.e. costs are on-target). Two named exceptions — Legwear and Sleeping Bags — do have real cost overruns (+15.4% / +11.9%) and need a different, cost-focused conversation.</w:t>
      </w:r>
    </w:p>
    <w:p>
      <w:pPr>
        <w:spacing w:after="160"/>
      </w:pPr>
      <w:r>
        <w:t xml:space="preserve">End-of-life markdown policy (decision, 2026-07-28): no inventory buffer will be held for styles nearing end-of-life starting with the 2028 collection — pre-order only for those styles. Marcus is drafting the wholesale phase-out policy, including how exchange stock is handled between close-out and outlet.</w:t>
      </w:r>
    </w:p>
    <w:p>
      <w:pPr>
        <w:pStyle w:val="Heading2"/>
        <w:spacing w:after="120" w:before="240"/>
      </w:pPr>
      <w:r>
        <w:t xml:space="preserve">4.1 Channel-Level Margin and ASP Trend</w:t>
      </w:r>
    </w:p>
    <w:p>
      <w:pPr>
        <w:pStyle w:val="Heading3"/>
        <w:spacing w:after="100" w:before="200"/>
      </w:pPr>
      <w:r>
        <w:t xml:space="preserve">4.1.1 Retail vs. Wholesale Margin Level (verifies a claim raised in review)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000"/>
        <w:gridCol w:w="3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Channel</w:t>
            </w:r>
          </w:p>
        </w:tc>
        <w:tc>
          <w:tcPr>
            <w:tcW w:type="dxa" w:w="3000"/>
            <w:shd w:fill="2F2F2F" w:val="clear"/>
            <w:tcMar>
              <w:top w:type="dxa" w:w="60"/>
              <w:left w:type="dxa" w:w="100"/>
              <w:bottom w:type="dxa" w:w="60"/>
              <w:right w:type="dxa" w:w="100"/>
            </w:tcMar>
            <w:vAlign w:val="center"/>
          </w:tcPr>
          <w:p>
            <w:pPr>
              <w:jc w:val="center"/>
            </w:pPr>
            <w:r>
              <w:rPr>
                <w:b/>
                <w:bCs/>
                <w:color w:val="FFFFFF"/>
                <w:sz w:val="18"/>
                <w:szCs w:val="18"/>
              </w:rPr>
              <w:t xml:space="preserve">2024 GM%</w:t>
            </w:r>
          </w:p>
        </w:tc>
        <w:tc>
          <w:tcPr>
            <w:tcW w:type="dxa" w:w="3000"/>
            <w:shd w:fill="2F2F2F" w:val="clear"/>
            <w:tcMar>
              <w:top w:type="dxa" w:w="60"/>
              <w:left w:type="dxa" w:w="100"/>
              <w:bottom w:type="dxa" w:w="60"/>
              <w:right w:type="dxa" w:w="100"/>
            </w:tcMar>
            <w:vAlign w:val="center"/>
          </w:tcPr>
          <w:p>
            <w:pPr>
              <w:jc w:val="center"/>
            </w:pPr>
            <w:r>
              <w:rPr>
                <w:b/>
                <w:bCs/>
                <w:color w:val="FFFFFF"/>
                <w:sz w:val="18"/>
                <w:szCs w:val="18"/>
              </w:rPr>
              <w:t xml:space="preserve">2025 GM%</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Retail (DTC)</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52.9%</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49.0%</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Wholesale (incl. closeout)</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40.4%</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42.3%</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Wholesale (excl. closeout)</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41.2%</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44.6%</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E-com</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64.4%</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61.2%</w:t>
            </w:r>
          </w:p>
        </w:tc>
      </w:tr>
    </w:tbl>
    <w:p>
      <w:pPr>
        <w:pStyle w:val="ListParagraph"/>
        <w:numPr>
          <w:ilvl w:val="0"/>
          <w:numId w:val="2"/>
        </w:numPr>
        <w:spacing w:after="80"/>
      </w:pPr>
      <w:r>
        <w:t xml:space="preserve">Own Retail margin is confirmed higher than Wholesale margin in both years (52.9%/49.0% vs. 41.2%/44.6% excl. closeout) — but the gap is narrowing fast (11.7pts → 4.4pts), and Wholesale-ex-closeout margin is actually improving while Retail's own margin erodes.</w:t>
      </w:r>
    </w:p>
    <w:p>
      <w:pPr>
        <w:pStyle w:val="ListParagraph"/>
        <w:numPr>
          <w:ilvl w:val="0"/>
          <w:numId w:val="2"/>
        </w:numPr>
        <w:spacing w:after="80"/>
      </w:pPr>
      <w:r>
        <w:t xml:space="preserve">Wholesale has a broad-based price-realization problem: like-for-like ASP -4.7% (continuing franchises), on top of a -10.5% unit decline. Not concentrated in a few accounts — broad and moderate everywhere, with two named outliers (RCT Systems Japan, Stadium, both -19% ASP).</w:t>
      </w:r>
    </w:p>
    <w:p>
      <w:pPr>
        <w:pStyle w:val="Heading3"/>
        <w:spacing w:after="100" w:before="200"/>
      </w:pPr>
      <w:r>
        <w:t xml:space="preserve">4.1.2 ASP Trend, Continuing Franchises (like-for-like, core accounts)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300"/>
        <w:gridCol w:w="2000"/>
        <w:gridCol w:w="2850"/>
      </w:tblGrid>
      <w:tr>
        <w:trPr>
          <w:tblHeader/>
        </w:trPr>
        <w:tc>
          <w:tcPr>
            <w:tcW w:type="dxa" w:w="1900"/>
            <w:shd w:fill="2F2F2F" w:val="clear"/>
            <w:tcMar>
              <w:top w:type="dxa" w:w="60"/>
              <w:left w:type="dxa" w:w="100"/>
              <w:bottom w:type="dxa" w:w="60"/>
              <w:right w:type="dxa" w:w="100"/>
            </w:tcMar>
            <w:vAlign w:val="center"/>
          </w:tcPr>
          <w:p>
            <w:pPr>
              <w:jc w:val="left"/>
            </w:pPr>
            <w:r>
              <w:rPr>
                <w:b/>
                <w:bCs/>
                <w:color w:val="FFFFFF"/>
                <w:sz w:val="18"/>
                <w:szCs w:val="18"/>
              </w:rPr>
              <w:t xml:space="preserve">Channel</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Sales chg</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Units chg</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ASP chg (as first reported)</w:t>
            </w:r>
          </w:p>
        </w:tc>
        <w:tc>
          <w:tcPr>
            <w:tcW w:type="dxa" w:w="2850"/>
            <w:shd w:fill="2F2F2F" w:val="clear"/>
            <w:tcMar>
              <w:top w:type="dxa" w:w="60"/>
              <w:left w:type="dxa" w:w="100"/>
              <w:bottom w:type="dxa" w:w="60"/>
              <w:right w:type="dxa" w:w="100"/>
            </w:tcMar>
            <w:vAlign w:val="center"/>
          </w:tcPr>
          <w:p>
            <w:pPr>
              <w:jc w:val="center"/>
            </w:pPr>
            <w:r>
              <w:rPr>
                <w:b/>
                <w:bCs/>
                <w:color w:val="FFFFFF"/>
                <w:sz w:val="18"/>
                <w:szCs w:val="18"/>
              </w:rPr>
              <w:t xml:space="preserve">ASP chg (corrected for mix)</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Wholesale (excl. closeout)</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-14.7%</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-10.5%</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-4.7%</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-2.9% (rate only; -1.8pt is mix)</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Retail</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2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 (rate only; mix added +7.1pt on top)</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E-com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+61.8%</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+58.2%</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+2.3%</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not decomposed — see Section 2, different mechanism</w:t>
            </w:r>
          </w:p>
        </w:tc>
      </w:tr>
    </w:tbl>
    <w:p>
      <w:pPr>
        <w:pStyle w:val="ListParagraph"/>
        <w:numPr>
          <w:ilvl w:val="0"/>
          <w:numId w:val="2"/>
        </w:numPr>
        <w:spacing w:after="80"/>
      </w:pPr>
      <w:r>
        <w:t xml:space="preserve">Retail's +3.0% improvement is a mix-shift result (more Shell sold, which prices ~2x the Retail average). The same-product Retail pricing is actually down -3.1%, matching Wholesale's problem, not offsetting it.</w:t>
      </w:r>
    </w:p>
    <w:p>
      <w:pPr>
        <w:pStyle w:val="Heading2"/>
        <w:spacing w:after="120" w:before="240"/>
      </w:pPr>
      <w:r>
        <w:t xml:space="preserve">4.2 E-com: A Specific, Dateable Pattern, Not Broad Drift</w:t>
      </w:r>
    </w:p>
    <w:p>
      <w:pPr>
        <w:spacing w:after="160"/>
      </w:pPr>
      <w:r>
        <w:t xml:space="preserve">Using the dedicated monthly discount file (the only channel with true RRP-vs.-actual data), a clear seasonal structure emerges: Feb/Mar/Jun/Jul/Dec are genuine sale-season months (33-38% discount) and that pattern is stable-to-improving year over year — not the problem.</w:t>
      </w:r>
    </w:p>
    <w:p>
      <w:pPr>
        <w:spacing w:after="160"/>
      </w:pPr>
      <w:r>
        <w:t xml:space="preserve">Jan, Apr and May — previously close to full-price months — show a structural discount-rate increase starting in 2025 that has NOT reverted in 2026 YTD: Jan 7.7%→17.2%→20.2% (still rising); Apr 6.9%→34.1%→29.2%; May 19.7%→31.3%→27.3%. Sized opportunity if these months reverted to their 2024 discount level: ~2.9M SEK (Jan/Sep/Oct/Nov, 2025 alone) + ~2.4M SEK (April, 2025 alone) ≈ 5.3M SEK/year, a floor estimate.</w:t>
      </w:r>
    </w:p>
    <w:p>
      <w:pPr>
        <w:spacing w:after="160"/>
      </w:pPr>
      <w:r>
        <w:t xml:space="preserve">This coincides with a finding from the financial-data review: E-commerce/Internet marketing spend nearly tripled YTD 2026 vs. YTD 2025 (2.44M → 6.81M SEK) while E-com sales fell 15% over the same window. Together, these suggest E-com's growth has been increasingly bought with both higher spend and deeper, more persistent discounting since 2025, not organic full-price demand — a real tension with treating E-com as the unambiguously 'healthy' channel in the Topic 1 bridge.</w:t>
      </w:r>
    </w:p>
    <w:p>
      <w:pPr>
        <w:pStyle w:val="Heading2"/>
        <w:spacing w:after="120" w:before="240"/>
      </w:pPr>
      <w:r>
        <w:t xml:space="preserve">4.3 Wholesale: Broad Erosion, Two Account Outliers, Reorder Worse Than Preorder</w:t>
      </w:r>
    </w:p>
    <w:p>
      <w:pPr>
        <w:pStyle w:val="Heading3"/>
        <w:spacing w:after="100" w:before="200"/>
      </w:pPr>
      <w:r>
        <w:t xml:space="preserve">4.3.1 By Account — Not Concentrated</w:t>
      </w:r>
    </w:p>
    <w:p>
      <w:pPr>
        <w:spacing w:after="160"/>
      </w:pPr>
      <w:r>
        <w:t xml:space="preserve">Most large accounts show modest ASP moves either direction (Intersport -3%, Eventyr +3%, Outnorth -6%, Mega Sport +2%, SGN +4%, Scandinavian Outdoor -1%) — no single account explains the -4.7% overall decline.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300"/>
        <w:gridCol w:w="465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Account</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ASP chg %</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Units chg %</w:t>
            </w:r>
          </w:p>
        </w:tc>
        <w:tc>
          <w:tcPr>
            <w:tcW w:type="dxa" w:w="4650"/>
            <w:shd w:fill="2F2F2F" w:val="clear"/>
            <w:tcMar>
              <w:top w:type="dxa" w:w="60"/>
              <w:left w:type="dxa" w:w="100"/>
              <w:bottom w:type="dxa" w:w="60"/>
              <w:right w:type="dxa" w:w="100"/>
            </w:tcMar>
            <w:vAlign w:val="center"/>
          </w:tcPr>
          <w:p>
            <w:pPr>
              <w:jc w:val="center"/>
            </w:pPr>
            <w:r>
              <w:rPr>
                <w:b/>
                <w:bCs/>
                <w:color w:val="FFFFFF"/>
                <w:sz w:val="18"/>
                <w:szCs w:val="18"/>
              </w:rPr>
              <w:t xml:space="preserve">Note</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RCT Systems Japan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+45%</w:t>
            </w:r>
          </w:p>
        </w:tc>
        <w:tc>
          <w:tcPr>
            <w:tcW w:type="dxa" w:w="4650"/>
            <w:tcMar>
              <w:top w:type="dxa" w:w="60"/>
              <w:left w:type="dxa" w:w="100"/>
              <w:bottom w:type="dxa" w:w="60"/>
              <w:right w:type="dxa" w:w="100"/>
            </w:tcMar>
            <w:vAlign w:val="center"/>
          </w:tcPr>
          <w:p>
            <w:pPr>
              <w:jc w:val="center"/>
            </w:pPr>
            <w:r>
              <w:rPr>
                <w:b w:val="false"/>
                <w:bCs w:val="false"/>
                <w:color w:val="000000"/>
                <w:sz w:val="18"/>
                <w:szCs w:val="18"/>
              </w:rPr>
              <w:t xml:space="preserve">Large price-for-volume trade — possible deliberate market push, or JPY/SEK effect</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Stadium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4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Same pattern, unexplained</w:t>
            </w:r>
          </w:p>
        </w:tc>
      </w:tr>
    </w:tbl>
    <w:p>
      <w:pPr>
        <w:pBdr>
          <w:left w:val="single" w:color="C97A1A" w:sz="18"/>
        </w:pBdr>
        <w:shd w:fill="FCEFDC" w:val="clear"/>
        <w:spacing w:after="120" w:before="100"/>
        <w:ind w:left="150" w:right="100"/>
      </w:pPr>
      <w:r>
        <w:rPr>
          <w:b/>
          <w:bCs/>
          <w:color w:val="8A4B00"/>
        </w:rPr>
        <w:t xml:space="preserve">NOT ANSWERABLE FROM DATA — ASK: </w:t>
      </w:r>
      <w:r>
        <w:t xml:space="preserve">Are the RCT Systems Japan and Stadium price/volume trades deliberate strategy (e.g. a market-entry push) or drift that needs reining in? For RCT Japan specifically — could this be a JPY/SEK currency effect on the sales side, mirroring the USD/COGS point already raised, rather than discounting? Owner: Wholesale Director.</w:t>
      </w:r>
    </w:p>
    <w:p>
      <w:pPr>
        <w:pStyle w:val="Heading3"/>
        <w:spacing w:after="100" w:before="200"/>
      </w:pPr>
      <w:r>
        <w:t xml:space="preserve">4.3.2 By Ordertype — Reorder Is Worse on Both Price and Volume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2350"/>
        <w:gridCol w:w="2325"/>
      </w:tblGrid>
      <w:tr>
        <w:trPr>
          <w:tblHeader/>
        </w:trPr>
        <w:tc>
          <w:tcPr>
            <w:tcW w:type="dxa" w:w="4675"/>
            <w:shd w:fill="2F2F2F" w:val="clear"/>
            <w:tcMar>
              <w:top w:type="dxa" w:w="60"/>
              <w:left w:type="dxa" w:w="100"/>
              <w:bottom w:type="dxa" w:w="60"/>
              <w:right w:type="dxa" w:w="100"/>
            </w:tcMar>
            <w:vAlign w:val="center"/>
          </w:tcPr>
          <w:p>
            <w:pPr>
              <w:jc w:val="left"/>
            </w:pPr>
            <w:r>
              <w:rPr>
                <w:b/>
                <w:bCs/>
                <w:color w:val="FFFFFF"/>
                <w:sz w:val="18"/>
                <w:szCs w:val="18"/>
              </w:rPr>
              <w:t xml:space="preserve">Ordertype</w:t>
            </w:r>
          </w:p>
        </w:tc>
        <w:tc>
          <w:tcPr>
            <w:tcW w:type="dxa" w:w="2350"/>
            <w:shd w:fill="2F2F2F" w:val="clear"/>
            <w:tcMar>
              <w:top w:type="dxa" w:w="60"/>
              <w:left w:type="dxa" w:w="100"/>
              <w:bottom w:type="dxa" w:w="60"/>
              <w:right w:type="dxa" w:w="100"/>
            </w:tcMar>
            <w:vAlign w:val="center"/>
          </w:tcPr>
          <w:p>
            <w:pPr>
              <w:jc w:val="center"/>
            </w:pPr>
            <w:r>
              <w:rPr>
                <w:b/>
                <w:bCs/>
                <w:color w:val="FFFFFF"/>
                <w:sz w:val="18"/>
                <w:szCs w:val="18"/>
              </w:rPr>
              <w:t xml:space="preserve">ASP chg %</w:t>
            </w:r>
          </w:p>
        </w:tc>
        <w:tc>
          <w:tcPr>
            <w:tcW w:type="dxa" w:w="2325"/>
            <w:shd w:fill="2F2F2F" w:val="clear"/>
            <w:tcMar>
              <w:top w:type="dxa" w:w="60"/>
              <w:left w:type="dxa" w:w="100"/>
              <w:bottom w:type="dxa" w:w="60"/>
              <w:right w:type="dxa" w:w="100"/>
            </w:tcMar>
            <w:vAlign w:val="center"/>
          </w:tcPr>
          <w:p>
            <w:pPr>
              <w:jc w:val="center"/>
            </w:pPr>
            <w:r>
              <w:rPr>
                <w:b/>
                <w:bCs/>
                <w:color w:val="FFFFFF"/>
                <w:sz w:val="18"/>
                <w:szCs w:val="18"/>
              </w:rPr>
              <w:t xml:space="preserve">Units chg %</w:t>
            </w:r>
          </w:p>
        </w:tc>
      </w:tr>
      <w:tr>
        <w:tc>
          <w:tcPr>
            <w:tcW w:type="dxa" w:w="4675"/>
            <w:tcMar>
              <w:top w:type="dxa" w:w="60"/>
              <w:left w:type="dxa" w:w="100"/>
              <w:bottom w:type="dxa" w:w="60"/>
              <w:right w:type="dxa" w:w="100"/>
            </w:tcMar>
            <w:vAlign w:val="center"/>
          </w:tcPr>
          <w:p>
            <w:pPr>
              <w:jc w:val="left"/>
            </w:pPr>
            <w:r>
              <w:rPr>
                <w:b w:val="false"/>
                <w:bCs w:val="false"/>
                <w:color w:val="000000"/>
                <w:sz w:val="18"/>
                <w:szCs w:val="18"/>
              </w:rPr>
              <w:t xml:space="preserve">Preorder</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2325"/>
            <w:tcMar>
              <w:top w:type="dxa" w:w="60"/>
              <w:left w:type="dxa" w:w="100"/>
              <w:bottom w:type="dxa" w:w="60"/>
              <w:right w:type="dxa" w:w="100"/>
            </w:tcMar>
            <w:vAlign w:val="center"/>
          </w:tcPr>
          <w:p>
            <w:pPr>
              <w:jc w:val="center"/>
            </w:pPr>
            <w:r>
              <w:rPr>
                <w:b w:val="false"/>
                <w:bCs w:val="false"/>
                <w:color w:val="000000"/>
                <w:sz w:val="18"/>
                <w:szCs w:val="18"/>
              </w:rPr>
              <w:t xml:space="preserve">-5%</w:t>
            </w:r>
          </w:p>
        </w:tc>
      </w:tr>
      <w:tr>
        <w:tc>
          <w:tcPr>
            <w:tcW w:type="dxa" w:w="4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Reorder</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w:t>
            </w:r>
          </w:p>
        </w:tc>
        <w:tc>
          <w:tcPr>
            <w:tcW w:type="dxa" w:w="232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w:t>
            </w:r>
          </w:p>
        </w:tc>
      </w:tr>
      <w:tr>
        <w:tc>
          <w:tcPr>
            <w:tcW w:type="dxa" w:w="4675"/>
            <w:tcMar>
              <w:top w:type="dxa" w:w="60"/>
              <w:left w:type="dxa" w:w="100"/>
              <w:bottom w:type="dxa" w:w="60"/>
              <w:right w:type="dxa" w:w="100"/>
            </w:tcMar>
            <w:vAlign w:val="center"/>
          </w:tcPr>
          <w:p>
            <w:pPr>
              <w:jc w:val="left"/>
            </w:pPr>
            <w:r>
              <w:rPr>
                <w:b w:val="false"/>
                <w:bCs w:val="false"/>
                <w:color w:val="000000"/>
                <w:sz w:val="18"/>
                <w:szCs w:val="18"/>
              </w:rPr>
              <w:t xml:space="preserve">Closeout (excluded from this lever)</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-19.2%</w:t>
            </w:r>
          </w:p>
        </w:tc>
        <w:tc>
          <w:tcPr>
            <w:tcW w:type="dxa" w:w="2325"/>
            <w:tcMar>
              <w:top w:type="dxa" w:w="60"/>
              <w:left w:type="dxa" w:w="100"/>
              <w:bottom w:type="dxa" w:w="60"/>
              <w:right w:type="dxa" w:w="100"/>
            </w:tcMar>
            <w:vAlign w:val="center"/>
          </w:tcPr>
          <w:p>
            <w:pPr>
              <w:jc w:val="center"/>
            </w:pPr>
            <w:r>
              <w:rPr>
                <w:b w:val="false"/>
                <w:bCs w:val="false"/>
                <w:color w:val="000000"/>
                <w:sz w:val="18"/>
                <w:szCs w:val="18"/>
              </w:rPr>
              <w:t xml:space="preserve">-12%</w:t>
            </w:r>
          </w:p>
        </w:tc>
      </w:tr>
    </w:tbl>
    <w:p>
      <w:pPr>
        <w:pStyle w:val="Heading3"/>
        <w:spacing w:after="100" w:before="200"/>
      </w:pPr>
      <w:r>
        <w:t xml:space="preserve">4.3.3 By Layer — Tops and Legwear Are a Double Problem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2900"/>
        <w:gridCol w:w="2900"/>
      </w:tblGrid>
      <w:tr>
        <w:trPr>
          <w:tblHeader/>
        </w:trPr>
        <w:tc>
          <w:tcPr>
            <w:tcW w:type="dxa" w:w="355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2900"/>
            <w:shd w:fill="2F2F2F" w:val="clear"/>
            <w:tcMar>
              <w:top w:type="dxa" w:w="60"/>
              <w:left w:type="dxa" w:w="100"/>
              <w:bottom w:type="dxa" w:w="60"/>
              <w:right w:type="dxa" w:w="100"/>
            </w:tcMar>
            <w:vAlign w:val="center"/>
          </w:tcPr>
          <w:p>
            <w:pPr>
              <w:jc w:val="center"/>
            </w:pPr>
            <w:r>
              <w:rPr>
                <w:b/>
                <w:bCs/>
                <w:color w:val="FFFFFF"/>
                <w:sz w:val="18"/>
                <w:szCs w:val="18"/>
              </w:rPr>
              <w:t xml:space="preserve">ASP chg %</w:t>
            </w:r>
          </w:p>
        </w:tc>
        <w:tc>
          <w:tcPr>
            <w:tcW w:type="dxa" w:w="2900"/>
            <w:shd w:fill="2F2F2F" w:val="clear"/>
            <w:tcMar>
              <w:top w:type="dxa" w:w="60"/>
              <w:left w:type="dxa" w:w="100"/>
              <w:bottom w:type="dxa" w:w="60"/>
              <w:right w:type="dxa" w:w="100"/>
            </w:tcMar>
            <w:vAlign w:val="center"/>
          </w:tcPr>
          <w:p>
            <w:pPr>
              <w:jc w:val="center"/>
            </w:pPr>
            <w:r>
              <w:rPr>
                <w:b/>
                <w:bCs/>
                <w:color w:val="FFFFFF"/>
                <w:sz w:val="18"/>
                <w:szCs w:val="18"/>
              </w:rPr>
              <w:t xml:space="preserve">Reorder revenue chg % (from Topic 1)</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Tops</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-15%</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-67.7%</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Soft shell</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-10.6%</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Legwear</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-9%</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-55.7%</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layer</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Shell / Insulation / Bags / Daypacks</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-1% to -3%</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mixed</w:t>
            </w:r>
          </w:p>
        </w:tc>
      </w:tr>
    </w:tbl>
    <w:p>
      <w:pPr>
        <w:spacing w:after="160"/>
      </w:pPr>
      <w:r>
        <w:t xml:space="preserve">Tops and Legwear show both volume and price eroding at once — a stronger signal than either fact alone, and consistent with Topic 1. This usually means the product itself is losing competitive/pricing power, not just an execution issue.</w:t>
      </w:r>
    </w:p>
    <w:p>
      <w:pPr>
        <w:pStyle w:val="Heading2"/>
        <w:spacing w:after="120" w:before="240"/>
      </w:pPr>
      <w:r>
        <w:t xml:space="preserve">4.4 Retail: Same Underlying Problem as Wholesale, Once Mix Is Corrected</w:t>
      </w:r>
    </w:p>
    <w:p>
      <w:pPr>
        <w:pBdr>
          <w:left w:val="single" w:color="B23A3A" w:sz="18"/>
        </w:pBdr>
        <w:shd w:fill="FBE7E7" w:val="clear"/>
        <w:spacing w:after="120" w:before="100"/>
        <w:ind w:left="150" w:right="100"/>
      </w:pPr>
      <w:r>
        <w:rPr>
          <w:b/>
          <w:bCs/>
          <w:color w:val="7A1F1F"/>
        </w:rPr>
        <w:t xml:space="preserve">METHODOLOGY FLAG: </w:t>
      </w:r>
      <w:r>
        <w:t xml:space="preserve">Note that a Brandstore vs. Outlet split is not possible with the current data — Retail sales in this extract are blended across both formats, so the finding below cannot be attributed to one format or the other. This is one of the three standing data gaps carried throughout this brief.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350"/>
        <w:gridCol w:w="265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3350"/>
            <w:shd w:fill="2F2F2F" w:val="clear"/>
            <w:tcMar>
              <w:top w:type="dxa" w:w="60"/>
              <w:left w:type="dxa" w:w="100"/>
              <w:bottom w:type="dxa" w:w="60"/>
              <w:right w:type="dxa" w:w="100"/>
            </w:tcMar>
            <w:vAlign w:val="center"/>
          </w:tcPr>
          <w:p>
            <w:pPr>
              <w:jc w:val="center"/>
            </w:pPr>
            <w:r>
              <w:rPr>
                <w:b/>
                <w:bCs/>
                <w:color w:val="FFFFFF"/>
                <w:sz w:val="18"/>
                <w:szCs w:val="18"/>
              </w:rPr>
              <w:t xml:space="preserve">ASP chg % (rate, mix-adjusted view)</w:t>
            </w:r>
          </w:p>
        </w:tc>
        <w:tc>
          <w:tcPr>
            <w:tcW w:type="dxa" w:w="2650"/>
            <w:shd w:fill="2F2F2F" w:val="clear"/>
            <w:tcMar>
              <w:top w:type="dxa" w:w="60"/>
              <w:left w:type="dxa" w:w="100"/>
              <w:bottom w:type="dxa" w:w="60"/>
              <w:right w:type="dxa" w:w="100"/>
            </w:tcMar>
            <w:vAlign w:val="center"/>
          </w:tcPr>
          <w:p>
            <w:pPr>
              <w:jc w:val="center"/>
            </w:pPr>
            <w:r>
              <w:rPr>
                <w:b/>
                <w:bCs/>
                <w:color w:val="FFFFFF"/>
                <w:sz w:val="18"/>
                <w:szCs w:val="18"/>
              </w:rPr>
              <w:t xml:space="preserve">Units chg %</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Tops</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-11%</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Trekking shoes</w:t>
            </w:r>
          </w:p>
        </w:tc>
        <w:tc>
          <w:tcPr>
            <w:tcW w:type="dxa" w:w="3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Hiking shoes</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0%</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Insulation</w:t>
            </w:r>
          </w:p>
        </w:tc>
        <w:tc>
          <w:tcPr>
            <w:tcW w:type="dxa" w:w="3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Legwear</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-17%</w:t>
            </w:r>
          </w:p>
        </w:tc>
      </w:tr>
    </w:tbl>
    <w:p>
      <w:pPr>
        <w:spacing w:after="160"/>
      </w:pPr>
      <w:r>
        <w:t xml:space="preserve">Legwear's price holds up in Retail (+2%) while collapsing in Wholesale (-9% ASP, -56% Reorder revenue) — DTC customers still pay close to full price for it, so this looks like a Wholesale-specific discounting problem, not a product or demand weakness.</w:t>
      </w:r>
    </w:p>
    <w:p>
      <w:pPr>
        <w:spacing w:after="160"/>
      </w:pPr>
      <w:r>
        <w:t xml:space="preserve">On cost: Retail continuing-franchise COGS/unit rose +13.6% against only +3.1% raw ASP growth (itself mostly mix, per 4.1). This is treated as a USD-COGS/FX effect, not a sourcing or logistics problem — no negotiating leverage exists at current volumes, and FX is being set aside company-wide as a topic for this workshop cycle.</w:t>
      </w:r>
    </w:p>
    <w:p>
      <w:pPr>
        <w:pStyle w:val="Heading2"/>
        <w:spacing w:after="120" w:before="240"/>
      </w:pPr>
      <w:r>
        <w:t xml:space="preserve">4.5 FW27 Target-Margin Gap: Price, Not Cost</w:t>
      </w:r>
    </w:p>
    <w:p>
      <w:pPr>
        <w:spacing w:after="160"/>
      </w:pPr>
      <w:r>
        <w:t xml:space="preserve">GM0% is calibrated on WP (target wholesale price) and Landed Cost, so it must be compared against Wholesale-only actuals, not a blended figure across channels (an error in an earlier pass, caught and fixed here).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8"/>
                <w:szCs w:val="18"/>
              </w:rPr>
              <w:t xml:space="preserve">Measure</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Value</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Wholesale actual GM (2025, matched styles)</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44.5%</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Wholesale target GM 0%</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59.0%</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Gap</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-14.5pts</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Price Realization (ASP vs. target WP)</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-24.2%</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Cost Overrun (actual COGS/unit vs. target Landed Cost)</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-0.3% (essentially on-target)</w:t>
            </w:r>
          </w:p>
        </w:tc>
      </w:tr>
    </w:tbl>
    <w:p>
      <w:pPr>
        <w:spacing w:after="160"/>
      </w:pPr>
      <w:r>
        <w:t xml:space="preserve">The gap holds almost identically for continuing styles (-24.2%, N=146) and genuinely new FW27 styles (-23.2%, N=4) — so this isn't just untested pricing on brand-new styles; it's present on product with an established price point too.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1900"/>
        <w:gridCol w:w="1600"/>
        <w:gridCol w:w="2050"/>
      </w:tblGrid>
      <w:tr>
        <w:trPr>
          <w:tblHeader/>
        </w:trPr>
        <w:tc>
          <w:tcPr>
            <w:tcW w:type="dxa" w:w="380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Price Realization</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Cost Overrun</w:t>
            </w:r>
          </w:p>
        </w:tc>
        <w:tc>
          <w:tcPr>
            <w:tcW w:type="dxa" w:w="205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3800"/>
            <w:tcMar>
              <w:top w:type="dxa" w:w="60"/>
              <w:left w:type="dxa" w:w="100"/>
              <w:bottom w:type="dxa" w:w="60"/>
              <w:right w:type="dxa" w:w="100"/>
            </w:tcMar>
            <w:vAlign w:val="center"/>
          </w:tcPr>
          <w:p>
            <w:pPr>
              <w:jc w:val="left"/>
            </w:pPr>
            <w:r>
              <w:rPr>
                <w:b w:val="false"/>
                <w:bCs w:val="false"/>
                <w:color w:val="000000"/>
                <w:sz w:val="18"/>
                <w:szCs w:val="18"/>
              </w:rPr>
              <w:t xml:space="preserve">Shell / Insulation / Daypacks / Bags / Mid layer / Accessories</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-24% to -28%</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-8% to +0%</w:t>
            </w:r>
          </w:p>
        </w:tc>
        <w:tc>
          <w:tcPr>
            <w:tcW w:type="dxa" w:w="2050"/>
            <w:tcMar>
              <w:top w:type="dxa" w:w="60"/>
              <w:left w:type="dxa" w:w="100"/>
              <w:bottom w:type="dxa" w:w="60"/>
              <w:right w:type="dxa" w:w="100"/>
            </w:tcMar>
            <w:vAlign w:val="center"/>
          </w:tcPr>
          <w:p>
            <w:pPr>
              <w:jc w:val="center"/>
            </w:pPr>
            <w:r>
              <w:rPr>
                <w:b w:val="false"/>
                <w:bCs w:val="false"/>
                <w:color w:val="000000"/>
                <w:sz w:val="18"/>
                <w:szCs w:val="18"/>
              </w:rPr>
              <w:t xml:space="preserve">Consistent price story, cost on-target or better</w:t>
            </w:r>
          </w:p>
        </w:tc>
      </w:tr>
      <w:tr>
        <w:tc>
          <w:tcPr>
            <w:tcW w:type="dxa" w:w="38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Tops</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w:t>
            </w:r>
          </w:p>
        </w:tc>
        <w:tc>
          <w:tcPr>
            <w:tcW w:type="dxa" w:w="2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Worst price gap of the well-sampled layers</w:t>
            </w:r>
          </w:p>
        </w:tc>
      </w:tr>
      <w:tr>
        <w:tc>
          <w:tcPr>
            <w:tcW w:type="dxa" w:w="3800"/>
            <w:tcMar>
              <w:top w:type="dxa" w:w="60"/>
              <w:left w:type="dxa" w:w="100"/>
              <w:bottom w:type="dxa" w:w="60"/>
              <w:right w:type="dxa" w:w="100"/>
            </w:tcMar>
            <w:vAlign w:val="center"/>
          </w:tcPr>
          <w:p>
            <w:pPr>
              <w:jc w:val="left"/>
            </w:pPr>
            <w:r>
              <w:rPr>
                <w:b w:val="false"/>
                <w:bCs w:val="false"/>
                <w:color w:val="000000"/>
                <w:sz w:val="18"/>
                <w:szCs w:val="18"/>
              </w:rPr>
              <w:t xml:space="preserve">Legwear</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+15.4%</w:t>
            </w:r>
          </w:p>
        </w:tc>
        <w:tc>
          <w:tcPr>
            <w:tcW w:type="dxa" w:w="2050"/>
            <w:tcMar>
              <w:top w:type="dxa" w:w="60"/>
              <w:left w:type="dxa" w:w="100"/>
              <w:bottom w:type="dxa" w:w="60"/>
              <w:right w:type="dxa" w:w="100"/>
            </w:tcMar>
            <w:vAlign w:val="center"/>
          </w:tcPr>
          <w:p>
            <w:pPr>
              <w:jc w:val="center"/>
            </w:pPr>
            <w:r>
              <w:rPr>
                <w:b w:val="false"/>
                <w:bCs w:val="false"/>
                <w:color w:val="000000"/>
                <w:sz w:val="18"/>
                <w:szCs w:val="18"/>
              </w:rPr>
              <w:t xml:space="preserve">The one layer where COST is the real problem</w:t>
            </w:r>
          </w:p>
        </w:tc>
      </w:tr>
      <w:tr>
        <w:tc>
          <w:tcPr>
            <w:tcW w:type="dxa" w:w="38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Sleeping Bags</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+11.9%</w:t>
            </w:r>
          </w:p>
        </w:tc>
        <w:tc>
          <w:tcPr>
            <w:tcW w:type="dxa" w:w="2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Second cost-driven exception</w:t>
            </w:r>
          </w:p>
        </w:tc>
      </w:tr>
    </w:tbl>
    <w:p>
      <w:pPr>
        <w:pStyle w:val="Heading2"/>
        <w:spacing w:after="120" w:before="240"/>
      </w:pPr>
      <w:r>
        <w:t xml:space="preserve">4.6 Action Plan by Owner</w:t>
      </w:r>
    </w:p>
    <w:p>
      <w:pPr>
        <w:spacing w:after="80" w:before="160"/>
      </w:pPr>
      <w:r>
        <w:rPr>
          <w:b/>
          <w:bCs/>
          <w:i/>
          <w:iCs/>
          <w:color w:val="444444"/>
          <w:sz w:val="21"/>
          <w:szCs w:val="21"/>
        </w:rPr>
        <w:t xml:space="preserve">E-com — Merchandising Director</w:t>
      </w:r>
    </w:p>
    <w:p>
      <w:pPr>
        <w:pStyle w:val="ListParagraph"/>
        <w:numPr>
          <w:ilvl w:val="0"/>
          <w:numId w:val="2"/>
        </w:numPr>
        <w:spacing w:after="80"/>
      </w:pPr>
      <w:r>
        <w:t xml:space="preserve">Get a direct answer on the Jan/Apr/May promotional-calendar change starting 2025; decide to reverse or justify — don't let it run into a third year by default.</w:t>
      </w:r>
    </w:p>
    <w:p>
      <w:pPr>
        <w:pStyle w:val="ListParagraph"/>
        <w:numPr>
          <w:ilvl w:val="0"/>
          <w:numId w:val="2"/>
        </w:numPr>
        <w:spacing w:after="80"/>
      </w:pPr>
      <w:r>
        <w:t xml:space="preserve">Cross-check with Brand &amp; Marketing on whether ad spend is structurally bundled with discount codes.</w:t>
      </w:r>
    </w:p>
    <w:p>
      <w:pPr>
        <w:pStyle w:val="ListParagraph"/>
        <w:numPr>
          <w:ilvl w:val="0"/>
          <w:numId w:val="2"/>
        </w:numPr>
        <w:spacing w:after="80"/>
      </w:pPr>
      <w:r>
        <w:t xml:space="preserve">Resolve before the Sep-Nov window, which is also creeping and is the next full-price season.</w:t>
      </w:r>
    </w:p>
    <w:p>
      <w:pPr>
        <w:spacing w:after="80" w:before="160"/>
      </w:pPr>
      <w:r>
        <w:rPr>
          <w:b/>
          <w:bCs/>
          <w:i/>
          <w:iCs/>
          <w:color w:val="444444"/>
          <w:sz w:val="21"/>
          <w:szCs w:val="21"/>
        </w:rPr>
        <w:t xml:space="preserve">Wholesale — Wholesale Director</w:t>
      </w:r>
    </w:p>
    <w:p>
      <w:pPr>
        <w:pStyle w:val="ListParagraph"/>
        <w:numPr>
          <w:ilvl w:val="0"/>
          <w:numId w:val="2"/>
        </w:numPr>
        <w:spacing w:after="80"/>
      </w:pPr>
      <w:r>
        <w:t xml:space="preserve">Discount-approval/monitoring process for Reorder specifically (worse than Preorder on both price and volume in FY2025 — though YTD2026 shows this flipping, see Section 2.1).</w:t>
      </w:r>
    </w:p>
    <w:p>
      <w:pPr>
        <w:pStyle w:val="ListParagraph"/>
        <w:numPr>
          <w:ilvl w:val="0"/>
          <w:numId w:val="2"/>
        </w:numPr>
        <w:spacing w:after="80"/>
      </w:pPr>
      <w:r>
        <w:t xml:space="preserve">Direct conversation with RCT Systems Japan and Stadium on their -19% ASP moves.</w:t>
      </w:r>
    </w:p>
    <w:p>
      <w:pPr>
        <w:pStyle w:val="ListParagraph"/>
        <w:numPr>
          <w:ilvl w:val="0"/>
          <w:numId w:val="2"/>
        </w:numPr>
        <w:spacing w:after="80"/>
      </w:pPr>
      <w:r>
        <w:t xml:space="preserve">Wholesale-specific pricing-power review for Tops and Legwear (Legwear prices fine in Retail — this is channel-specific, not product-wide).</w:t>
      </w:r>
    </w:p>
    <w:p>
      <w:pPr>
        <w:spacing w:after="80" w:before="160"/>
      </w:pPr>
      <w:r>
        <w:rPr>
          <w:b/>
          <w:bCs/>
          <w:i/>
          <w:iCs/>
          <w:color w:val="444444"/>
          <w:sz w:val="21"/>
          <w:szCs w:val="21"/>
        </w:rPr>
        <w:t xml:space="preserve">Retail — Merchandising Director</w:t>
      </w:r>
    </w:p>
    <w:p>
      <w:pPr>
        <w:pStyle w:val="ListParagraph"/>
        <w:numPr>
          <w:ilvl w:val="0"/>
          <w:numId w:val="2"/>
        </w:numPr>
        <w:spacing w:after="80"/>
      </w:pPr>
      <w:r>
        <w:t xml:space="preserve">Retail is not already delivering full-price recovery. Apply the same discount-discipline fix as Wholesale, not a 'keep doing what's working' story. (Separately noted: the sales data cannot currently split brand-store vs. outlet-store revenue within Retail.)</w:t>
      </w:r>
    </w:p>
    <w:p>
      <w:pPr>
        <w:spacing w:after="80" w:before="160"/>
      </w:pPr>
      <w:r>
        <w:rPr>
          <w:b/>
          <w:bCs/>
          <w:i/>
          <w:iCs/>
          <w:color w:val="444444"/>
          <w:sz w:val="21"/>
          <w:szCs w:val="21"/>
        </w:rPr>
        <w:t xml:space="preserve">FW27 pricing — whoever owns FW27 markup-setting</w:t>
      </w:r>
    </w:p>
    <w:p>
      <w:pPr>
        <w:pStyle w:val="ListParagraph"/>
        <w:numPr>
          <w:ilvl w:val="0"/>
          <w:numId w:val="2"/>
        </w:numPr>
        <w:spacing w:after="80"/>
      </w:pPr>
      <w:r>
        <w:t xml:space="preserve">Clarify whether WP assumes a price increase versus historical practice, before treating the -24.2% price-realization gap as purely an execution failure.</w:t>
      </w:r>
    </w:p>
    <w:p>
      <w:pPr>
        <w:spacing w:after="80" w:before="160"/>
      </w:pPr>
      <w:r>
        <w:rPr>
          <w:b/>
          <w:bCs/>
          <w:i/>
          <w:iCs/>
          <w:color w:val="444444"/>
          <w:sz w:val="21"/>
          <w:szCs w:val="21"/>
        </w:rPr>
        <w:t xml:space="preserve">Product/Sourcing</w:t>
      </w:r>
    </w:p>
    <w:p>
      <w:pPr>
        <w:pStyle w:val="ListParagraph"/>
        <w:numPr>
          <w:ilvl w:val="0"/>
          <w:numId w:val="2"/>
        </w:numPr>
        <w:spacing w:after="80"/>
      </w:pPr>
      <w:r>
        <w:t xml:space="preserve">Landed-cost/BOM review specific to Legwear and Sleeping Bags.</w:t>
      </w:r>
    </w:p>
    <w:p>
      <w:r>
        <w:br w:type="page"/>
      </w:r>
    </w:p>
    <w:p>
      <w:pPr>
        <w:pStyle w:val="Heading1"/>
        <w:spacing w:after="160" w:before="320"/>
      </w:pPr>
      <w:r>
        <w:t xml:space="preserve">5. ASP / Sales Efficiency Increase</w:t>
      </w:r>
    </w:p>
    <w:p>
      <w:pPr>
        <w:pStyle w:val="Heading2"/>
        <w:spacing w:after="120" w:before="240"/>
      </w:pPr>
      <w:r>
        <w:t xml:space="preserve">5.1 Generation Updates as a Price-Increase Opportunity</w:t>
      </w:r>
    </w:p>
    <w:p>
      <w:pPr>
        <w:spacing w:after="160"/>
      </w:pPr>
      <w:r>
        <w:t xml:space="preserve">Contingent on genuine technical justification — product and copywriting need to work together from the brief stage, not have copywriting invent a story after the fact.</w:t>
      </w:r>
    </w:p>
    <w:p>
      <w:pPr>
        <w:pBdr>
          <w:left w:val="single" w:color="B23A3A" w:sz="18"/>
        </w:pBdr>
        <w:shd w:fill="FBE7E7" w:val="clear"/>
        <w:spacing w:after="120" w:before="100"/>
        <w:ind w:left="150" w:right="100"/>
      </w:pPr>
      <w:r>
        <w:rPr>
          <w:b/>
          <w:bCs/>
          <w:color w:val="7A1F1F"/>
        </w:rPr>
        <w:t xml:space="preserve">METHODOLOGY FLAG: </w:t>
      </w:r>
      <w:r>
        <w:t xml:space="preserve">Live evidence this is a real risk, not just a modeling exercise: wholesale accounts have already dropped orders when a new version's price increase wasn't matched by a perceived technical upgrade (2026-07-28 session). Any generation-update pricing case needs a genuine, defensible technical story attached, checked case by case — not applied as a blanket policy.</w:t>
      </w:r>
    </w:p>
    <w:p>
      <w:pPr>
        <w:spacing w:after="160"/>
      </w:pPr>
      <w:r>
        <w:t xml:space="preserve">39 franchise families are CLEAN CUTOVER version transitions (the outgoing article is &lt;15% of 2025 family units — i.e. the successor has already effectively taken over), worth 98.4M SEK of 2025 sales combined. These are the natural candidate list for a generation-update pricing conversation, since the successor is already the de facto standard and any price move lands on live volume, not a hypothetical future cutover. Top 15 by 2025 family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2350"/>
        <w:gridCol w:w="2325"/>
      </w:tblGrid>
      <w:tr>
        <w:trPr>
          <w:tblHeader/>
        </w:trPr>
        <w:tc>
          <w:tcPr>
            <w:tcW w:type="dxa" w:w="4675"/>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2350"/>
            <w:shd w:fill="2F2F2F" w:val="clear"/>
            <w:tcMar>
              <w:top w:type="dxa" w:w="60"/>
              <w:left w:type="dxa" w:w="100"/>
              <w:bottom w:type="dxa" w:w="60"/>
              <w:right w:type="dxa" w:w="100"/>
            </w:tcMar>
            <w:vAlign w:val="center"/>
          </w:tcPr>
          <w:p>
            <w:pPr>
              <w:jc w:val="center"/>
            </w:pPr>
            <w:r>
              <w:rPr>
                <w:b/>
                <w:bCs/>
                <w:color w:val="FFFFFF"/>
                <w:sz w:val="18"/>
                <w:szCs w:val="18"/>
              </w:rPr>
              <w:t xml:space="preserve">2025 Family Sales</w:t>
            </w:r>
          </w:p>
        </w:tc>
        <w:tc>
          <w:tcPr>
            <w:tcW w:type="dxa" w:w="2325"/>
            <w:shd w:fill="2F2F2F" w:val="clear"/>
            <w:tcMar>
              <w:top w:type="dxa" w:w="60"/>
              <w:left w:type="dxa" w:w="100"/>
              <w:bottom w:type="dxa" w:w="60"/>
              <w:right w:type="dxa" w:w="100"/>
            </w:tcMar>
            <w:vAlign w:val="center"/>
          </w:tcPr>
          <w:p>
            <w:pPr>
              <w:jc w:val="center"/>
            </w:pPr>
            <w:r>
              <w:rPr>
                <w:b/>
                <w:bCs/>
                <w:color w:val="FFFFFF"/>
                <w:sz w:val="18"/>
                <w:szCs w:val="18"/>
              </w:rPr>
              <w:t xml:space="preserve">Outgoing version's share of 2025 units</w:t>
            </w:r>
          </w:p>
        </w:tc>
      </w:tr>
      <w:tr>
        <w:tc>
          <w:tcPr>
            <w:tcW w:type="dxa" w:w="4675"/>
            <w:tcMar>
              <w:top w:type="dxa" w:w="60"/>
              <w:left w:type="dxa" w:w="100"/>
              <w:bottom w:type="dxa" w:w="60"/>
              <w:right w:type="dxa" w:w="100"/>
            </w:tcMar>
            <w:vAlign w:val="center"/>
          </w:tcPr>
          <w:p>
            <w:pPr>
              <w:jc w:val="left"/>
            </w:pPr>
            <w:r>
              <w:rPr>
                <w:b w:val="false"/>
                <w:bCs w:val="false"/>
                <w:color w:val="000000"/>
                <w:sz w:val="18"/>
                <w:szCs w:val="18"/>
              </w:rPr>
              <w:t xml:space="preserve">Haglöfs Ridge GTX Low (Men)</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11.80M</w:t>
            </w:r>
          </w:p>
        </w:tc>
        <w:tc>
          <w:tcPr>
            <w:tcW w:type="dxa" w:w="2325"/>
            <w:tcMar>
              <w:top w:type="dxa" w:w="60"/>
              <w:left w:type="dxa" w:w="100"/>
              <w:bottom w:type="dxa" w:w="60"/>
              <w:right w:type="dxa" w:w="100"/>
            </w:tcMar>
            <w:vAlign w:val="center"/>
          </w:tcPr>
          <w:p>
            <w:pPr>
              <w:jc w:val="center"/>
            </w:pPr>
            <w:r>
              <w:rPr>
                <w:b w:val="false"/>
                <w:bCs w:val="false"/>
                <w:color w:val="000000"/>
                <w:sz w:val="18"/>
                <w:szCs w:val="18"/>
              </w:rPr>
              <w:t xml:space="preserve">0.0%</w:t>
            </w:r>
          </w:p>
        </w:tc>
      </w:tr>
      <w:tr>
        <w:tc>
          <w:tcPr>
            <w:tcW w:type="dxa" w:w="4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GTX Jacket (Men)</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10.10M</w:t>
            </w:r>
          </w:p>
        </w:tc>
        <w:tc>
          <w:tcPr>
            <w:tcW w:type="dxa" w:w="232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w:t>
            </w:r>
          </w:p>
        </w:tc>
      </w:tr>
      <w:tr>
        <w:tc>
          <w:tcPr>
            <w:tcW w:type="dxa" w:w="4675"/>
            <w:tcMar>
              <w:top w:type="dxa" w:w="60"/>
              <w:left w:type="dxa" w:w="100"/>
              <w:bottom w:type="dxa" w:w="60"/>
              <w:right w:type="dxa" w:w="100"/>
            </w:tcMar>
            <w:vAlign w:val="center"/>
          </w:tcPr>
          <w:p>
            <w:pPr>
              <w:jc w:val="left"/>
            </w:pPr>
            <w:r>
              <w:rPr>
                <w:b w:val="false"/>
                <w:bCs w:val="false"/>
                <w:color w:val="000000"/>
                <w:sz w:val="18"/>
                <w:szCs w:val="18"/>
              </w:rPr>
              <w:t xml:space="preserve">Särna Mimic Hood (Men)</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8.65M</w:t>
            </w:r>
          </w:p>
        </w:tc>
        <w:tc>
          <w:tcPr>
            <w:tcW w:type="dxa" w:w="2325"/>
            <w:tcMar>
              <w:top w:type="dxa" w:w="60"/>
              <w:left w:type="dxa" w:w="100"/>
              <w:bottom w:type="dxa" w:w="60"/>
              <w:right w:type="dxa" w:w="100"/>
            </w:tcMar>
            <w:vAlign w:val="center"/>
          </w:tcPr>
          <w:p>
            <w:pPr>
              <w:jc w:val="center"/>
            </w:pPr>
            <w:r>
              <w:rPr>
                <w:b w:val="false"/>
                <w:bCs w:val="false"/>
                <w:color w:val="000000"/>
                <w:sz w:val="18"/>
                <w:szCs w:val="18"/>
              </w:rPr>
              <w:t xml:space="preserve">0.0%</w:t>
            </w:r>
          </w:p>
        </w:tc>
      </w:tr>
      <w:tr>
        <w:tc>
          <w:tcPr>
            <w:tcW w:type="dxa" w:w="4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Buteo Mid Jacket (Men)</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8.04M</w:t>
            </w:r>
          </w:p>
        </w:tc>
        <w:tc>
          <w:tcPr>
            <w:tcW w:type="dxa" w:w="232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r>
      <w:tr>
        <w:tc>
          <w:tcPr>
            <w:tcW w:type="dxa" w:w="4675"/>
            <w:tcMar>
              <w:top w:type="dxa" w:w="60"/>
              <w:left w:type="dxa" w:w="100"/>
              <w:bottom w:type="dxa" w:w="60"/>
              <w:right w:type="dxa" w:w="100"/>
            </w:tcMar>
            <w:vAlign w:val="center"/>
          </w:tcPr>
          <w:p>
            <w:pPr>
              <w:jc w:val="left"/>
            </w:pPr>
            <w:r>
              <w:rPr>
                <w:b w:val="false"/>
                <w:bCs w:val="false"/>
                <w:color w:val="000000"/>
                <w:sz w:val="18"/>
                <w:szCs w:val="18"/>
              </w:rPr>
              <w:t xml:space="preserve">Särna Mimic Hood (Women)</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7.35M</w:t>
            </w:r>
          </w:p>
        </w:tc>
        <w:tc>
          <w:tcPr>
            <w:tcW w:type="dxa" w:w="2325"/>
            <w:tcMar>
              <w:top w:type="dxa" w:w="60"/>
              <w:left w:type="dxa" w:w="100"/>
              <w:bottom w:type="dxa" w:w="60"/>
              <w:right w:type="dxa" w:w="100"/>
            </w:tcMar>
            <w:vAlign w:val="center"/>
          </w:tcPr>
          <w:p>
            <w:pPr>
              <w:jc w:val="center"/>
            </w:pPr>
            <w:r>
              <w:rPr>
                <w:b w:val="false"/>
                <w:bCs w:val="false"/>
                <w:color w:val="000000"/>
                <w:sz w:val="18"/>
                <w:szCs w:val="18"/>
              </w:rPr>
              <w:t xml:space="preserve">0.0%</w:t>
            </w:r>
          </w:p>
        </w:tc>
      </w:tr>
      <w:tr>
        <w:tc>
          <w:tcPr>
            <w:tcW w:type="dxa" w:w="4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Ridge GTX Low (Women)</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5.47M</w:t>
            </w:r>
          </w:p>
        </w:tc>
        <w:tc>
          <w:tcPr>
            <w:tcW w:type="dxa" w:w="232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r>
      <w:tr>
        <w:tc>
          <w:tcPr>
            <w:tcW w:type="dxa" w:w="4675"/>
            <w:tcMar>
              <w:top w:type="dxa" w:w="60"/>
              <w:left w:type="dxa" w:w="100"/>
              <w:bottom w:type="dxa" w:w="60"/>
              <w:right w:type="dxa" w:w="100"/>
            </w:tcMar>
            <w:vAlign w:val="center"/>
          </w:tcPr>
          <w:p>
            <w:pPr>
              <w:jc w:val="left"/>
            </w:pPr>
            <w:r>
              <w:rPr>
                <w:b w:val="false"/>
                <w:bCs w:val="false"/>
                <w:color w:val="000000"/>
                <w:sz w:val="18"/>
                <w:szCs w:val="18"/>
              </w:rPr>
              <w:t xml:space="preserve">L.I.M GTX Jacket (Women)</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5.30M</w:t>
            </w:r>
          </w:p>
        </w:tc>
        <w:tc>
          <w:tcPr>
            <w:tcW w:type="dxa" w:w="2325"/>
            <w:tcMar>
              <w:top w:type="dxa" w:w="60"/>
              <w:left w:type="dxa" w:w="100"/>
              <w:bottom w:type="dxa" w:w="60"/>
              <w:right w:type="dxa" w:w="100"/>
            </w:tcMar>
            <w:vAlign w:val="center"/>
          </w:tcPr>
          <w:p>
            <w:pPr>
              <w:jc w:val="center"/>
            </w:pPr>
            <w:r>
              <w:rPr>
                <w:b w:val="false"/>
                <w:bCs w:val="false"/>
                <w:color w:val="000000"/>
                <w:sz w:val="18"/>
                <w:szCs w:val="18"/>
              </w:rPr>
              <w:t xml:space="preserve">8.3%</w:t>
            </w:r>
          </w:p>
        </w:tc>
      </w:tr>
      <w:tr>
        <w:tc>
          <w:tcPr>
            <w:tcW w:type="dxa" w:w="4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Buteo Mid Jacket (Women)</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5.11M</w:t>
            </w:r>
          </w:p>
        </w:tc>
        <w:tc>
          <w:tcPr>
            <w:tcW w:type="dxa" w:w="232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r>
      <w:tr>
        <w:tc>
          <w:tcPr>
            <w:tcW w:type="dxa" w:w="4675"/>
            <w:tcMar>
              <w:top w:type="dxa" w:w="60"/>
              <w:left w:type="dxa" w:w="100"/>
              <w:bottom w:type="dxa" w:w="60"/>
              <w:right w:type="dxa" w:w="100"/>
            </w:tcMar>
            <w:vAlign w:val="center"/>
          </w:tcPr>
          <w:p>
            <w:pPr>
              <w:jc w:val="left"/>
            </w:pPr>
            <w:r>
              <w:rPr>
                <w:b w:val="false"/>
                <w:bCs w:val="false"/>
                <w:color w:val="000000"/>
                <w:sz w:val="18"/>
                <w:szCs w:val="18"/>
              </w:rPr>
              <w:t xml:space="preserve">Haglöfs Ridge GTX Mid (Men)</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4.53M</w:t>
            </w:r>
          </w:p>
        </w:tc>
        <w:tc>
          <w:tcPr>
            <w:tcW w:type="dxa" w:w="2325"/>
            <w:tcMar>
              <w:top w:type="dxa" w:w="60"/>
              <w:left w:type="dxa" w:w="100"/>
              <w:bottom w:type="dxa" w:w="60"/>
              <w:right w:type="dxa" w:w="100"/>
            </w:tcMar>
            <w:vAlign w:val="center"/>
          </w:tcPr>
          <w:p>
            <w:pPr>
              <w:jc w:val="center"/>
            </w:pPr>
            <w:r>
              <w:rPr>
                <w:b w:val="false"/>
                <w:bCs w:val="false"/>
                <w:color w:val="000000"/>
                <w:sz w:val="18"/>
                <w:szCs w:val="18"/>
              </w:rPr>
              <w:t xml:space="preserve">0.0%</w:t>
            </w:r>
          </w:p>
        </w:tc>
      </w:tr>
      <w:tr>
        <w:tc>
          <w:tcPr>
            <w:tcW w:type="dxa" w:w="4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Kaja Proof Jacket (Men)</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4.20M</w:t>
            </w:r>
          </w:p>
        </w:tc>
        <w:tc>
          <w:tcPr>
            <w:tcW w:type="dxa" w:w="232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r>
      <w:tr>
        <w:tc>
          <w:tcPr>
            <w:tcW w:type="dxa" w:w="4675"/>
            <w:tcMar>
              <w:top w:type="dxa" w:w="60"/>
              <w:left w:type="dxa" w:w="100"/>
              <w:bottom w:type="dxa" w:w="60"/>
              <w:right w:type="dxa" w:w="100"/>
            </w:tcMar>
            <w:vAlign w:val="center"/>
          </w:tcPr>
          <w:p>
            <w:pPr>
              <w:jc w:val="left"/>
            </w:pPr>
            <w:r>
              <w:rPr>
                <w:b w:val="false"/>
                <w:bCs w:val="false"/>
                <w:color w:val="000000"/>
                <w:sz w:val="18"/>
                <w:szCs w:val="18"/>
              </w:rPr>
              <w:t xml:space="preserve">Bield Down Hood (Men)</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3.85M</w:t>
            </w:r>
          </w:p>
        </w:tc>
        <w:tc>
          <w:tcPr>
            <w:tcW w:type="dxa" w:w="2325"/>
            <w:tcMar>
              <w:top w:type="dxa" w:w="60"/>
              <w:left w:type="dxa" w:w="100"/>
              <w:bottom w:type="dxa" w:w="60"/>
              <w:right w:type="dxa" w:w="100"/>
            </w:tcMar>
            <w:vAlign w:val="center"/>
          </w:tcPr>
          <w:p>
            <w:pPr>
              <w:jc w:val="center"/>
            </w:pPr>
            <w:r>
              <w:rPr>
                <w:b w:val="false"/>
                <w:bCs w:val="false"/>
                <w:color w:val="000000"/>
                <w:sz w:val="18"/>
                <w:szCs w:val="18"/>
              </w:rPr>
              <w:t xml:space="preserve">1.5%</w:t>
            </w:r>
          </w:p>
        </w:tc>
      </w:tr>
      <w:tr>
        <w:tc>
          <w:tcPr>
            <w:tcW w:type="dxa" w:w="4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Chaos GTX Jacket (Men)</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3.14M</w:t>
            </w:r>
          </w:p>
        </w:tc>
        <w:tc>
          <w:tcPr>
            <w:tcW w:type="dxa" w:w="232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w:t>
            </w:r>
          </w:p>
        </w:tc>
      </w:tr>
      <w:tr>
        <w:tc>
          <w:tcPr>
            <w:tcW w:type="dxa" w:w="4675"/>
            <w:tcMar>
              <w:top w:type="dxa" w:w="60"/>
              <w:left w:type="dxa" w:w="100"/>
              <w:bottom w:type="dxa" w:w="60"/>
              <w:right w:type="dxa" w:w="100"/>
            </w:tcMar>
            <w:vAlign w:val="center"/>
          </w:tcPr>
          <w:p>
            <w:pPr>
              <w:jc w:val="left"/>
            </w:pPr>
            <w:r>
              <w:rPr>
                <w:b w:val="false"/>
                <w:bCs w:val="false"/>
                <w:color w:val="000000"/>
                <w:sz w:val="18"/>
                <w:szCs w:val="18"/>
              </w:rPr>
              <w:t xml:space="preserve">Haglöfs Ridge GTX Mid (Women)</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3.07M</w:t>
            </w:r>
          </w:p>
        </w:tc>
        <w:tc>
          <w:tcPr>
            <w:tcW w:type="dxa" w:w="2325"/>
            <w:tcMar>
              <w:top w:type="dxa" w:w="60"/>
              <w:left w:type="dxa" w:w="100"/>
              <w:bottom w:type="dxa" w:w="60"/>
              <w:right w:type="dxa" w:w="100"/>
            </w:tcMar>
            <w:vAlign w:val="center"/>
          </w:tcPr>
          <w:p>
            <w:pPr>
              <w:jc w:val="center"/>
            </w:pPr>
            <w:r>
              <w:rPr>
                <w:b w:val="false"/>
                <w:bCs w:val="false"/>
                <w:color w:val="000000"/>
                <w:sz w:val="18"/>
                <w:szCs w:val="18"/>
              </w:rPr>
              <w:t xml:space="preserve">0.0%</w:t>
            </w:r>
          </w:p>
        </w:tc>
      </w:tr>
      <w:tr>
        <w:tc>
          <w:tcPr>
            <w:tcW w:type="dxa" w:w="4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Bow Windstopper Glove (Unisex)</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1.23M</w:t>
            </w:r>
          </w:p>
        </w:tc>
        <w:tc>
          <w:tcPr>
            <w:tcW w:type="dxa" w:w="232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14.1%</w:t>
            </w:r>
          </w:p>
        </w:tc>
      </w:tr>
      <w:tr>
        <w:tc>
          <w:tcPr>
            <w:tcW w:type="dxa" w:w="4675"/>
            <w:tcMar>
              <w:top w:type="dxa" w:w="60"/>
              <w:left w:type="dxa" w:w="100"/>
              <w:bottom w:type="dxa" w:w="60"/>
              <w:right w:type="dxa" w:w="100"/>
            </w:tcMar>
            <w:vAlign w:val="center"/>
          </w:tcPr>
          <w:p>
            <w:pPr>
              <w:jc w:val="left"/>
            </w:pPr>
            <w:r>
              <w:rPr>
                <w:b w:val="false"/>
                <w:bCs w:val="false"/>
                <w:color w:val="000000"/>
                <w:sz w:val="18"/>
                <w:szCs w:val="18"/>
              </w:rPr>
              <w:t xml:space="preserve">Gran 3-in-1 Proof Jacket (Men)</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1.19M</w:t>
            </w:r>
          </w:p>
        </w:tc>
        <w:tc>
          <w:tcPr>
            <w:tcW w:type="dxa" w:w="2325"/>
            <w:tcMar>
              <w:top w:type="dxa" w:w="60"/>
              <w:left w:type="dxa" w:w="100"/>
              <w:bottom w:type="dxa" w:w="60"/>
              <w:right w:type="dxa" w:w="100"/>
            </w:tcMar>
            <w:vAlign w:val="center"/>
          </w:tcPr>
          <w:p>
            <w:pPr>
              <w:jc w:val="center"/>
            </w:pPr>
            <w:r>
              <w:rPr>
                <w:b w:val="false"/>
                <w:bCs w:val="false"/>
                <w:color w:val="000000"/>
                <w:sz w:val="18"/>
                <w:szCs w:val="18"/>
              </w:rPr>
              <w:t xml:space="preserve">14.0%</w:t>
            </w:r>
          </w:p>
        </w:tc>
      </w:tr>
    </w:tbl>
    <w:p>
      <w:pPr>
        <w:spacing w:after="200"/>
      </w:pPr>
      <w:r>
        <w:rPr>
          <w:i/>
          <w:iCs/>
          <w:color w:val="555555"/>
          <w:sz w:val="18"/>
          <w:szCs w:val="18"/>
        </w:rPr>
        <w:t xml:space="preserve">Full 39-family list is in the backup workbook (bob_version_successor_families_review.xlsx, sheet 'Family Summary', filtered to Transition = CLEAN CUTOVER). A further 24 families are HEAVY OVERLAP and 23 are PARTIAL OVERLAP — both still running meaningful outgoing-version volume, so a price increase there would need to apply across both versions simultaneously, a materially different (and riskier) conversation than the clean-cutover list above.</w:t>
      </w:r>
    </w:p>
    <w:p>
      <w:pPr>
        <w:pStyle w:val="Heading2"/>
        <w:spacing w:after="120" w:before="240"/>
      </w:pPr>
      <w:r>
        <w:t xml:space="preserve">5.2 Basket Size Increase / Sales per Square Ft. Efficiency</w:t>
      </w:r>
    </w:p>
    <w:p>
      <w:pPr>
        <w:pBdr>
          <w:left w:val="single" w:color="B23A3A" w:sz="18"/>
        </w:pBdr>
        <w:shd w:fill="FBE7E7" w:val="clear"/>
        <w:spacing w:after="120" w:before="100"/>
        <w:ind w:left="150" w:right="100"/>
      </w:pPr>
      <w:r>
        <w:rPr>
          <w:b/>
          <w:bCs/>
          <w:color w:val="7A1F1F"/>
        </w:rPr>
        <w:t xml:space="preserve">METHODOLOGY FLAG: </w:t>
      </w:r>
      <w:r>
        <w:t xml:space="preserve">Correction to the draft assumption: 'basket size increase via Accessories' cannot currently be measured. A real basket-size argument needs a transaction-level extract with an order ID to group by; the sales extract has no transaction/order ID — UPT and ATV in this data are per-SKU artifacts (units of one specific article divided by transactions that included it), not true basket metrics. Until a transaction-level extract exists, this should be framed as a qualitative hypothesis, not something the current sales analysis can actually prove.</w:t>
      </w:r>
    </w:p>
    <w:p>
      <w:r>
        <w:br w:type="page"/>
      </w:r>
    </w:p>
    <w:p>
      <w:pPr>
        <w:pStyle w:val="Heading1"/>
        <w:spacing w:after="160" w:before="320"/>
      </w:pPr>
      <w:r>
        <w:t xml:space="preserve">6. New Store Openings</w:t>
      </w:r>
    </w:p>
    <w:p>
      <w:pPr>
        <w:pBdr>
          <w:left w:val="single" w:color="3C8A4C" w:sz="18"/>
        </w:pBdr>
        <w:shd w:fill="EAF3EA" w:val="clear"/>
        <w:spacing w:after="120" w:before="100"/>
        <w:ind w:left="150" w:right="100"/>
      </w:pPr>
      <w:r>
        <w:rPr>
          <w:b/>
          <w:bCs/>
          <w:color w:val="1F5C2E"/>
        </w:rPr>
        <w:t xml:space="preserve">DATA SHOWS: </w:t>
      </w:r>
      <w:r>
        <w:t xml:space="preserve">Judged correctly (Capex-to-EBIT payback, not Capex-to-Sales), the roster ranks very differently than a sales screen suggests. Copenhagen has unremarkable Gross Sales (12.5M, mid-roster) but the worst payback by far (20 years, 1.6% EBIT margin) — invisible on a sales-only screen. Store-level 'Run-Rate' figures are a single 2032 snapshot, not a normalized run-rate: EBIT margin correlates 0.71 with years-to-mature-by-2032, so cross-store rankings (e.g. Innsbruck's apparent best-in-roster payback) are vintage-confounded, not a clean like-for-like comparison.</w:t>
      </w:r>
    </w:p>
    <w:p>
      <w:pPr>
        <w:spacing w:after="160"/>
      </w:pPr>
      <w:r>
        <w:t xml:space="preserve">Two open questions from the prior draft are now resolved by decisions made at the 2026-07-28 session, not by further data work:</w:t>
      </w:r>
    </w:p>
    <w:p>
      <w:pPr>
        <w:pStyle w:val="ListParagraph"/>
        <w:numPr>
          <w:ilvl w:val="0"/>
          <w:numId w:val="2"/>
        </w:numPr>
        <w:spacing w:after="80"/>
      </w:pPr>
      <w:r>
        <w:t xml:space="preserve">Munich: rejected outright. Rent makes the store structurally unprofitable, independent of any Wholesale-trend question.</w:t>
      </w:r>
    </w:p>
    <w:p>
      <w:pPr>
        <w:pStyle w:val="ListParagraph"/>
        <w:numPr>
          <w:ilvl w:val="0"/>
          <w:numId w:val="2"/>
        </w:numPr>
        <w:spacing w:after="80"/>
      </w:pPr>
      <w:r>
        <w:t xml:space="preserve">Copenhagen: still an open, unresolved problem as of this draft — its weak economics hold up even within its own opening-year cohort, so it is not simply a vintage artifact. Recommend resolving this before the workshop, not raising it as a live question at it.</w:t>
      </w:r>
    </w:p>
    <w:p>
      <w:pPr>
        <w:pBdr>
          <w:left w:val="single" w:color="C97A1A" w:sz="18"/>
        </w:pBdr>
        <w:shd w:fill="FCEFDC" w:val="clear"/>
        <w:spacing w:after="120" w:before="100"/>
        <w:ind w:left="150" w:right="100"/>
      </w:pPr>
      <w:r>
        <w:rPr>
          <w:b/>
          <w:bCs/>
          <w:color w:val="8A4B00"/>
        </w:rPr>
        <w:t xml:space="preserve">NOT ANSWERABLE FROM DATA — ASK: </w:t>
      </w:r>
      <w:r>
        <w:t xml:space="preserve">Can the store-level ramp curve (Year 1, Year 2, Year 3 post-opening, not calendar-year 2032) be obtained, so every store is compared on the same years-since-opening basis? Without it, any cross-vintage ranking — including Innsbruck's apparent outperformance — should be treated as indicative, not confirmed. Owner: whoever owns the store-level financial model.</w:t>
      </w:r>
    </w:p>
    <w:p>
      <w:pPr>
        <w:pStyle w:val="Heading2"/>
        <w:spacing w:after="120" w:before="240"/>
      </w:pPr>
      <w:r>
        <w:t xml:space="preserve">6.1 Investment Case: Capex vs. EBIT Payback, Not Capex vs. Gross Sales</w:t>
      </w:r>
    </w:p>
    <w:p>
      <w:pPr>
        <w:spacing w:after="160"/>
      </w:pPr>
      <w:r>
        <w:t xml:space="preserve">Judging a capital investment on Capex-to-Sales is a screening ratio at best — it says nothing about profitability, so it can look fine on a store that is actually a poor investment. The correct basis is Capex-to-EBIT (payback period) or, ultimately, a full multi-year cash-flow IRR. Ranking all 16 stores this way changes the read substantially: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500"/>
        <w:gridCol w:w="1500"/>
        <w:gridCol w:w="1500"/>
        <w:gridCol w:w="1550"/>
        <w:gridCol w:w="1550"/>
      </w:tblGrid>
      <w:tr>
        <w:trPr>
          <w:tblHeader/>
        </w:trPr>
        <w:tc>
          <w:tcPr>
            <w:tcW w:type="dxa" w:w="1750"/>
            <w:shd w:fill="2F2F2F" w:val="clear"/>
            <w:tcMar>
              <w:top w:type="dxa" w:w="60"/>
              <w:left w:type="dxa" w:w="100"/>
              <w:bottom w:type="dxa" w:w="60"/>
              <w:right w:type="dxa" w:w="100"/>
            </w:tcMar>
            <w:vAlign w:val="center"/>
          </w:tcPr>
          <w:p>
            <w:pPr>
              <w:jc w:val="left"/>
            </w:pPr>
            <w:r>
              <w:rPr>
                <w:b/>
                <w:bCs/>
                <w:color w:val="FFFFFF"/>
                <w:sz w:val="18"/>
                <w:szCs w:val="18"/>
              </w:rPr>
              <w:t xml:space="preserve">Store</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Sales RR (MSEK)</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EBIT RR (MSEK)</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Capex (MSEK)</w:t>
            </w:r>
          </w:p>
        </w:tc>
        <w:tc>
          <w:tcPr>
            <w:tcW w:type="dxa" w:w="1550"/>
            <w:shd w:fill="2F2F2F" w:val="clear"/>
            <w:tcMar>
              <w:top w:type="dxa" w:w="60"/>
              <w:left w:type="dxa" w:w="100"/>
              <w:bottom w:type="dxa" w:w="60"/>
              <w:right w:type="dxa" w:w="100"/>
            </w:tcMar>
            <w:vAlign w:val="center"/>
          </w:tcPr>
          <w:p>
            <w:pPr>
              <w:jc w:val="center"/>
            </w:pPr>
            <w:r>
              <w:rPr>
                <w:b/>
                <w:bCs/>
                <w:color w:val="FFFFFF"/>
                <w:sz w:val="18"/>
                <w:szCs w:val="18"/>
              </w:rPr>
              <w:t xml:space="preserve">EBIT margin</w:t>
            </w:r>
          </w:p>
        </w:tc>
        <w:tc>
          <w:tcPr>
            <w:tcW w:type="dxa" w:w="1550"/>
            <w:shd w:fill="2F2F2F" w:val="clear"/>
            <w:tcMar>
              <w:top w:type="dxa" w:w="60"/>
              <w:left w:type="dxa" w:w="100"/>
              <w:bottom w:type="dxa" w:w="60"/>
              <w:right w:type="dxa" w:w="100"/>
            </w:tcMar>
            <w:vAlign w:val="center"/>
          </w:tcPr>
          <w:p>
            <w:pPr>
              <w:jc w:val="center"/>
            </w:pPr>
            <w:r>
              <w:rPr>
                <w:b/>
                <w:bCs/>
                <w:color w:val="FFFFFF"/>
                <w:sz w:val="18"/>
                <w:szCs w:val="18"/>
              </w:rPr>
              <w:t xml:space="preserve">Payback (yrs)</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Innsbruck</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13.7</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35.0%</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0.4</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St Anton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28.4%</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Sundsvall</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10.1</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23.8%</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1.3</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Pandorf (Outlet)</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18.8</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10.1%</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München</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14.2</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2.6</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18.3%</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1.7</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Outlet UK</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15.4</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10.4%</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Salzburg</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9.8</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3.8</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18.4%</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2.1</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Arlanda</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6.4</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20.3%</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Emporia (Malmö)</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7.8</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17.9%</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2.4</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Hamburg</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10.5</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15.2%</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Gothenburg</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5.4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18.5%</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3.0</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Vienna</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10.7</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10.3%</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Manchester</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11.9</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8.4%</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4.0</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Oslo</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6.7</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London</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14.5</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0.7</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7.1</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Copenhagen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12.5</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20.0</w:t>
            </w:r>
          </w:p>
        </w:tc>
      </w:tr>
    </w:tbl>
    <w:p>
      <w:pPr>
        <w:spacing w:after="160"/>
      </w:pPr>
      <w:r>
        <w:t xml:space="preserve">Copenhagen is the clearest proof that Capex-to-Sales would have missed the real problem: its 12.5M Gross Sales run-rate sits squarely in the middle of the roster, unremarkable on a sales screen — but its EBIT margin (1.6%) and payback (20 years) are by far the worst of any store. A sales-only screen would never have flagged it.</w:t>
      </w:r>
    </w:p>
    <w:p>
      <w:pPr>
        <w:spacing w:after="80" w:before="160"/>
      </w:pPr>
      <w:r>
        <w:rPr>
          <w:b/>
          <w:bCs/>
          <w:i/>
          <w:iCs/>
          <w:color w:val="444444"/>
          <w:sz w:val="21"/>
          <w:szCs w:val="21"/>
        </w:rPr>
        <w:t xml:space="preserve">A critical caveat: these figures are a 2032 snapshot, not a normalized run-rate</w:t>
      </w:r>
    </w:p>
    <w:p>
      <w:pPr>
        <w:spacing w:after="160"/>
      </w:pPr>
      <w:r>
        <w:t xml:space="preserve">The 16 stores open across four different years (2026-2029), but the Sales/EBIT figures above are all read off the same single point in time — the 2032 slide. That means a store's apparent maturity depends partly on how long it has had to ramp by 2032, not just on the quality of the site.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2350"/>
        <w:gridCol w:w="1500"/>
        <w:gridCol w:w="1500"/>
        <w:gridCol w:w="150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Opening year</w:t>
            </w:r>
          </w:p>
        </w:tc>
        <w:tc>
          <w:tcPr>
            <w:tcW w:type="dxa" w:w="2350"/>
            <w:shd w:fill="2F2F2F" w:val="clear"/>
            <w:tcMar>
              <w:top w:type="dxa" w:w="60"/>
              <w:left w:type="dxa" w:w="100"/>
              <w:bottom w:type="dxa" w:w="60"/>
              <w:right w:type="dxa" w:w="100"/>
            </w:tcMar>
            <w:vAlign w:val="center"/>
          </w:tcPr>
          <w:p>
            <w:pPr>
              <w:jc w:val="center"/>
            </w:pPr>
            <w:r>
              <w:rPr>
                <w:b/>
                <w:bCs/>
                <w:color w:val="FFFFFF"/>
                <w:sz w:val="18"/>
                <w:szCs w:val="18"/>
              </w:rPr>
              <w:t xml:space="preserve">Years to mature by 2032</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N stores</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Avg EBIT margin</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Avg payback (yrs)</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2026</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6</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26.4%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1.4</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2027</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19.9%</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2028</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5</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9.8%</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6.3</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2029</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w:t>
            </w:r>
          </w:p>
        </w:tc>
      </w:tr>
    </w:tbl>
    <w:p>
      <w:pPr>
        <w:spacing w:after="160"/>
      </w:pPr>
      <w:r>
        <w:rPr>
          <w:i/>
          <w:iCs/>
        </w:rPr>
        <w:t xml:space="preserve">Methodology note: average EBIT margin falls in a clean staircase from the earliest-opening cohort (26.4%) to the latest (8.3%), and the correlation between years-to-mature-by-2032 and EBIT margin across all 16 stores is 0.71. That is a real, quantifiable bias, not noise: stores opening earlier simply have more years baked into their 2032 number. Practical implications — Innsbruck's apparent best-in-roster payback (0.4 years) is partly a vintage effect (it gets a full 6-year ramp) rather than pure proof of site quality; conversely, Oslo and London (3-year ramp) are likely being judged more harshly than their eventual steady-state will show. Copenhagen still holds up as a genuine problem even controlling for this — within its own 2028 cohort (4-year ramp), its peers show 8.4-18.4% EBIT margin against Copenhagen's 1.6%, so this is a site-specific issue, not just an artifact of being young.</w:t>
      </w:r>
    </w:p>
    <w:p>
      <w:pPr>
        <w:pBdr>
          <w:left w:val="single" w:color="C97A1A" w:sz="18"/>
        </w:pBdr>
        <w:shd w:fill="FCEFDC" w:val="clear"/>
        <w:spacing w:after="120" w:before="100"/>
        <w:ind w:left="150" w:right="100"/>
      </w:pPr>
      <w:r>
        <w:rPr>
          <w:b/>
          <w:bCs/>
          <w:color w:val="8A4B00"/>
        </w:rPr>
        <w:t xml:space="preserve">NOT ANSWERABLE FROM DATA — ASK: </w:t>
      </w:r>
      <w:r>
        <w:t xml:space="preserve">Is Innsbruck's standout 2032 projection (35.0% EBIT margin, the best in the roster) a genuinely superior site, or does it carry more optimistic planning assumptions because it is the flagship/first-mover store? Worth a direct gut-check before using it as the benchmark case for the rest of the roll-out. Owner: Retail Expansion lead.</w:t>
      </w:r>
    </w:p>
    <w:p>
      <w:pPr>
        <w:pBdr>
          <w:left w:val="single" w:color="C97A1A" w:sz="18"/>
        </w:pBdr>
        <w:shd w:fill="FCEFDC" w:val="clear"/>
        <w:spacing w:after="120" w:before="100"/>
        <w:ind w:left="150" w:right="100"/>
      </w:pPr>
      <w:r>
        <w:rPr>
          <w:b/>
          <w:bCs/>
          <w:color w:val="8A4B00"/>
        </w:rPr>
        <w:t xml:space="preserve">NOT ANSWERABLE FROM DATA — ASK: </w:t>
      </w:r>
      <w:r>
        <w:t xml:space="preserve">Given Copenhagen's payback holds up even within its own opening-year cohort, should it be re-scoped or re-negotiated (different site, smaller footprint, renegotiated rent) before the 2028 commitment is finalized? Owner: Retail Expansion / Real Estate lead.</w:t>
      </w:r>
    </w:p>
    <w:p>
      <w:pPr>
        <w:pStyle w:val="Heading2"/>
        <w:spacing w:after="120" w:before="240"/>
      </w:pPr>
      <w:r>
        <w:t xml:space="preserve">6.2 Market-Readiness Cross-Check: Does Existing Demand Support the Country Choices?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2650"/>
        <w:gridCol w:w="2000"/>
        <w:gridCol w:w="2300"/>
      </w:tblGrid>
      <w:tr>
        <w:trPr>
          <w:tblHeader/>
        </w:trPr>
        <w:tc>
          <w:tcPr>
            <w:tcW w:type="dxa" w:w="1400"/>
            <w:shd w:fill="2F2F2F" w:val="clear"/>
            <w:tcMar>
              <w:top w:type="dxa" w:w="60"/>
              <w:left w:type="dxa" w:w="100"/>
              <w:bottom w:type="dxa" w:w="60"/>
              <w:right w:type="dxa" w:w="100"/>
            </w:tcMar>
            <w:vAlign w:val="center"/>
          </w:tcPr>
          <w:p>
            <w:pPr>
              <w:jc w:val="left"/>
            </w:pPr>
            <w:r>
              <w:rPr>
                <w:b/>
                <w:bCs/>
                <w:color w:val="FFFFFF"/>
                <w:sz w:val="18"/>
                <w:szCs w:val="18"/>
              </w:rPr>
              <w:t xml:space="preserve">Market</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New stores</w:t>
            </w:r>
          </w:p>
        </w:tc>
        <w:tc>
          <w:tcPr>
            <w:tcW w:type="dxa" w:w="2650"/>
            <w:shd w:fill="2F2F2F" w:val="clear"/>
            <w:tcMar>
              <w:top w:type="dxa" w:w="60"/>
              <w:left w:type="dxa" w:w="100"/>
              <w:bottom w:type="dxa" w:w="60"/>
              <w:right w:type="dxa" w:w="100"/>
            </w:tcMar>
            <w:vAlign w:val="center"/>
          </w:tcPr>
          <w:p>
            <w:pPr>
              <w:jc w:val="center"/>
            </w:pPr>
            <w:r>
              <w:rPr>
                <w:b/>
                <w:bCs/>
                <w:color w:val="FFFFFF"/>
                <w:sz w:val="18"/>
                <w:szCs w:val="18"/>
              </w:rPr>
              <w:t xml:space="preserve">Wholesale 2025 (growth)</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E-com 2025 (growth)</w:t>
            </w:r>
          </w:p>
        </w:tc>
        <w:tc>
          <w:tcPr>
            <w:tcW w:type="dxa" w:w="23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1400"/>
            <w:tcMar>
              <w:top w:type="dxa" w:w="60"/>
              <w:left w:type="dxa" w:w="100"/>
              <w:bottom w:type="dxa" w:w="60"/>
              <w:right w:type="dxa" w:w="100"/>
            </w:tcMar>
            <w:vAlign w:val="center"/>
          </w:tcPr>
          <w:p>
            <w:pPr>
              <w:jc w:val="left"/>
            </w:pPr>
            <w:r>
              <w:rPr>
                <w:b w:val="false"/>
                <w:bCs w:val="false"/>
                <w:color w:val="000000"/>
                <w:sz w:val="18"/>
                <w:szCs w:val="18"/>
              </w:rPr>
              <w:t xml:space="preserve">Austria</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5</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0 — no accounts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0.93M (+11.5%)</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No existing footprint; weakest E-com growth of any target market</w:t>
            </w:r>
          </w:p>
        </w:tc>
      </w:tr>
      <w:tr>
        <w:tc>
          <w:tcPr>
            <w:tcW w:type="dxa" w:w="1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Sweden</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141.0M (+12.8%)</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32.9M (+47.5%)</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Strong in both channels — best-supported bet</w:t>
            </w:r>
          </w:p>
        </w:tc>
      </w:tr>
      <w:tr>
        <w:tc>
          <w:tcPr>
            <w:tcW w:type="dxa" w:w="1400"/>
            <w:tcMar>
              <w:top w:type="dxa" w:w="60"/>
              <w:left w:type="dxa" w:w="100"/>
              <w:bottom w:type="dxa" w:w="60"/>
              <w:right w:type="dxa" w:w="100"/>
            </w:tcMar>
            <w:vAlign w:val="center"/>
          </w:tcPr>
          <w:p>
            <w:pPr>
              <w:jc w:val="left"/>
            </w:pPr>
            <w:r>
              <w:rPr>
                <w:b w:val="false"/>
                <w:bCs w:val="false"/>
                <w:color w:val="000000"/>
                <w:sz w:val="18"/>
                <w:szCs w:val="18"/>
              </w:rPr>
              <w:t xml:space="preserve">Germany</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83.3M (+15.4%) — but -18.2% ex-Zalando</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15.1M (+30.7%)</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Wholesale growth is a Zalando artifact; E-com genuinely strong</w:t>
            </w:r>
          </w:p>
        </w:tc>
      </w:tr>
      <w:tr>
        <w:tc>
          <w:tcPr>
            <w:tcW w:type="dxa" w:w="1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UK</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13.5M (-27.7%)</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12.5M (+25.1%)</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Wholesale collapsing, E-com growing — ambiguous divergence</w:t>
            </w:r>
          </w:p>
        </w:tc>
      </w:tr>
      <w:tr>
        <w:tc>
          <w:tcPr>
            <w:tcW w:type="dxa" w:w="1400"/>
            <w:tcMar>
              <w:top w:type="dxa" w:w="60"/>
              <w:left w:type="dxa" w:w="100"/>
              <w:bottom w:type="dxa" w:w="60"/>
              <w:right w:type="dxa" w:w="100"/>
            </w:tcMar>
            <w:vAlign w:val="center"/>
          </w:tcPr>
          <w:p>
            <w:pPr>
              <w:jc w:val="left"/>
            </w:pPr>
            <w:r>
              <w:rPr>
                <w:b w:val="false"/>
                <w:bCs w:val="false"/>
                <w:color w:val="000000"/>
                <w:sz w:val="18"/>
                <w:szCs w:val="18"/>
              </w:rPr>
              <w:t xml:space="preserve">Denmark</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60.1M (-8.6%)</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8.4M (+37.9%)</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Wholesale still sizeable but declining</w:t>
            </w:r>
          </w:p>
        </w:tc>
      </w:tr>
      <w:tr>
        <w:tc>
          <w:tcPr>
            <w:tcW w:type="dxa" w:w="1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Norway</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9.2M (-31.0%)</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8.9M (+58.7%)</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Same divergence as UK, more extreme</w:t>
            </w:r>
          </w:p>
        </w:tc>
      </w:tr>
    </w:tbl>
    <w:p>
      <w:pPr>
        <w:spacing w:after="160"/>
      </w:pPr>
      <w:r>
        <w:t xml:space="preserve">Germany: Zalando is 63.0% of 2025 German Wholesale sales (52.5M of 83.3M). Excluding Zalando, German Wholesale sales fell from 37.6M (2024) to 30.7M (2025), a -18.2% decline — the opposite sign of the +15.4% headline figure. Zalando is the same outlet/clearance-mechanism account already flagged in Topics 1-2 as structurally different from normal Wholesale demand; reading it as organic Wholesale growth overstates the German full-price case materially.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2100"/>
        <w:gridCol w:w="1400"/>
        <w:gridCol w:w="3200"/>
      </w:tblGrid>
      <w:tr>
        <w:trPr>
          <w:tblHeader/>
        </w:trPr>
        <w:tc>
          <w:tcPr>
            <w:tcW w:type="dxa" w:w="2650"/>
            <w:shd w:fill="2F2F2F" w:val="clear"/>
            <w:tcMar>
              <w:top w:type="dxa" w:w="60"/>
              <w:left w:type="dxa" w:w="100"/>
              <w:bottom w:type="dxa" w:w="60"/>
              <w:right w:type="dxa" w:w="100"/>
            </w:tcMar>
            <w:vAlign w:val="center"/>
          </w:tcPr>
          <w:p>
            <w:pPr>
              <w:jc w:val="left"/>
            </w:pPr>
            <w:r>
              <w:rPr>
                <w:b/>
                <w:bCs/>
                <w:color w:val="FFFFFF"/>
                <w:sz w:val="18"/>
                <w:szCs w:val="18"/>
              </w:rPr>
              <w:t xml:space="preserve">Germany channel</w:t>
            </w:r>
          </w:p>
        </w:tc>
        <w:tc>
          <w:tcPr>
            <w:tcW w:type="dxa" w:w="2100"/>
            <w:shd w:fill="2F2F2F" w:val="clear"/>
            <w:tcMar>
              <w:top w:type="dxa" w:w="60"/>
              <w:left w:type="dxa" w:w="100"/>
              <w:bottom w:type="dxa" w:w="60"/>
              <w:right w:type="dxa" w:w="100"/>
            </w:tcMar>
            <w:vAlign w:val="center"/>
          </w:tcPr>
          <w:p>
            <w:pPr>
              <w:jc w:val="center"/>
            </w:pPr>
            <w:r>
              <w:rPr>
                <w:b/>
                <w:bCs/>
                <w:color w:val="FFFFFF"/>
                <w:sz w:val="18"/>
                <w:szCs w:val="18"/>
              </w:rPr>
              <w:t xml:space="preserve">Units 2024 → 2025</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Change</w:t>
            </w:r>
          </w:p>
        </w:tc>
        <w:tc>
          <w:tcPr>
            <w:tcW w:type="dxa" w:w="3200"/>
            <w:shd w:fill="2F2F2F" w:val="clear"/>
            <w:tcMar>
              <w:top w:type="dxa" w:w="60"/>
              <w:left w:type="dxa" w:w="100"/>
              <w:bottom w:type="dxa" w:w="60"/>
              <w:right w:type="dxa" w:w="100"/>
            </w:tcMar>
            <w:vAlign w:val="center"/>
          </w:tcPr>
          <w:p>
            <w:pPr>
              <w:jc w:val="center"/>
            </w:pPr>
            <w:r>
              <w:rPr>
                <w:b/>
                <w:bCs/>
                <w:color w:val="FFFFFF"/>
                <w:sz w:val="18"/>
                <w:szCs w:val="18"/>
              </w:rPr>
              <w:t xml:space="preserve">ASP / margin trend</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Zalando (discount)</w:t>
            </w:r>
          </w:p>
        </w:tc>
        <w:tc>
          <w:tcPr>
            <w:tcW w:type="dxa" w:w="2100"/>
            <w:tcMar>
              <w:top w:type="dxa" w:w="60"/>
              <w:left w:type="dxa" w:w="100"/>
              <w:bottom w:type="dxa" w:w="60"/>
              <w:right w:type="dxa" w:w="100"/>
            </w:tcMar>
            <w:vAlign w:val="center"/>
          </w:tcPr>
          <w:p>
            <w:pPr>
              <w:jc w:val="center"/>
            </w:pPr>
            <w:r>
              <w:rPr>
                <w:b w:val="false"/>
                <w:bCs w:val="false"/>
                <w:color w:val="000000"/>
                <w:sz w:val="18"/>
                <w:szCs w:val="18"/>
              </w:rPr>
              <w:t xml:space="preserve">73,834 → 101,211</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+37.1%</w:t>
            </w:r>
          </w:p>
        </w:tc>
        <w:tc>
          <w:tcPr>
            <w:tcW w:type="dxa" w:w="3200"/>
            <w:tcMar>
              <w:top w:type="dxa" w:w="60"/>
              <w:left w:type="dxa" w:w="100"/>
              <w:bottom w:type="dxa" w:w="60"/>
              <w:right w:type="dxa" w:w="100"/>
            </w:tcMar>
            <w:vAlign w:val="center"/>
          </w:tcPr>
          <w:p>
            <w:pPr>
              <w:jc w:val="center"/>
            </w:pPr>
            <w:r>
              <w:rPr>
                <w:b w:val="false"/>
                <w:bCs w:val="false"/>
                <w:color w:val="000000"/>
                <w:sz w:val="18"/>
                <w:szCs w:val="18"/>
              </w:rPr>
              <w:t xml:space="preserve">ASP +10.8% (468→519 SEK), GM% down 36.0%→30.1%</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Independent Wholesale (ex-Zalando)</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50,482 → 40,899</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-19.0%</w:t>
            </w:r>
          </w:p>
        </w:tc>
        <w:tc>
          <w:tcPr>
            <w:tcW w:type="dxa" w:w="3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ASP roughly flat (+0.9%) — a volume story, not a price-cutting story</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Haglöfs own E-com</w:t>
            </w:r>
          </w:p>
        </w:tc>
        <w:tc>
          <w:tcPr>
            <w:tcW w:type="dxa" w:w="2100"/>
            <w:tcMar>
              <w:top w:type="dxa" w:w="60"/>
              <w:left w:type="dxa" w:w="100"/>
              <w:bottom w:type="dxa" w:w="60"/>
              <w:right w:type="dxa" w:w="100"/>
            </w:tcMar>
            <w:vAlign w:val="center"/>
          </w:tcPr>
          <w:p>
            <w:pPr>
              <w:jc w:val="center"/>
            </w:pPr>
            <w:r>
              <w:rPr>
                <w:b w:val="false"/>
                <w:bCs w:val="false"/>
                <w:color w:val="000000"/>
                <w:sz w:val="18"/>
                <w:szCs w:val="18"/>
              </w:rPr>
              <w:t xml:space="preserve">8,490 → 11,959</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+40.9%</w:t>
            </w:r>
          </w:p>
        </w:tc>
        <w:tc>
          <w:tcPr>
            <w:tcW w:type="dxa" w:w="3200"/>
            <w:tcMar>
              <w:top w:type="dxa" w:w="60"/>
              <w:left w:type="dxa" w:w="100"/>
              <w:bottom w:type="dxa" w:w="60"/>
              <w:right w:type="dxa" w:w="100"/>
            </w:tcMar>
            <w:vAlign w:val="center"/>
          </w:tcPr>
          <w:p>
            <w:pPr>
              <w:jc w:val="center"/>
            </w:pPr>
            <w:r>
              <w:rPr>
                <w:b w:val="false"/>
                <w:bCs w:val="false"/>
                <w:color w:val="000000"/>
                <w:sz w:val="18"/>
                <w:szCs w:val="18"/>
              </w:rPr>
              <w:t xml:space="preserve">ASP down 7.2% (1,359→1,261 SEK), GM% down 68.3%→64.1%</w:t>
            </w:r>
          </w:p>
        </w:tc>
      </w:tr>
    </w:tbl>
    <w:p>
      <w:pPr>
        <w:pBdr>
          <w:left w:val="single" w:color="C97A1A" w:sz="18"/>
        </w:pBdr>
        <w:shd w:fill="FCEFDC" w:val="clear"/>
        <w:spacing w:after="120" w:before="100"/>
        <w:ind w:left="150" w:right="100"/>
      </w:pPr>
      <w:r>
        <w:rPr>
          <w:b/>
          <w:bCs/>
          <w:color w:val="8A4B00"/>
        </w:rPr>
        <w:t xml:space="preserve">NOT ANSWERABLE FROM DATA — ASK: </w:t>
      </w:r>
      <w:r>
        <w:t xml:space="preserve">Has the München/Hamburg business case been stress-tested against a 'Zalando-anchored' German consumer, or does it assume the same full-price receptivity as markets like Sweden where Haglöfs' heritage is stronger? Is there any brand-perception or price-expectation research specific to Germany?</w:t>
      </w:r>
    </w:p>
    <w:p>
      <w:pPr>
        <w:pBdr>
          <w:left w:val="single" w:color="C97A1A" w:sz="18"/>
        </w:pBdr>
        <w:shd w:fill="FCEFDC" w:val="clear"/>
        <w:spacing w:after="120" w:before="100"/>
        <w:ind w:left="150" w:right="100"/>
      </w:pPr>
      <w:r>
        <w:rPr>
          <w:b/>
          <w:bCs/>
          <w:color w:val="8A4B00"/>
        </w:rPr>
        <w:t xml:space="preserve">NOT ANSWERABLE FROM DATA — ASK: </w:t>
      </w:r>
      <w:r>
        <w:t xml:space="preserve">What is the basis for the Austria commitment — is there brand-awareness, footfall, or competitor-benchmarking data (outside this sales extract) that justifies 5 stores in a market with zero existing Wholesale presence?</w:t>
      </w:r>
    </w:p>
    <w:p>
      <w:pPr>
        <w:pBdr>
          <w:left w:val="single" w:color="C97A1A" w:sz="18"/>
        </w:pBdr>
        <w:shd w:fill="FCEFDC" w:val="clear"/>
        <w:spacing w:after="120" w:before="100"/>
        <w:ind w:left="150" w:right="100"/>
      </w:pPr>
      <w:r>
        <w:rPr>
          <w:b/>
          <w:bCs/>
          <w:color w:val="8A4B00"/>
        </w:rPr>
        <w:t xml:space="preserve">NOT ANSWERABLE FROM DATA — ASK: </w:t>
      </w:r>
      <w:r>
        <w:t xml:space="preserve">For UK and Norway — is the Wholesale collapse a genuine channel-preference shift toward direct (which stores would capture) or a distribution-specific problem (lost accounts, distribution pull-back) unrelated to underlying demand, which a store would not fix? Owner: Wholesale Director.</w:t>
      </w:r>
    </w:p>
    <w:p>
      <w:pPr>
        <w:spacing w:after="160"/>
      </w:pPr>
      <w:r>
        <w:rPr>
          <w:b/>
          <w:bCs/>
        </w:rPr>
        <w:t xml:space="preserve">Key articles</w:t>
      </w:r>
    </w:p>
    <w:p>
      <w:pPr>
        <w:spacing w:after="160"/>
      </w:pPr>
      <w:r>
        <w:t xml:space="preserve">What's selling is consistent across every target market and does not vary by country: Shell is the #1 layer everywhere (32-54% of Wholesale+E-com sales), Insulation is #2 (12-21%), with Mid layer/Legwear/Hiking shoes rounding out the top 5. This is reassuring for assortment planning (no market needs a fundamentally different range) but does not resolve the demand-level questions above.</w:t>
      </w:r>
    </w:p>
    <w:p>
      <w:r>
        <w:br w:type="page"/>
      </w:r>
    </w:p>
    <w:p>
      <w:pPr>
        <w:pStyle w:val="Heading1"/>
        <w:spacing w:after="160" w:before="320"/>
      </w:pPr>
      <w:r>
        <w:t xml:space="preserve">7. New Market Expansion</w:t>
      </w:r>
    </w:p>
    <w:p>
      <w:pPr>
        <w:pStyle w:val="Heading2"/>
        <w:spacing w:after="120" w:before="240"/>
      </w:pPr>
      <w:r>
        <w:t xml:space="preserve">7.1 Re-Entry Markets: Germany, Austria, Switzerland</w:t>
      </w:r>
    </w:p>
    <w:p>
      <w:pPr>
        <w:pBdr>
          <w:left w:val="single" w:color="2E8FB5" w:sz="18"/>
        </w:pBdr>
        <w:shd w:fill="E3F1F7" w:val="clear"/>
        <w:spacing w:after="120" w:before="100"/>
        <w:ind w:left="150" w:right="100"/>
      </w:pPr>
      <w:r>
        <w:rPr>
          <w:b/>
          <w:bCs/>
          <w:color w:val="0F5C7A"/>
        </w:rPr>
        <w:t xml:space="preserve">2026 YTD ADDED: </w:t>
      </w:r>
      <w:r>
        <w:t xml:space="preserve">Germany: Zalando's share of Wholesale fell from 63.0% (FY2025) to 56.3% (YTD2026) — the discount-anchoring risk is easing, not worsening, consistent with the active 'clean up the market over 1-2 years' push discussed on 2026-07-28. Independent, ex-Zalando Wholesale is already tracking at or above its FY2025 full-year total on an annualized YTD2026 basis.</w:t>
      </w:r>
    </w:p>
    <w:p>
      <w:pPr>
        <w:pBdr>
          <w:left w:val="single" w:color="3C8A4C" w:sz="18"/>
        </w:pBdr>
        <w:shd w:fill="EAF3EA" w:val="clear"/>
        <w:spacing w:after="120" w:before="100"/>
        <w:ind w:left="150" w:right="100"/>
      </w:pPr>
      <w:r>
        <w:rPr>
          <w:b/>
          <w:bCs/>
          <w:color w:val="1F5C2E"/>
        </w:rPr>
        <w:t xml:space="preserve">DATA SHOWS: </w:t>
      </w:r>
      <w:r>
        <w:t xml:space="preserve">Austria: the zero-Wholesale, zero-Retail footprint has a real explanation, confirmed 2026-07-28 — XXL previously forced other Austrian retailers to drop Haglöfs, then XXL went bankrupt in Austria, leaving a genuine distribution vacuum. Current agent (Martin) is rated well and some residual brand awareness exists. Outlet allocation has since been redirected to Germany, ahead of Austria.</w:t>
      </w:r>
    </w:p>
    <w:p>
      <w:pPr>
        <w:pBdr>
          <w:left w:val="single" w:color="B23A3A" w:sz="18"/>
        </w:pBdr>
        <w:shd w:fill="FBE7E7" w:val="clear"/>
        <w:spacing w:after="120" w:before="100"/>
        <w:ind w:left="150" w:right="100"/>
      </w:pPr>
      <w:r>
        <w:rPr>
          <w:b/>
          <w:bCs/>
          <w:color w:val="7A1F1F"/>
        </w:rPr>
        <w:t xml:space="preserve">METHODOLOGY FLAG: </w:t>
      </w:r>
      <w:r>
        <w:t xml:space="preserve">Switzerland has almost no grounding in this engagement. The sales data shows only a small existing Wholesale presence (4.5M SEK 2024 -&gt; 7.4M SEK 2025), no Retail or E-com at all, and nothing has been analyzed here beyond that. Treat any Switzerland re-entry case as needing fresh work, not an extension of the Germany/Austria analysis.</w:t>
      </w:r>
    </w:p>
    <w:p>
      <w:pPr>
        <w:pStyle w:val="Heading2"/>
        <w:spacing w:after="120" w:before="240"/>
      </w:pPr>
      <w:r>
        <w:t xml:space="preserve">7.2 New (Distributor) Markets: China, Korea, Japan</w:t>
      </w:r>
    </w:p>
    <w:p>
      <w:pPr>
        <w:pBdr>
          <w:left w:val="single" w:color="3C8A4C" w:sz="18"/>
        </w:pBdr>
        <w:shd w:fill="EAF3EA" w:val="clear"/>
        <w:spacing w:after="120" w:before="100"/>
        <w:ind w:left="150" w:right="100"/>
      </w:pPr>
      <w:r>
        <w:rPr>
          <w:b/>
          <w:bCs/>
          <w:color w:val="1F5C2E"/>
        </w:rPr>
        <w:t xml:space="preserve">DATA SHOWS: </w:t>
      </w:r>
      <w:r>
        <w:t xml:space="preserve">Korea: the HAYL account, which opened modestly in FY2025 (6.7M SEK, almost entirely Preorder), has already exceeded that full-year total in YTD2026 (7.9M SEK) — but still with effectively zero Reorder activity in either period, so there is no track record yet on whether this volume repeats.</w:t>
      </w:r>
    </w:p>
    <w:p>
      <w:pPr>
        <w:spacing w:after="160"/>
      </w:pPr>
      <w:r>
        <w:t xml:space="preserve">Sales trend by market and account, FY2024 - YTD2026: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1600"/>
        <w:gridCol w:w="1600"/>
        <w:gridCol w:w="1600"/>
        <w:gridCol w:w="2200"/>
      </w:tblGrid>
      <w:tr>
        <w:trPr>
          <w:tblHeader/>
        </w:trPr>
        <w:tc>
          <w:tcPr>
            <w:tcW w:type="dxa" w:w="2350"/>
            <w:shd w:fill="2F2F2F" w:val="clear"/>
            <w:tcMar>
              <w:top w:type="dxa" w:w="60"/>
              <w:left w:type="dxa" w:w="100"/>
              <w:bottom w:type="dxa" w:w="60"/>
              <w:right w:type="dxa" w:w="100"/>
            </w:tcMar>
            <w:vAlign w:val="center"/>
          </w:tcPr>
          <w:p>
            <w:pPr>
              <w:jc w:val="left"/>
            </w:pPr>
            <w:r>
              <w:rPr>
                <w:b/>
                <w:bCs/>
                <w:color w:val="FFFFFF"/>
                <w:sz w:val="18"/>
                <w:szCs w:val="18"/>
              </w:rPr>
              <w:t xml:space="preserve">Market / Account</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FY2024</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FY2025</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YTD2026</w:t>
            </w:r>
          </w:p>
        </w:tc>
        <w:tc>
          <w:tcPr>
            <w:tcW w:type="dxa" w:w="22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2350"/>
            <w:tcMar>
              <w:top w:type="dxa" w:w="60"/>
              <w:left w:type="dxa" w:w="100"/>
              <w:bottom w:type="dxa" w:w="60"/>
              <w:right w:type="dxa" w:w="100"/>
            </w:tcMar>
            <w:vAlign w:val="center"/>
          </w:tcPr>
          <w:p>
            <w:pPr>
              <w:jc w:val="left"/>
            </w:pPr>
            <w:r>
              <w:rPr>
                <w:b w:val="false"/>
                <w:bCs w:val="false"/>
                <w:color w:val="000000"/>
                <w:sz w:val="18"/>
                <w:szCs w:val="18"/>
              </w:rPr>
              <w:t xml:space="preserve">China (distributor)</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0.5M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49.0M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17.1M</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Transformational FY24→FY25 step-change; YTD2026 annualizes to ~41M, tracking a little behind the FY2025 level but still an order of magnitude above FY2024</w:t>
            </w:r>
          </w:p>
        </w:tc>
      </w:tr>
      <w:tr>
        <w:tc>
          <w:tcPr>
            <w:tcW w:type="dxa" w:w="2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Korea (HAYL)</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6.7M</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7.9M</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Already past full-year FY2025 total within YTD2026 — see box above</w:t>
            </w:r>
          </w:p>
        </w:tc>
      </w:tr>
      <w:tr>
        <w:tc>
          <w:tcPr>
            <w:tcW w:type="dxa" w:w="2350"/>
            <w:tcMar>
              <w:top w:type="dxa" w:w="60"/>
              <w:left w:type="dxa" w:w="100"/>
              <w:bottom w:type="dxa" w:w="60"/>
              <w:right w:type="dxa" w:w="100"/>
            </w:tcMar>
            <w:vAlign w:val="center"/>
          </w:tcPr>
          <w:p>
            <w:pPr>
              <w:jc w:val="left"/>
            </w:pPr>
            <w:r>
              <w:rPr>
                <w:b w:val="false"/>
                <w:bCs w:val="false"/>
                <w:color w:val="000000"/>
                <w:sz w:val="18"/>
                <w:szCs w:val="18"/>
              </w:rPr>
              <w:t xml:space="preserve">Japan (RCT Systems)</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2.5M</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YTD2026 annualizes to well below FY2025 — see data-quality flag below</w:t>
            </w:r>
          </w:p>
        </w:tc>
      </w:tr>
    </w:tbl>
    <w:p>
      <w:pPr>
        <w:pBdr>
          <w:left w:val="single" w:color="B23A3A" w:sz="18"/>
        </w:pBdr>
        <w:shd w:fill="FBE7E7" w:val="clear"/>
        <w:spacing w:after="120" w:before="100"/>
        <w:ind w:left="150" w:right="100"/>
      </w:pPr>
      <w:r>
        <w:rPr>
          <w:b/>
          <w:bCs/>
          <w:color w:val="7A1F1F"/>
        </w:rPr>
        <w:t xml:space="preserve">METHODOLOGY FLAG: </w:t>
      </w:r>
      <w:r>
        <w:t xml:space="preserve">The Japan YTD2026 extract has a second row, 6.2M SEK tagged Customer Group '*MISSING*' under Sales Market Japan — likely unmapped account codes from a system change, not a real new account. If that volume genuinely belongs to RCT Systems, combined Japan YTD2026 is ~8.7M SEK, annualizing close to flat versus FY2025's 21.2M rather than sharply down. This should be reconciled with whoever owns the YTD2026 extract before either reading is presented as fact.</w:t>
      </w:r>
    </w:p>
    <w:p>
      <w:pPr>
        <w:spacing w:after="160"/>
      </w:pPr>
      <w:r>
        <w:t xml:space="preserve">China and Japan already have dedicated coverage elsewhere in this bridge (special-account and Q2 2026 Key Account analysis); 'what do these markets want' is a distributor-relationship question for the team, not something derivable from the sales extract.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b/>
      <w:bCs/>
      <w:color w:val="1F3864"/>
      <w:sz w:val="32"/>
      <w:szCs w:val="32"/>
    </w:rPr>
  </w:style>
  <w:style w:type="paragraph" w:styleId="Heading2">
    <w:name w:val="Heading 2"/>
    <w:basedOn w:val="Normal"/>
    <w:next w:val="Normal"/>
    <w:qFormat/>
    <w:pPr>
      <w:spacing w:after="140" w:before="280"/>
    </w:pPr>
    <w:rPr>
      <w:b/>
      <w:bCs/>
      <w:color w:val="2E5395"/>
      <w:sz w:val="26"/>
      <w:szCs w:val="26"/>
    </w:rPr>
  </w:style>
  <w:style w:type="paragraph" w:styleId="Heading3">
    <w:name w:val="Heading 3"/>
    <w:basedOn w:val="Normal"/>
    <w:next w:val="Normal"/>
    <w:qFormat/>
    <w:pPr>
      <w:spacing w:after="100" w:before="200"/>
    </w:pPr>
    <w:rPr>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2026-07-30T13:17:18.298Z</dcterms:created>
  <dcterms:modified xsi:type="dcterms:W3CDTF">2026-07-30T13:17:18.298Z</dcterms:modified>
</cp:coreProperties>
</file>

<file path=docProps/custom.xml><?xml version="1.0" encoding="utf-8"?>
<Properties xmlns="http://schemas.openxmlformats.org/officeDocument/2006/custom-properties" xmlns:vt="http://schemas.openxmlformats.org/officeDocument/2006/docPropsVTypes"/>
</file>