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v3</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spacing w:after="80" w:before="160"/>
      </w:pPr>
      <w:r>
        <w:rPr>
          <w:b/>
          <w:bCs/>
          <w:i/>
          <w:iCs/>
          <w:color w:val="444444"/>
          <w:sz w:val="21"/>
          <w:szCs w:val="21"/>
        </w:rPr>
        <w:t xml:space="preserve">Top 10 named launches per flag, with YTD2026 trend</w:t>
      </w:r>
    </w:p>
    <w:p>
      <w:pPr>
        <w:spacing w:after="160"/>
      </w:pPr>
      <w:r>
        <w:rPr>
          <w:i/>
          <w:iCs/>
        </w:rPr>
        <w:t xml:space="preserve">Each list below adds the 2026 year-to-date read most relevant to that flag — units (to see real quantity, not just SEK), and either DTC share, pace vs. FY2025, or Preorder/Reorder status. All YTD2026 figures are core-scope (special accounts excluded), same basis as everywhere else in this brief; validated against the Section 1-2 document's own Core YTD2026 total (301.15M SEK, matches exactly).</w:t>
      </w:r>
    </w:p>
    <w:p>
      <w:pPr>
        <w:spacing w:after="80" w:before="160"/>
      </w:pPr>
      <w:r>
        <w:rPr>
          <w:b/>
          <w:bCs/>
          <w:i/>
          <w:iCs/>
          <w:color w:val="444444"/>
          <w:sz w:val="21"/>
          <w:szCs w:val="21"/>
        </w:rPr>
        <w:t xml:space="preserve">A. No DTC presence in year 1 (34 launches)</w:t>
      </w:r>
    </w:p>
    <w:p>
      <w:pPr>
        <w:spacing w:after="160"/>
      </w:pPr>
      <w:r>
        <w:t xml:space="preserve">Has DTC emerged since? Mostly yes, but thin — 1-33% DTC share of YTD2026 sales for the ones with real 2026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150"/>
        <w:gridCol w:w="1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Sight Softshell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Mimic BarrierHood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235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Salo Shirt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1000 Skis Bib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Base Mimic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w:t>
            </w:r>
          </w:p>
        </w:tc>
      </w:tr>
    </w:tbl>
    <w:p>
      <w:pPr>
        <w:pBdr>
          <w:left w:val="single" w:color="3C8A4C" w:sz="18"/>
        </w:pBdr>
        <w:shd w:fill="EAF3EA" w:val="clear"/>
        <w:spacing w:after="120" w:before="100"/>
        <w:ind w:left="150" w:right="100"/>
      </w:pPr>
      <w:r>
        <w:rPr>
          <w:b/>
          <w:bCs/>
          <w:color w:val="1F5C2E"/>
        </w:rPr>
        <w:t xml:space="preserve">DATA SHOWS: </w:t>
      </w:r>
      <w:r>
        <w:t xml:space="preserve">Fiction Mimic Hood (Men) — the largest franchise on this list — shows *negative* YTD2026 sales (-2,374 SEK): returns are currently exceeding gross sales for the year. Worth a direct look before assuming this is simply 'no DTC yet'; it may not be selling at all in 2026.</w:t>
      </w:r>
    </w:p>
    <w:p>
      <w:pPr>
        <w:spacing w:after="80" w:before="160"/>
      </w:pPr>
      <w:r>
        <w:rPr>
          <w:b/>
          <w:bCs/>
          <w:i/>
          <w:iCs/>
          <w:color w:val="444444"/>
          <w:sz w:val="21"/>
          <w:szCs w:val="21"/>
        </w:rPr>
        <w:t xml:space="preserve">B. No confirmed FW27 continuation plan (90 launches)</w:t>
      </w:r>
    </w:p>
    <w:p>
      <w:pPr>
        <w:spacing w:after="160"/>
      </w:pPr>
      <w:r>
        <w:t xml:space="preserve">Pacing check: every one of these top 10 is running well below the ~40-44% 'on pace' benchmark used elsewhere in this brief (6-27% of FY2025 reached by mid-2026) — consistent with genuinely fading launches, not a false alarm from partial-year timing.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1,577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1,099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1,022</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Gondol Insulated IIPant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Incline GTXMid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725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Tur Shorts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1,739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r>
    </w:tbl>
    <w:p>
      <w:pPr>
        <w:spacing w:after="80" w:before="160"/>
      </w:pPr>
      <w:r>
        <w:rPr>
          <w:b/>
          <w:bCs/>
          <w:i/>
          <w:iCs/>
          <w:color w:val="444444"/>
          <w:sz w:val="21"/>
          <w:szCs w:val="21"/>
        </w:rPr>
        <w:t xml:space="preserve">C. Low margin at launch, &lt;35% GM (28 launches)</w:t>
      </w:r>
    </w:p>
    <w:p>
      <w:pPr>
        <w:spacing w:after="160"/>
      </w:pPr>
      <w:r>
        <w:t xml:space="preserve">Pacing is mixed here, not uniformly weak — Corker Large/Medium and Spitz GTX Pro Jacket (both genders) are pacing at 40-131% of FY2025, real ongoing volume at thin margin, while the rest are fading. L.I.M Touring Proof Jacket (Women) has a genuinely negative GM% (-12.6%), not just thin — an active loss-maker.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7,129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Softshell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4,066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793</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Tight Medium Mono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Touring ProofJacket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45%</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Short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bl>
    <w:p>
      <w:pPr>
        <w:spacing w:after="80" w:before="160"/>
      </w:pPr>
      <w:r>
        <w:rPr>
          <w:b/>
          <w:bCs/>
          <w:i/>
          <w:iCs/>
          <w:color w:val="444444"/>
          <w:sz w:val="21"/>
          <w:szCs w:val="21"/>
        </w:rPr>
        <w:t xml:space="preserve">D. Outlet-leaking, &gt;50% special-account exposure (23 launches)</w:t>
      </w:r>
    </w:p>
    <w:p>
      <w:pPr>
        <w:spacing w:after="160"/>
      </w:pPr>
      <w:r>
        <w:t xml:space="preserve">DTC share shown here is core-scope (special accounts excluded), so it answers a different question than the flag itself: even setting aside the special-account concentration, is the remaining core business Wholesale- or DTC-led? Mostly still Wholesale-heavy. Three items show 100% DTC in YTD2026, but each on a 10-25K SEK base — a handful of transactions, not a real channel shift.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0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DTC%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Hood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1,240</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Halfzip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Chaos GTX Pant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433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Nordic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Belay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bl>
    <w:p>
      <w:pPr>
        <w:spacing w:after="80" w:before="160"/>
      </w:pPr>
      <w:r>
        <w:rPr>
          <w:b/>
          <w:bCs/>
          <w:i/>
          <w:iCs/>
          <w:color w:val="444444"/>
          <w:sz w:val="21"/>
          <w:szCs w:val="21"/>
        </w:rPr>
        <w:t xml:space="preserve">E. Zero reorder despite &gt;100K Preorder — full list, only 8 exist</w:t>
      </w:r>
    </w:p>
    <w:p>
      <w:pPr>
        <w:spacing w:after="160"/>
      </w:pPr>
      <w:r>
        <w:t xml:space="preserve">This flag looks stale: 6 of the 8 now show real Reorder activity in YTD2026 (100K-306K SEK), alongside fresh Preorder — most have converted since the FY2025 cut this flag was built on. Two are unchanged: L.I.M Tech Tee TAV shows zero Preorder and Reorder in 2026 too, and Fiction Mimic Hood shows a small negative Reorder (a return), consistent with its negative total sales flagged above.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150"/>
        <w:gridCol w:w="115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SS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480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Magma Roll-top 40 WR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r>
    </w:tbl>
    <w:p>
      <w:pPr>
        <w:pBdr>
          <w:left w:val="single" w:color="3C8A4C" w:sz="18"/>
        </w:pBdr>
        <w:shd w:fill="EAF3EA" w:val="clear"/>
        <w:spacing w:after="120" w:before="100"/>
        <w:ind w:left="150" w:right="100"/>
      </w:pPr>
      <w:r>
        <w:rPr>
          <w:b/>
          <w:bCs/>
          <w:color w:val="1F5C2E"/>
        </w:rPr>
        <w:t xml:space="preserve">DATA SHOWS: </w:t>
      </w:r>
      <w:r>
        <w:t xml:space="preserve">Because most of flag E has already converted, and flag B (FW27) is now a materially larger, cleanly-corrected list (90 vs. the original 31), the '30 launches / 2+ flags' priority watchlist flagged as stale earlier in this section should be re-scored before the workshop — it was built before both of these updates.</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1500"/>
        <w:gridCol w:w="1200"/>
        <w:gridCol w:w="1200"/>
        <w:gridCol w:w="1000"/>
        <w:gridCol w:w="1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0.06M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 YTD2026 confirms the fade: 8 of the 10 are pacing below 50% of FY2025, and two (Näs Down Jacket, Ski Pants Oxygene) show effectively zero 2026 sales so far.</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750"/>
        <w:gridCol w:w="1400"/>
        <w:gridCol w:w="1200"/>
        <w:gridCol w:w="14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0.47M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 YTD2026 shows real early traction on some: Liden Long Down Parka (both genders) and L.I.M Mimic BarrierVest (Men) are already tracking above or near their full FY2025 total at mid-year.</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Bdr>
          <w:left w:val="single" w:color="3C8A4C" w:sz="18"/>
        </w:pBdr>
        <w:shd w:fill="EAF3EA" w:val="clear"/>
        <w:spacing w:after="120" w:before="100"/>
        <w:ind w:left="150" w:right="100"/>
      </w:pPr>
      <w:r>
        <w:rPr>
          <w:b/>
          <w:bCs/>
          <w:color w:val="1F5C2E"/>
        </w:rPr>
        <w:t xml:space="preserve">DATA SHOWS: </w:t>
      </w:r>
      <w:r>
        <w:t xml:space="preserve">Every figure in this section was re-verified directly from the raw ledger for this draft (2026-07-30): the 10,550 combos / 472.2M / 40.5M / 27.4% / 8.6% headline, the core-only 12.4% FY2025 cut, and each named account's follow-through rate (XXL SE 2.8%, XXL NO 4.2%, Zalando 1.3%, China 12.0%, SGN 66.8%) all reconcile exactly. Unlike some other figures found and corrected elsewhere in this brief, this section's methodology was already right — no changes needed to the numbers above.</w:t>
      </w:r>
    </w:p>
    <w:p>
      <w:pPr>
        <w:pStyle w:val="Heading3"/>
        <w:spacing w:after="100" w:before="200"/>
      </w:pPr>
      <w:r>
        <w:t xml:space="preserve">Top 10 most-reordered franchises (2025, Wholesale), with YTD2026 trend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150"/>
        <w:gridCol w:w="1050"/>
        <w:gridCol w:w="1150"/>
        <w:gridCol w:w="1150"/>
        <w:gridCol w:w="1050"/>
      </w:tblGrid>
      <w:tr>
        <w:trPr>
          <w:tblHeader/>
        </w:trPr>
        <w:tc>
          <w:tcPr>
            <w:tcW w:type="dxa" w:w="24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YTD26</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83.9%</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69.3%</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1.99M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41.2%</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2.95M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1.73M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25.7%</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1.91M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58.8%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0.54M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249.1%</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0.33M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Bdr>
          <w:left w:val="single" w:color="3C8A4C" w:sz="18"/>
        </w:pBdr>
        <w:shd w:fill="EAF3EA" w:val="clear"/>
        <w:spacing w:after="120" w:before="100"/>
        <w:ind w:left="150" w:right="100"/>
      </w:pPr>
      <w:r>
        <w:rPr>
          <w:b/>
          <w:bCs/>
          <w:color w:val="1F5C2E"/>
        </w:rPr>
        <w:t xml:space="preserve">DATA SHOWS: </w:t>
      </w:r>
      <w:r>
        <w:t xml:space="preserve">Ratios are up sharply YTD2026 for most of this list — Astral GTX Jacket (Men) 29.9%→83.9%, Haglöfs Ridge GTX Low (Men) 18.1%→41.2%, Corker Large 47.0%→67.5% — consistent with the company-wide reorder-mechanism improvement noted above, not isolated to these 10. ROC Flash GTX Jacket (Men), by contrast, shows essentially zero Preorder or Reorder booked YTD2026 (marked *) — likely FW-season Preorder timing not yet landed this early in the year (consistent with the standing no-month-field data gap), not a genuine collapse; worth confirming with Wholesale before reading into it.</w:t>
      </w:r>
    </w:p>
    <w:p>
      <w:pPr>
        <w:pStyle w:val="Heading2"/>
        <w:spacing w:after="120" w:before="240"/>
      </w:pPr>
      <w:r>
        <w:t xml:space="preserve">2.3 Core Assortment: Reorder Follow-Through</w:t>
      </w:r>
    </w:p>
    <w:p>
      <w:pPr>
        <w:spacing w:after="160"/>
      </w:pPr>
      <w:r>
        <w:t xml:space="preserve">This section was previously broken down by account type (core vs. special account) — but that duplicates the core-only cut already shown in 2.2. The actual question is about the product, not the buyer: does a franchise that Merchandising has confirmed as part of the FW27 core assortment reorder better than one that hasn't? This section re-tests the hypothesis on that basis, using Merchandising's named Core Assortment list (70 franchises, each flagged "x" = confirmed core or "n" = new package for FW27).</w:t>
      </w:r>
    </w:p>
    <w:p>
      <w:pPr>
        <w:spacing w:after="160"/>
      </w:pPr>
      <w:r>
        <w:t xml:space="preserve">60 of the 70 listed franchises have any 2024/2025 trading history to test against; the other 10 (Brisen Tech Mid Hood, Korp Softshell Hood/Pant, Tarre Proof Insulated Jacket/Pant) are brand-new FW27 styles with zero sales in either year — confirmed absent from the raw ledger under every spelling checked, not a matching gap. Of the 60, 2 more (Haglöfs L.I.M Horizon GTX Low) have no Wholesale Preorder activity booked yet in 2025 either, leaving 58 franchises (both "confirmed core" and "new package" flags combined) with a real Preorder→Reorder cycle to measure, compared against the other 519 franchises with 2025 Wholesale Preorder activity that are not on this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200"/>
        <w:gridCol w:w="1400"/>
        <w:gridCol w:w="13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Cohort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Franchises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Preorder→Reorder combos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SEK conversion</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Core Assortment (58 testable)</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58</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2,576</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34.5%</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14.7%</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Rest of portfolio (not on this list)</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519</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7,421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26.3%</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r>
    </w:tbl>
    <w:p>
      <w:pPr>
        <w:pBdr>
          <w:left w:val="single" w:color="3C8A4C" w:sz="18"/>
        </w:pBdr>
        <w:shd w:fill="EAF3EA" w:val="clear"/>
        <w:spacing w:after="120" w:before="100"/>
        <w:ind w:left="150" w:right="100"/>
      </w:pPr>
      <w:r>
        <w:rPr>
          <w:b/>
          <w:bCs/>
          <w:color w:val="1F5C2E"/>
        </w:rPr>
        <w:t xml:space="preserve">DATA SHOWS: </w:t>
      </w:r>
      <w:r>
        <w:t xml:space="preserve">The hypothesis holds: the Core Assortment reorders meaningfully better than the rest of the portfolio, both on how many combinations reorder at all (34.5% vs. 26.3%, +8.2pt) and on how much SEK converts (14.7% vs. 11.0%, +3.7pt). This isn't driven by one or two large franchises — the unweighted average follow-through rate across the list tracks the SEK-weighted figure closely.</w:t>
      </w:r>
    </w:p>
    <w:p>
      <w:pPr>
        <w:pBdr>
          <w:left w:val="single" w:color="3C8A4C" w:sz="18"/>
        </w:pBdr>
        <w:shd w:fill="EAF3EA" w:val="clear"/>
        <w:spacing w:after="120" w:before="100"/>
        <w:ind w:left="150" w:right="100"/>
      </w:pPr>
      <w:r>
        <w:rPr>
          <w:b/>
          <w:bCs/>
          <w:color w:val="1F5C2E"/>
        </w:rPr>
        <w:t xml:space="preserve">DATA SHOWS: </w:t>
      </w:r>
      <w:r>
        <w:t xml:space="preserve">Methodology note: 14 of the 58 franchises — including all 4 "new package" items (Mimic Alert 2.0 Hood/Jacket) plus 10 "confirmed core" items carrying an FW27 version-token (Buteo Mid II Jacket, Rosson Mid II Hood/Jacket, Särna Mimic II Hood, Haglöfs Ridge GTX II Low) — show zero sales under their literal FW27 article code in either year. Their figures are entirely the pre-version predecessor's trading history (e.g. "Mimic Alert Hood" standing in for "Mimic Alert 2.0 Hood"), picked up because this analysis tracks franchises continuously across version successions, the same method used throughout this document. The other 44 franchises test on their own article code directly, including 2 (Front Proof II Jacket, Astral GTX II Jacket) that are mid-transition with real sales already booked under both the old and new code. Kept in as one Core Assortment figure per the predecessor-franchise's trading history being the best available read on how the family reorders — but the 14 predecessor-only rows are flagged in the backup workbook so they can be pulled out if a stricter test is wanted later.</w:t>
      </w:r>
    </w:p>
    <w:p>
      <w:pPr>
        <w:pBdr>
          <w:left w:val="single" w:color="2E8FB5" w:sz="18"/>
        </w:pBdr>
        <w:shd w:fill="E3F1F7" w:val="clear"/>
        <w:spacing w:after="120" w:before="100"/>
        <w:ind w:left="150" w:right="100"/>
      </w:pPr>
      <w:r>
        <w:rPr>
          <w:b/>
          <w:bCs/>
          <w:color w:val="0F5C7A"/>
        </w:rPr>
        <w:t xml:space="preserve">2026 YTD ADDED: </w:t>
      </w:r>
      <w:r>
        <w:t xml:space="preserve">YTD2026 widens this gap rather than closing it: Core Assortment 35.0% follow-through / 21.3% SEK conversion vs. Rest of portfolio 28.1% / 11.5% — the SEK-conversion gap grows from +3.7pt (FY2025) to +9.8pt (YTD2026).</w:t>
      </w:r>
    </w:p>
    <w:p>
      <w:pPr>
        <w:spacing w:after="200"/>
      </w:pPr>
      <w:r>
        <w:rPr>
          <w:i/>
          <w:iCs/>
          <w:color w:val="555555"/>
          <w:sz w:val="18"/>
          <w:szCs w:val="18"/>
        </w:rPr>
        <w:t xml:space="preserve">Full franchise-level detail (all 70 listed styles, matched/unmatched status, predecessor-only flag, and both FY2025 and YTD2026 figures) is in the backup workbook, sheet 'Core Assortment - Reorder FT'.</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pPr>
        <w:pStyle w:val="Heading2"/>
        <w:spacing w:after="120" w:before="240"/>
      </w:pPr>
      <w:r>
        <w:t xml:space="preserve">3.3 Generation Updates as a Price-Increase Opportunity</w:t>
      </w:r>
    </w:p>
    <w:p>
      <w:pPr>
        <w:spacing w:after="160"/>
      </w:pPr>
      <w:r>
        <w:rPr>
          <w:i/>
          <w:iCs/>
        </w:rPr>
        <w:t xml:space="preserve">Folded in here rather than kept as a standalone ASP topic — this is fundamentally a product decision (does the new generation justify a higher price) before it is a pricing exercise.</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3.4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New Store Openings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This section now uses a hypothetical, ramp-based payback model (Haglöfs 5Year Retail Payback Matrix V4.xlsx, supplied 2026-07-30) in place of the prior draft's 2032-snapshot table. It directly answers that draft's open question about getting a real ramp curve — but the ramp percentages used are UNIFORM placeholders applied to every store (Sales 50/65/80/90/100% of mature by Yr1-5; EBIT -50/10/40/75/100%), not store-specific curves. Treat the numbers below as illustrative of the correct methodology, not final — the team still needs to supply real per-store ramp assumptions before this replaces the figures used elsewhere.</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under the new ramp-based model too (worst payback in the roster by a wide margin), so it is not a modeling artifact. Recommend resolving this before the workshop, not raising it as a live question at it.</w:t>
      </w:r>
    </w:p>
    <w:p>
      <w:pPr>
        <w:pBdr>
          <w:left w:val="single" w:color="B23A3A" w:sz="18"/>
        </w:pBdr>
        <w:shd w:fill="FBE7E7" w:val="clear"/>
        <w:spacing w:after="120" w:before="100"/>
        <w:ind w:left="150" w:right="100"/>
      </w:pPr>
      <w:r>
        <w:rPr>
          <w:b/>
          <w:bCs/>
          <w:color w:val="7A1F1F"/>
        </w:rPr>
        <w:t xml:space="preserve">METHODOLOGY FLAG: </w:t>
      </w:r>
      <w:r>
        <w:t xml:space="preserve">The hypothetical matrix supplied still includes München as an active roster row (4.94-year payback) — that conflicts with the 2026-07-28 decision to reject Munich outright. Flagging rather than silently dropping it: whoever reworks this model should remove München (or confirm the rejection has been reversed) before this table is used for anything beyond illustrating the methodology.</w:t>
      </w:r>
    </w:p>
    <w:p>
      <w:pPr>
        <w:pStyle w:val="Heading2"/>
        <w:spacing w:after="120" w:before="240"/>
      </w:pPr>
      <w:r>
        <w:t xml:space="preserve">5.1 Investment Case: Capex vs. EBIT Payback (Illustrative Ramp Model)</w:t>
      </w:r>
    </w:p>
    <w:p>
      <w:pPr>
        <w:spacing w:after="160"/>
      </w:pPr>
      <w:r>
        <w:t xml:space="preserve">Judging a capital investment on Capex-to-Sales is a screening ratio at best — it says nothing about profitability, so it can look fine on a store that is actually a poor investment. Payback here is computed as the interpolated year at which cumulative EBIT (built up on the ramp curve above) first equals CAPEX — a genuine multi-year cash-flow view, normalized to years-since-opening rather than a fixed calendar year. This removes the vintage-confound problem the prior draft flagged (a 0.71 correlation between years-to-mature-by-2032 and EBIT margin, which made cross-store rankings not a clean like-for-like comparison) — under this model, every store is judged on the same years-since-opening basis regardless of when it opened. Figures below are labeled €M as supplied in the hypothetical matrix; reconcile against the SEK figures used elsewhere in this deck before finalizing.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150"/>
        <w:gridCol w:w="1150"/>
        <w:gridCol w:w="1500"/>
        <w:gridCol w:w="1450"/>
        <w:gridCol w:w="1200"/>
        <w:gridCol w:w="12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Opening Year</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Capex (€M)</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Mature Sales (€M)</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Mature EBIT (€M)</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3.56</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4.55</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4.83</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5.36</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5.55</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5.68</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6.25</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6.70</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7.25</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9.92</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10.39</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23.25</w:t>
            </w:r>
          </w:p>
        </w:tc>
      </w:tr>
    </w:tbl>
    <w:p>
      <w:pPr>
        <w:spacing w:after="160"/>
      </w:pPr>
      <w:r>
        <w:t xml:space="preserve">Copenhagen remains the clearest proof that a sales screen would miss the real problem: mid-roster Mature Sales (12.5M), but by far the worst EBIT margin (1.6%) and payback (23.25 years — even longer than the prior draft's 2032-snapshot estimate of 20 years). Innsbruck stays the strongest case (3.56-year payback), and unlike the prior draft, this is no longer partly a vintage effect — the ramp model gives every store the same normalized comparison, so Innsbruck's result reflects the site's own Sales/EBIT/Capex figures, not how many years it has had to mature by a fixed calendar date.</w:t>
      </w:r>
    </w:p>
    <w:p>
      <w:pPr>
        <w:pBdr>
          <w:left w:val="single" w:color="C97A1A" w:sz="18"/>
        </w:pBdr>
        <w:shd w:fill="FCEFDC" w:val="clear"/>
        <w:spacing w:after="120" w:before="100"/>
        <w:ind w:left="150" w:right="100"/>
      </w:pPr>
      <w:r>
        <w:rPr>
          <w:b/>
          <w:bCs/>
          <w:color w:val="8A4B00"/>
        </w:rPr>
        <w:t xml:space="preserve">NOT ANSWERABLE FROM DATA — ASK: </w:t>
      </w:r>
      <w:r>
        <w:t xml:space="preserve">Does the team have real, store-specific ramp curves (rather than this illustrative uniform 50/65/80/90/100% Sales / -50/10/40/75/100% EBIT curve) to replace the placeholder assumptions above with? Owner: whoever owns the store-level financial model.</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is worse under this model, not better, should it be re-scoped or re-negotiated (different site, smaller footprint, renegotiated rent) before the 2028 commitment is finalized? Owner: Retail Expansion / Real Estate lead.</w:t>
      </w:r>
    </w:p>
    <w:p>
      <w:pPr>
        <w:pStyle w:val="Heading2"/>
        <w:spacing w:after="120" w:before="240"/>
      </w:pPr>
      <w:r>
        <w:t xml:space="preserve">5.2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6. New Market Expansion</w:t>
      </w:r>
    </w:p>
    <w:p>
      <w:pPr>
        <w:pStyle w:val="Heading2"/>
        <w:spacing w:after="120" w:before="240"/>
      </w:pPr>
      <w:r>
        <w:t xml:space="preserve">6.1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6.2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2026-07-30T23:07:15.131Z</dcterms:created>
  <dcterms:modified xsi:type="dcterms:W3CDTF">2026-07-30T23:07:15.149Z</dcterms:modified>
</cp:coreProperties>
</file>

<file path=docProps/custom.xml><?xml version="1.0" encoding="utf-8"?>
<Properties xmlns="http://schemas.openxmlformats.org/officeDocument/2006/custom-properties" xmlns:vt="http://schemas.openxmlformats.org/officeDocument/2006/docPropsVTypes"/>
</file>