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Workshop Pre-Read Brief</w:t>
      </w:r>
    </w:p>
    <w:p>
      <w:pPr>
        <w:spacing w:after="60"/>
      </w:pPr>
      <w:r>
        <w:rPr>
          <w:color w:val="2E5395"/>
          <w:sz w:val="30"/>
          <w:szCs w:val="30"/>
        </w:rPr>
        <w:t xml:space="preserve">Part 3 — Opportunities — Draft v2</w:t>
      </w:r>
    </w:p>
    <w:p>
      <w:pPr>
        <w:spacing w:after="40"/>
      </w:pPr>
      <w:r>
        <w:rPr>
          <w:i/>
          <w:iCs/>
          <w:color w:val="666666"/>
          <w:sz w:val="22"/>
          <w:szCs w:val="22"/>
        </w:rPr>
        <w:t xml:space="preserve">Revised per Draft v1 comments: chapter numbering fixed, 20 open comment threads resolved, additional supporting detail added throughout.</w:t>
      </w:r>
    </w:p>
    <w:p>
      <w:pPr>
        <w:spacing w:after="300"/>
      </w:pPr>
      <w:r>
        <w:rPr>
          <w:color w:val="888888"/>
          <w:sz w:val="20"/>
          <w:szCs w:val="20"/>
        </w:rPr>
        <w:t xml:space="preserve">2026-07-30</w:t>
      </w:r>
    </w:p>
    <w:p>
      <w:pPr>
        <w:pStyle w:val="Heading3"/>
        <w:spacing w:after="100" w:before="200"/>
      </w:pPr>
      <w:r>
        <w:t xml:space="preserve">Methodology — Franchise definition</w:t>
      </w:r>
    </w:p>
    <w:p>
      <w:pPr>
        <w:spacing w:after="160"/>
      </w:pPr>
      <w:r>
        <w:t xml:space="preserve">Franchise: a product family, defined as an article's name with gender and version tokens stripped out, paired back with its gender. Two article codes collapse into the same franchise if they're the same underlying product, just a different generation or a different gender listing. A franchise is the level at which this brief tracks continuity, growth and decline across years — not the raw article code, which changes every time a version updates.</w:t>
      </w:r>
    </w:p>
    <w:p>
      <w:pPr>
        <w:spacing w:after="160"/>
      </w:pPr>
      <w:r>
        <w:rPr>
          <w:b/>
          <w:bCs/>
        </w:rPr>
        <w:t xml:space="preserve">How it's built:</w:t>
      </w:r>
    </w:p>
    <w:p>
      <w:pPr>
        <w:pStyle w:val="ListParagraph"/>
        <w:numPr>
          <w:ilvl w:val="0"/>
          <w:numId w:val="2"/>
        </w:numPr>
        <w:spacing w:after="80"/>
      </w:pPr>
      <w:r>
        <w:t xml:space="preserve">Version tokens stripped: 2.0, II, III, IV — so a product and its next-generation successor are treated as the same franchise, not two unrelated articles.</w:t>
      </w:r>
    </w:p>
    <w:p>
      <w:pPr>
        <w:pStyle w:val="ListParagraph"/>
        <w:numPr>
          <w:ilvl w:val="0"/>
          <w:numId w:val="2"/>
        </w:numPr>
        <w:spacing w:after="80"/>
      </w:pPr>
      <w:r>
        <w:t xml:space="preserve">Gender kept as its own dimension: Men, Women, Unisex — so the men's and women's version of the same product are two separate franchises, not one.</w:t>
      </w:r>
    </w:p>
    <w:p>
      <w:pPr>
        <w:pStyle w:val="ListParagraph"/>
        <w:numPr>
          <w:ilvl w:val="0"/>
          <w:numId w:val="2"/>
        </w:numPr>
        <w:spacing w:after="80"/>
      </w:pPr>
      <w:r>
        <w:t xml:space="preserve">“Real trading” threshold: a franchise only counts as genuinely active in a given year if it sold ≥100 units that year (≥20 units for the partial-year YTD2026 cut, scaled for the ~40-44% of year covered). Below that, it's treated as noise (the “Thin” bucket), not a real signal.</w:t>
      </w:r>
    </w:p>
    <w:p>
      <w:pPr>
        <w:spacing w:after="160"/>
      </w:pPr>
      <w:r>
        <w:rPr>
          <w:b/>
          <w:bCs/>
        </w:rPr>
        <w:t xml:space="preserve">Examples: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350"/>
        <w:gridCol w:w="3000"/>
        <w:gridCol w:w="2000"/>
      </w:tblGrid>
      <w:tr>
        <w:trPr>
          <w:tblHeader/>
        </w:trPr>
        <w:tc>
          <w:tcPr>
            <w:tcW w:type="dxa" w:w="4350"/>
            <w:shd w:fill="2F2F2F" w:val="clear"/>
            <w:tcMar>
              <w:top w:type="dxa" w:w="60"/>
              <w:left w:type="dxa" w:w="100"/>
              <w:bottom w:type="dxa" w:w="60"/>
              <w:right w:type="dxa" w:w="100"/>
            </w:tcMar>
            <w:vAlign w:val="center"/>
          </w:tcPr>
          <w:p>
            <w:pPr>
              <w:jc w:val="left"/>
            </w:pPr>
            <w:r>
              <w:rPr>
                <w:b/>
                <w:bCs/>
                <w:color w:val="FFFFFF"/>
                <w:sz w:val="18"/>
                <w:szCs w:val="18"/>
              </w:rPr>
              <w:t xml:space="preserve">Article code(s)</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Astral GTX Jacket Men / Astral GTX II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 / Astral GTX II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Astral GTX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Rosson Mid Jacket Men</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Men</w:t>
            </w:r>
          </w:p>
        </w:tc>
      </w:tr>
      <w:tr>
        <w:tc>
          <w:tcPr>
            <w:tcW w:type="dxa" w:w="4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 Women</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Rosson Mid Jacket</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r>
      <w:tr>
        <w:tc>
          <w:tcPr>
            <w:tcW w:type="dxa" w:w="4350"/>
            <w:tcMar>
              <w:top w:type="dxa" w:w="60"/>
              <w:left w:type="dxa" w:w="100"/>
              <w:bottom w:type="dxa" w:w="60"/>
              <w:right w:type="dxa" w:w="100"/>
            </w:tcMar>
            <w:vAlign w:val="center"/>
          </w:tcPr>
          <w:p>
            <w:pPr>
              <w:jc w:val="left"/>
            </w:pPr>
            <w:r>
              <w:rPr>
                <w:b w:val="false"/>
                <w:bCs w:val="false"/>
                <w:color w:val="000000"/>
                <w:sz w:val="18"/>
                <w:szCs w:val="18"/>
              </w:rPr>
              <w:t xml:space="preserve">Bow Windstopper Glove / Bow Windstopper II Glove</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Bow Windstopper Glove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Unisex</w:t>
            </w:r>
          </w:p>
        </w:tc>
      </w:tr>
    </w:tbl>
    <w:p>
      <w:pPr>
        <w:spacing w:after="160"/>
      </w:pPr>
      <w:r>
        <w:t xml:space="preserve">So “Astral GTX Jacket, Men” and “Astral GTX Jacket, Women” are counted as two separate franchises — a version update (Astral GTX → Astral GTX II) does not create a new franchise, but a different gender listing does.</w:t>
      </w:r>
    </w:p>
    <w:p>
      <w:pPr>
        <w:pBdr>
          <w:left w:val="single" w:color="B23A3A" w:sz="18"/>
        </w:pBdr>
        <w:shd w:fill="FBE7E7" w:val="clear"/>
        <w:spacing w:after="120" w:before="100"/>
        <w:ind w:left="150" w:right="100"/>
      </w:pPr>
      <w:r>
        <w:rPr>
          <w:b/>
          <w:bCs/>
          <w:color w:val="7A1F1F"/>
        </w:rPr>
        <w:t xml:space="preserve">METHODOLOGY FLAG: </w:t>
      </w:r>
      <w:r>
        <w:t xml:space="preserve">This is a string-matching heuristic on article names, not a real franchise ID from a master-data system — it will miss a genuine relaunch that gets a new, unrelated name, and it can occasionally over- or under-split a family. It's reliable in aggregate (used across ~1,800 franchises throughout this brief) but any single franchise's classification should be spot-checked before being relied on individually.</w:t>
      </w:r>
    </w:p>
    <w:p>
      <w:r>
        <w:br w:type="page"/>
      </w:r>
    </w:p>
    <w:p>
      <w:pPr>
        <w:pStyle w:val="Heading1"/>
        <w:spacing w:after="160" w:before="320"/>
      </w:pPr>
      <w:r>
        <w:t xml:space="preserve">1. Channel Mix and the Full Commercial Portfolio</w:t>
      </w:r>
    </w:p>
    <w:p>
      <w:pPr>
        <w:pStyle w:val="Heading2"/>
        <w:spacing w:after="120" w:before="240"/>
      </w:pPr>
      <w:r>
        <w:t xml:space="preserve">1.1 Channel Mix</w:t>
      </w:r>
    </w:p>
    <w:p>
      <w:pPr>
        <w:spacing w:after="160"/>
      </w:pPr>
      <w:r>
        <w:rPr>
          <w:b/>
          <w:bCs/>
        </w:rPr>
        <w:t xml:space="preserve">Headline: every core franchise (1,860 Base+Gender product lines, 649.8M SEK of 2025 core sales) has been classified into one of eight mutually-exclusive tiers — Hero, Near-Hero, Workhorse, Harvest, Problem Child, New/Test, Exited, Thin — using consistent, auditable rules.</w:t>
      </w:r>
    </w:p>
    <w:p>
      <w:pPr>
        <w:pStyle w:val="ListParagraph"/>
        <w:numPr>
          <w:ilvl w:val="0"/>
          <w:numId w:val="2"/>
        </w:numPr>
        <w:spacing w:after="80"/>
      </w:pPr>
      <w:r>
        <w:t xml:space="preserve">The portfolio splits cleanly into a working core and a long, thin tail: 34 Hero/Near-Hero franchises (98.2M SEK, 15% of core sales) are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00"/>
        <w:gridCol w:w="1050"/>
        <w:gridCol w:w="1300"/>
        <w:gridCol w:w="1300"/>
        <w:gridCol w:w="220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6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2025 Sales</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Wholesale Δ</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DTC Δ</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 Substitution candidate (WS down, DTC up)</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218</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-85.5M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+40.4M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Only 47% of the WS loss shows up as DTC gain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 Both 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Genuine share/demand loss, not a channel story</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 DTC growth, WS not declining (incremental)</w:t>
            </w:r>
          </w:p>
        </w:tc>
        <w:tc>
          <w:tcPr>
            <w:tcW w:type="dxa" w:w="600"/>
            <w:tcMar>
              <w:top w:type="dxa" w:w="60"/>
              <w:left w:type="dxa" w:w="100"/>
              <w:bottom w:type="dxa" w:w="60"/>
              <w:right w:type="dxa" w:w="100"/>
            </w:tcMar>
            <w:vAlign w:val="center"/>
          </w:tcPr>
          <w:p>
            <w:pPr>
              <w:jc w:val="center"/>
            </w:pPr>
            <w:r>
              <w:rPr>
                <w:b w:val="false"/>
                <w:bCs w:val="false"/>
                <w:color w:val="000000"/>
                <w:sz w:val="18"/>
                <w:szCs w:val="18"/>
              </w:rPr>
              <w:t xml:space="preserve">122</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+116.1M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+48.3M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Real, additive DTC growth — the healthy pattern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 WS growing, DTC flat/declining</w:t>
            </w:r>
          </w:p>
        </w:tc>
        <w:tc>
          <w:tcPr>
            <w:tcW w:type="dxa" w:w="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or lost sell-through at retail? This determines whether the fix is a DTC investment (if genuine channel preference) or a distribution-recovery effort (if it's really a listing/sell-through problem). Owner: Wholesale Director, cross-checked with Merchandising Director. Each of the four pattern lists below is worth a stakeholder pass, not just this one — especially the two declining patterns (A and B).</w:t>
      </w:r>
    </w:p>
    <w:p>
      <w:pPr>
        <w:pBdr>
          <w:left w:val="single" w:color="3C8A4C" w:sz="18"/>
        </w:pBdr>
        <w:shd w:fill="EAF3EA" w:val="clear"/>
        <w:spacing w:after="120" w:before="100"/>
        <w:ind w:left="150" w:right="100"/>
      </w:pPr>
      <w:r>
        <w:rPr>
          <w:b/>
          <w:bCs/>
          <w:color w:val="1F5C2E"/>
        </w:rPr>
        <w:t xml:space="preserve">DATA SHOWS: </w:t>
      </w:r>
      <w:r>
        <w:t xml:space="preserve">Of the 85.5M SEK lost in Wholesale by the 218 substitution-pattern franchises, only 40.4M reappeared in DTC — a 45.1M SEK net shortfall. If this were pure channel-shift, the two numbers would be much closer to matching. Roughly half of what looks like 'moving to DTC' is actually net demand loss with a channel-shift story attached to it.</w:t>
      </w:r>
    </w:p>
    <w:p>
      <w:pPr>
        <w:pStyle w:val="Heading3"/>
        <w:spacing w:after="100" w:before="200"/>
      </w:pPr>
      <w:r>
        <w:t xml:space="preserve">1.1.1 A. Substitution candidates</w:t>
      </w:r>
    </w:p>
    <w:p>
      <w:pPr>
        <w:spacing w:after="160"/>
      </w:pPr>
      <w:r>
        <w:t xml:space="preserve">Top 10 ranked by size of the Wholesale decline (not by total 2025 sales — a large franchise with only a token WS dip isn't a meaningful substitution case; the ones below are where the pattern actually bites). % change is vs. each franchise's own 2024 base. Shortfall = |WS decline| − DTC gain, i.e. the part of the WS loss that did NOT show up in 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Shortfall</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8.79M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-8.87M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+4.06M (+128%)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4.81M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-8.10M (-90%)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(+80%)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6.51M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5.22M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-3.00M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+1.73M (+175%)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1.27M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-2.52M (-62%)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-2.46M (-81%)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+1.62M (+300%)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-2.39M (-82%)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(+334%)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-2.13M (-54%)</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+0.20M (+50%)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 (-91%)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 (+49%)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Rugged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3.74M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-1.77M (-59%)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+0.33M (+15%)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-1.74M (-47%)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 (+141%)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w:t>
            </w:r>
          </w:p>
        </w:tc>
      </w:tr>
    </w:tbl>
    <w:p>
      <w:pPr>
        <w:spacing w:after="200"/>
      </w:pPr>
      <w:r>
        <w:rPr>
          <w:i/>
          <w:iCs/>
          <w:color w:val="555555"/>
          <w:sz w:val="18"/>
          <w:szCs w:val="18"/>
        </w:rPr>
        <w:t xml:space="preserve">All 10 show a shortfall — none of the biggest WS-decline cases are close to a clean 1:1 channel swap. L.I.M GTX Jacket (both genders) alone accounts for 11.3M of the 45.1M SEK company-wide shortfall.</w:t>
      </w:r>
    </w:p>
    <w:p>
      <w:pPr>
        <w:pStyle w:val="Heading3"/>
        <w:spacing w:after="100" w:before="200"/>
      </w:pPr>
      <w:r>
        <w:t xml:space="preserve">1.1.2 B. Both declining</w:t>
      </w:r>
    </w:p>
    <w:p>
      <w:pPr>
        <w:spacing w:after="160"/>
      </w:pPr>
      <w:r>
        <w:t xml:space="preserve">Top 10 ranked by total revenue lost (WS Δ + DTC Δ, most negative first) — the franchises doing the most damage to this pattern's -82.7M SEK combined decline.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Corker 20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-2.90M (-99%)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(-80%)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Down Hood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-1.36M (-101%)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-1.23M (-85%)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-0.92M (-41%)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Betula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 (-96%)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-0.51M (-71%)</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GTX Active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-1.65M (-87%)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-0.28M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-1.93M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Active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-1.59M (-93%)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-0.18M (-39%)</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Betula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-1.19M (-96%)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(-78%)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-1.75M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-0.60M (-77%)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 (-76%)</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-1.58M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L.I.M FH GTX Mid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-0.93M (-70%)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-0.56M (-44%)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-1.48M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 (-42%)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 (-8%)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-1.34M</w:t>
            </w:r>
          </w:p>
        </w:tc>
      </w:tr>
    </w:tbl>
    <w:p>
      <w:pPr>
        <w:spacing w:after="200"/>
      </w:pPr>
      <w:r>
        <w:rPr>
          <w:i/>
          <w:iCs/>
          <w:color w:val="555555"/>
          <w:sz w:val="18"/>
          <w:szCs w:val="18"/>
        </w:rPr>
        <w:t xml:space="preserve">7 of the 10 have collapsed to under 1M SEK total 2025 sales — not a gentle two-sided decline, an effective wipeout on both channels at once.</w:t>
      </w:r>
    </w:p>
    <w:p>
      <w:pPr>
        <w:pStyle w:val="Heading3"/>
        <w:spacing w:after="100" w:before="200"/>
      </w:pPr>
      <w:r>
        <w:t xml:space="preserve">1.1.3 C. DTC growth, WS not declining</w:t>
      </w:r>
    </w:p>
    <w:p>
      <w:pPr>
        <w:spacing w:after="160"/>
      </w:pPr>
      <w:r>
        <w:t xml:space="preserve">Top 10 ranked by size of DTC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+2.72M (+438%)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+0.10M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+2.82M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(+155%)</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+0.66M (+5%)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+1.74M (+470%)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+0.09M (n/a — 0 base)</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+1.84M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 (+196%)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+0.40M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9.19M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+0.86M (+153%)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+2.29M (+42%)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+3.15M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3.53M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+0.83M (+502%)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(+68%)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+1.86M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+0.74M (+335%)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+0.37M (+16%)</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+1.10M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+0.59M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 (+18%)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6.31M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+0.58M (+147%)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+2.22M (+71%)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+2.80M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Phalanx OE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 (n/a — 0 base)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r>
    </w:tbl>
    <w:p>
      <w:pPr>
        <w:spacing w:after="200"/>
      </w:pPr>
      <w:r>
        <w:rPr>
          <w:i/>
          <w:iCs/>
          <w:color w:val="555555"/>
          <w:sz w:val="18"/>
          <w:szCs w:val="18"/>
        </w:rPr>
        <w:t xml:space="preserve">Spitz OE Jacket (both genders) and Phalanx OE Jacket (Women) are launching from a ~0 Wholesale base — their 'WS not declining' classification is trivially true. Astral GTX Jacket/Pant and Front Proof Jacket are the more meaningful cases: real, established WS bases growing 5-71% alongside DTC.</w:t>
      </w:r>
    </w:p>
    <w:p>
      <w:pPr>
        <w:pStyle w:val="Heading3"/>
        <w:spacing w:after="100" w:before="200"/>
      </w:pPr>
      <w:r>
        <w:t xml:space="preserve">1.1.4 D. WS growing, DTC flat/declining</w:t>
      </w:r>
    </w:p>
    <w:p>
      <w:pPr>
        <w:spacing w:after="160"/>
      </w:pPr>
      <w:r>
        <w:t xml:space="preserve">Top 10 ranked by size of Wholesale growth (the metric that defines this pattern). % change is vs. each franchise's own 2024 base: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900"/>
        <w:gridCol w:w="1900"/>
        <w:gridCol w:w="17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Total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WS Δ (%)</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DTC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3.88M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+0.88M (+33%)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+0.87M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+0.54M (+380%)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-0.31M (-57%)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Korp Proof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+0.48M (+29%)</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(-14%)</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+0.45M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 (+12%)</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(-52%)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+0.37M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+0.34M (+8%)</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-0.04M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+0.30M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Maze Hood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 (+551%)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-0.01M (-83%)</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+0.26M (+55%)</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-0.02M (-13%)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+0.24M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(+26%)</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-0.02M (-27%)</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+0.23M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+0.22M (+12%)</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-0.03M (-25%)</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+0.19M</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L.I.M ST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 (+34%)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0.00M (n/a — 0 base)</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r>
    </w:tbl>
    <w:p>
      <w:pPr>
        <w:spacing w:after="200"/>
      </w:pPr>
      <w:r>
        <w:rPr>
          <w:i/>
          <w:iCs/>
          <w:color w:val="555555"/>
          <w:sz w:val="18"/>
          <w:szCs w:val="18"/>
        </w:rPr>
        <w:t xml:space="preserve">Chill Down Parka and Maze Hood show huge % WS growth (+380%, +551%) off tiny 2024 bases — the absolute SEK, not the %, is why they're on this list. Korp Proof Jacket and Tight Large are the more meaningful entries: real absolute WS growth on an already-substantial base. Full 623-franchise list, all four patterns, is in the backup workbook (bob_item3_portfolio_backup.xlsx, sheet 'Channel Mix - Full 623').</w:t>
      </w:r>
    </w:p>
    <w:p>
      <w:pPr>
        <w:pBdr>
          <w:left w:val="single" w:color="2E8FB5" w:sz="18"/>
        </w:pBdr>
        <w:shd w:fill="E3F1F7" w:val="clear"/>
        <w:spacing w:after="120" w:before="100"/>
        <w:ind w:left="150" w:right="100"/>
      </w:pPr>
      <w:r>
        <w:rPr>
          <w:b/>
          <w:bCs/>
          <w:color w:val="0F5C7A"/>
        </w:rPr>
        <w:t xml:space="preserve">2026 YTD ADDED: </w:t>
      </w:r>
      <w:r>
        <w:t xml:space="preserve">Channel pace, not a re-run of the 4-pattern split (that needs matched-period data this extract doesn't have — see standing data gaps). Core-scope YTD2026 vs. FY2025 full-year pace: Wholesale 200.0M (46.3% of FY25's 431.5M), Retail 60.2M (49.0% of FY25's 123.0M), E-com 40.9M (43.5% of FY25's 94.1M). All three channels are pacing at or slightly ahead of the ~40-44% 'on pace' benchmark used elsewhere in this brief — Wholesale is not falling further behind DTC in early 2026. The FY2025 substitution problem does not look like it is actively deepening, but a fresh franchise-level pattern re-cut needs matched-period 2025/2026 data to confirm directly.</w:t>
      </w:r>
    </w:p>
    <w:p>
      <w:pPr>
        <w:pBdr>
          <w:left w:val="single" w:color="B23A3A" w:sz="18"/>
        </w:pBdr>
        <w:shd w:fill="FBE7E7" w:val="clear"/>
        <w:spacing w:after="120" w:before="100"/>
        <w:ind w:left="150" w:right="100"/>
      </w:pPr>
      <w:r>
        <w:rPr>
          <w:b/>
          <w:bCs/>
          <w:color w:val="7A1F1F"/>
        </w:rPr>
        <w:t xml:space="preserve">METHODOLOGY FLAG: </w:t>
      </w:r>
      <w:r>
        <w:t xml:space="preserve">A franchise-level re-cut was attempted: each of the 623 franchises' YTD2026 pace (YTD2026 ÷ FY2025) was classified as above/below its channel's own population-average pace (WS 30.5%, DTC 37.8%, both benchmarked on this 623-franchise population specifically) and compared to its FY24→25 pattern. Only 33% (204 of 623) come out the same — Substitution confirms at 33%, Both-declining at 42%, DTC-incremental at 33%, WS-growing at just 16%. This is NOT presented as '67% of patterns reversed in 2026': Wholesale/Retail sales have no month field (standing data gap), and YTD2026 covers only Jan-Jul — a small, seasonally unrepresentative slice for a portfolio this Fall/Winter-weighted. A franchise can look 'below pace' in July and still land on its FY2025 trajectory by December; this check cannot tell the two apart. The honest read is that the franchise-level pattern genuinely cannot be confirmed or refuted from this data yet, not that it has flipped.</w:t>
      </w:r>
    </w:p>
    <w:p>
      <w:pPr>
        <w:pStyle w:val="Heading2"/>
        <w:spacing w:after="120" w:before="240"/>
      </w:pPr>
      <w:r>
        <w:t xml:space="preserve">1.2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6150"/>
      </w:tblGrid>
      <w:tr>
        <w:trPr>
          <w:tblHeader/>
        </w:trPr>
        <w:tc>
          <w:tcPr>
            <w:tcW w:type="dxa" w:w="700"/>
            <w:shd w:fill="2F2F2F" w:val="clear"/>
            <w:tcMar>
              <w:top w:type="dxa" w:w="60"/>
              <w:left w:type="dxa" w:w="100"/>
              <w:bottom w:type="dxa" w:w="60"/>
              <w:right w:type="dxa" w:w="100"/>
            </w:tcMar>
            <w:vAlign w:val="center"/>
          </w:tcPr>
          <w:p>
            <w:pPr>
              <w:jc w:val="left"/>
            </w:pPr>
            <w:r>
              <w:rPr>
                <w:b/>
                <w:bCs/>
                <w:color w:val="FFFFFF"/>
                <w:sz w:val="18"/>
                <w:szCs w:val="18"/>
              </w:rPr>
              <w:t xml:space="preserve">Order</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Tier</w:t>
            </w:r>
          </w:p>
        </w:tc>
        <w:tc>
          <w:tcPr>
            <w:tcW w:type="dxa" w:w="6150"/>
            <w:shd w:fill="2F2F2F" w:val="clear"/>
            <w:tcMar>
              <w:top w:type="dxa" w:w="60"/>
              <w:left w:type="dxa" w:w="100"/>
              <w:bottom w:type="dxa" w:w="60"/>
              <w:right w:type="dxa" w:w="100"/>
            </w:tcMar>
            <w:vAlign w:val="center"/>
          </w:tcPr>
          <w:p>
            <w:pPr>
              <w:jc w:val="center"/>
            </w:pPr>
            <w:r>
              <w:rPr>
                <w:b/>
                <w:bCs/>
                <w:color w:val="FFFFFF"/>
                <w:sz w:val="18"/>
                <w:szCs w:val="18"/>
              </w:rPr>
              <w:t xml:space="preserve">Rule</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New / Test</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 real trading in 2024, real trading in 2025 (i.e., a genuine launch)</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Exited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Real trading in 2024, not in 2025</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Thin / Immaterial</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Below the 100-unit real-trading threshold in one or both years</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Hero</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2025 sales ≥2M SEK, YoY growth &gt;0%, sells in both Wholesale and DTC, GM% ≥46.6%</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Near-Hero (Rising Star)</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2025 sales ≥1M SEK, YoY growth &gt;15%, cross-channel, GM% ≥46.6%</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&gt; -10%</w:t>
            </w:r>
          </w:p>
        </w:tc>
      </w:tr>
      <w:tr>
        <w:tc>
          <w:tcPr>
            <w:tcW w:type="dxa" w:w="7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Harvest (Cash Cow)</w:t>
            </w:r>
          </w:p>
        </w:tc>
        <w:tc>
          <w:tcPr>
            <w:tcW w:type="dxa" w:w="6150"/>
            <w:tcMar>
              <w:top w:type="dxa" w:w="60"/>
              <w:left w:type="dxa" w:w="100"/>
              <w:bottom w:type="dxa" w:w="60"/>
              <w:right w:type="dxa" w:w="100"/>
            </w:tcMar>
            <w:vAlign w:val="center"/>
          </w:tcPr>
          <w:p>
            <w:pPr>
              <w:jc w:val="center"/>
            </w:pPr>
            <w:r>
              <w:rPr>
                <w:b w:val="false"/>
                <w:bCs w:val="false"/>
                <w:color w:val="000000"/>
                <w:sz w:val="18"/>
                <w:szCs w:val="18"/>
              </w:rPr>
              <w:t xml:space="preserve">Not Hero/Near-Hero, GM% ≥40%, YoY growth ≤ -10%</w:t>
            </w:r>
          </w:p>
        </w:tc>
      </w:tr>
      <w:tr>
        <w:tc>
          <w:tcPr>
            <w:tcW w:type="dxa" w:w="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w:t>
            </w:r>
          </w:p>
        </w:tc>
        <w:tc>
          <w:tcPr>
            <w:tcW w:type="dxa" w:w="6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Hero/Near-Hero, GM% &lt;40% (regardless of growth)</w:t>
            </w:r>
          </w:p>
        </w:tc>
      </w:tr>
    </w:tbl>
    <w:p>
      <w:pPr>
        <w:spacing w:after="160"/>
      </w:pPr>
      <w:r>
        <w:rPr>
          <w:i/>
          <w:iCs/>
        </w:rPr>
        <w:t xml:space="preserve">Notes on the terms:</w:t>
      </w:r>
    </w:p>
    <w:p>
      <w:pPr>
        <w:pStyle w:val="ListParagraph"/>
        <w:numPr>
          <w:ilvl w:val="0"/>
          <w:numId w:val="2"/>
        </w:numPr>
        <w:spacing w:after="80"/>
      </w:pPr>
      <w:r>
        <w:t xml:space="preserve">“Real trading” = ≥100 units sold in that year (MIN_UNITS_FOR_REAL_TRADING_YEAR in config.py) — the same threshold used throughout Topics 1-3.</w:t>
      </w:r>
    </w:p>
    <w:p>
      <w:pPr>
        <w:pStyle w:val="ListParagraph"/>
        <w:numPr>
          <w:ilvl w:val="0"/>
          <w:numId w:val="2"/>
        </w:numPr>
        <w:spacing w:after="80"/>
      </w:pPr>
      <w:r>
        <w:t xml:space="preserve">46.6% is the core-company average GM% — the bar for “good,” not an arbitrary round number.</w:t>
      </w:r>
    </w:p>
    <w:p>
      <w:pPr>
        <w:pStyle w:val="ListParagraph"/>
        <w:numPr>
          <w:ilvl w:val="0"/>
          <w:numId w:val="2"/>
        </w:numPr>
        <w:spacing w:after="80"/>
      </w:pPr>
      <w:r>
        <w:t xml:space="preserve">40% is a separate, lower floor — Workhorse/Harvest/Problem Child are split by whether they clear it, not by the 46.6% Hero bar.</w:t>
      </w:r>
    </w:p>
    <w:p>
      <w:pPr>
        <w:pStyle w:val="ListParagraph"/>
        <w:numPr>
          <w:ilvl w:val="0"/>
          <w:numId w:val="2"/>
        </w:numPr>
        <w:spacing w:after="80"/>
      </w:pPr>
      <w:r>
        <w:t xml:space="preserve">-10% YoY is the growth line that separates Workhorse (holding up) from Harvest (declining but still margin-healthy) — both tiers require GM% ≥40%; only the growth direction differs.</w:t>
      </w:r>
    </w:p>
    <w:p>
      <w:pPr>
        <w:pStyle w:val="ListParagraph"/>
        <w:numPr>
          <w:ilvl w:val="0"/>
          <w:numId w:val="2"/>
        </w:numPr>
        <w:spacing w:after="80"/>
      </w:pPr>
      <w:r>
        <w:t xml:space="preserve">Cross-channel for Hero/Near-Hero specifically means Wholesale &gt;100K SEK AND DTC &gt;50K SEK — not just “any presence in both.”</w:t>
      </w:r>
    </w:p>
    <w:p>
      <w:pPr>
        <w:pStyle w:val="Heading2"/>
        <w:spacing w:after="120" w:before="240"/>
      </w:pPr>
      <w:r>
        <w:t xml:space="preserve">1.3 Scale Up More Profitable Like-for-Like Items</w:t>
      </w:r>
    </w:p>
    <w:p>
      <w:pPr>
        <w:spacing w:after="160"/>
      </w:pPr>
      <w:r>
        <w:t xml:space="preserve">What are the growing, profitable products (Hero) and how to grow them further; what to do with the not-growing, less-profitable products.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650"/>
        <w:gridCol w:w="1400"/>
        <w:gridCol w:w="1250"/>
        <w:gridCol w:w="12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Tier</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FY2025 Sales</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pace vs. FY2025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Hero</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 (with Near-Hero)</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73.8M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56.0%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34%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Near-Hero</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(see above)</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 — roughly on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202</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197.3M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47.5%</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50.1%</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37%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Harvest (Cash Cow)</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236</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 — behind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94.8M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33.4%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 — behind pace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 / Test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46.4%</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 — ahead of pace</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Thin / Immaterial</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47.7%*</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excluded — see note</w:t>
            </w:r>
          </w:p>
        </w:tc>
      </w:tr>
    </w:tbl>
    <w:p>
      <w:pPr>
        <w:spacing w:after="200"/>
      </w:pPr>
      <w:r>
        <w:rPr>
          <w:i/>
          <w:iCs/>
          <w:color w:val="555555"/>
          <w:sz w:val="18"/>
          <w:szCs w:val="18"/>
        </w:rPr>
        <w:t xml:space="preserve">YTD2026 pace = YTD2026 sales as a % of the full FY2025 total; ~40-44% is roughly 'on pace' for the year-to-date window. *Thin/Immaterial's YTD2026 GM% is shown for completeness but is not a reliable trend read either — it's dominated by the same brand-new SS26/FW26 launch articles that make its 599.9% 'pace' meaningless (excluded from the pace column for that reason).</w:t>
      </w:r>
    </w:p>
    <w:p>
      <w:pPr>
        <w:pBdr>
          <w:left w:val="single" w:color="3C8A4C" w:sz="18"/>
        </w:pBdr>
        <w:shd w:fill="EAF3EA" w:val="clear"/>
        <w:spacing w:after="120" w:before="100"/>
        <w:ind w:left="150" w:right="100"/>
      </w:pPr>
      <w:r>
        <w:rPr>
          <w:b/>
          <w:bCs/>
          <w:color w:val="1F5C2E"/>
        </w:rPr>
        <w:t xml:space="preserve">DATA SHOWS: </w:t>
      </w:r>
      <w:r>
        <w:t xml:space="preserve">Margin is improving broadly, not just in Problem Child: Hero +2.5pt (53.5%→56.0%), Near-Hero +0.3pt, Workhorse +2.6pt, Harvest -1.3pt, Problem Child +4.3pt, New/Test +6.0pt. Only Harvest moves the wrong way. But the four largest, most-established tiers — Hero, Workhorse, Harvest, Problem Child — are all running behind the on-pace volume benchmark, while growth is concentrated in New/Test. Margin improving and volume lagging at the same time is the actual finding, not a clean 'these are growing, these aren't' binary.</w:t>
      </w:r>
    </w:p>
    <w:p>
      <w:pPr>
        <w:pStyle w:val="Heading3"/>
        <w:spacing w:after="100" w:before="200"/>
      </w:pPr>
      <w:r>
        <w:t xml:space="preserve">1.3.1 Hero</w:t>
      </w:r>
    </w:p>
    <w:p>
      <w:pPr>
        <w:spacing w:after="160"/>
      </w:pPr>
      <w:r>
        <w:rPr>
          <w:b/>
          <w:bCs/>
        </w:rPr>
        <w:t xml:space="preserve">Validation 1: are the Hero products part of the core assortment plan?</w:t>
      </w:r>
    </w:p>
    <w:p>
      <w:pPr>
        <w:spacing w:after="160"/>
      </w:pPr>
      <w:r>
        <w:t xml:space="preserve">Overlap: 28 of 34 (82%) Hero/Near-Hero franchises are carried into FW27 — Hero 15/17 (88%), Near-Hero 13/17 (76%). Most carry forward as the 'II'/'2.0' successor version (e.g. Astral GTX Jacket Women → Astral GTX II Jacket Women), consistent with the version-succession pattern documented in config.py. Of the 6 not in F27, 3 continue in the Spring/Summer S27/S28 assortment instead of being dropped (see below) — so the true 'gone from the range entirely' count is 3, not 6. Full list below, both tiers, with FY2025 economics and channel-mix pattern for a clean single view of this category:</w:t>
      </w:r>
    </w:p>
    <w:p>
      <w:pPr>
        <w:spacing w:after="80" w:before="160"/>
      </w:pPr>
      <w:r>
        <w:rPr>
          <w:b/>
          <w:bCs/>
          <w:i/>
          <w:iCs/>
          <w:color w:val="444444"/>
          <w:sz w:val="21"/>
          <w:szCs w:val="21"/>
        </w:rPr>
        <w:t xml:space="preserve">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8.45M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57.0%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2.32M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0.17M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Down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6.34M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1.82M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0.71M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Salix Proof Mimic Parka</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3.36M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2.69M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60.6%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Särna Mimic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62.7%</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6.68M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5.99M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Large</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0.30M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46.8%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47.1%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bl>
    <w:p>
      <w:pPr>
        <w:spacing w:after="80" w:before="160"/>
      </w:pPr>
      <w:r>
        <w:rPr>
          <w:b/>
          <w:bCs/>
          <w:i/>
          <w:iCs/>
          <w:color w:val="444444"/>
          <w:sz w:val="21"/>
          <w:szCs w:val="21"/>
        </w:rPr>
        <w:t xml:space="preserve">Near-Hero (17)</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650"/>
        <w:gridCol w:w="900"/>
        <w:gridCol w:w="650"/>
        <w:gridCol w:w="900"/>
        <w:gridCol w:w="900"/>
        <w:gridCol w:w="900"/>
        <w:gridCol w:w="15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Gender</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FW27 Status</w:t>
            </w:r>
          </w:p>
        </w:tc>
        <w:tc>
          <w:tcPr>
            <w:tcW w:type="dxa" w:w="6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WS Sales</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DTC Sales</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Fjatla 60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51.5%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28</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49.2%</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Korp Proof Pant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1.56M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0.98M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0.57M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Mid Multi Hood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52.8%</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52.4%</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1.84M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0.48M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Lava 30</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49.5%</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Jacket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55.3%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1.92M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Down Vest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Mid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53.3%</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1.15M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0.29M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Rugged Slim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Tarius -5</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Unisex</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Core FW27</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Fuse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1.70M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0.53M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Fuse Shorts</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S27 only</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50.0%</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1.45M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0.87M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0.58M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Pant</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54.6%</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0.27M</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0.74M</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Women</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Not found</w:t>
            </w:r>
          </w:p>
        </w:tc>
        <w:tc>
          <w:tcPr>
            <w:tcW w:type="dxa" w:w="650"/>
            <w:tcMar>
              <w:top w:type="dxa" w:w="60"/>
              <w:left w:type="dxa" w:w="100"/>
              <w:bottom w:type="dxa" w:w="60"/>
              <w:right w:type="dxa" w:w="100"/>
            </w:tcMar>
            <w:vAlign w:val="center"/>
          </w:tcPr>
          <w:p>
            <w:pPr>
              <w:jc w:val="center"/>
            </w:pPr>
            <w:r>
              <w:rPr>
                <w:b w:val="false"/>
                <w:bCs w:val="false"/>
                <w:color w:val="000000"/>
                <w:sz w:val="18"/>
                <w:szCs w:val="18"/>
              </w:rPr>
              <w:t xml:space="preserve">58.6%</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1.36M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0.81M</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0.55M</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pBdr>
          <w:left w:val="single" w:color="9C4DCC" w:sz="18"/>
        </w:pBdr>
        <w:shd w:fill="F0E6F6" w:val="clear"/>
        <w:spacing w:after="120" w:before="100"/>
        <w:ind w:left="150" w:right="100"/>
      </w:pPr>
      <w:r>
        <w:rPr>
          <w:b/>
          <w:bCs/>
          <w:color w:val="6A1B9A"/>
        </w:rPr>
        <w:t xml:space="preserve">CORRECTED FROM DRAFT: </w:t>
      </w:r>
      <w:r>
        <w:t xml:space="preserve">The prior draft flagged all 6 non-F27 franchises as simply 'not in FW27' and asked Product to sanity-check them. That check has now been done directly against the CPO's Assortment Attribution Review (F27) plus the Spring/Summer S27/S28 files: 3 of the 6 are not dropped at all — they continue, just repositioned to a Spring/Summer season rather than Fall/Winter. Morän Softshell Standard Pant (Men) continues as 'Morän Softshell II Pant' in S27. L.I.M Fuse Pant (Men) continues as 'L.I.M Fuse II Pant' in S27, then 'Fuse III Pant' in S28 — an active, growing line. L.I.M Fuse Shorts (Women) continues as 'L.I.M Fuse II Shorts' in S27. Only 3 are genuinely absent from F27, S27, and S28: Astral GTX Pant (Women), L.I.M Proof Pant (Women), and Mossa Pile Jacket (Women).</w:t>
      </w:r>
    </w:p>
    <w:p>
      <w:pPr>
        <w:spacing w:after="160"/>
      </w:pPr>
      <w:r>
        <w:t xml:space="preserve">Worth flagging: of the 3 genuinely-absent franchises, Mossa Pile Jacket and L.I.M Proof Pant are simultaneously 'Substitution' pattern AND absent from every assortment file checked — these two are losing Wholesale distribution and apparently exiting the range at the same time, the more specific and more urgent version of the FW27 question. The L.I.M bottoms range is not being narrowed as a group — most of it (Fuse Pant, Fuse Shorts, Mid Multi Hood) is continuing; only Proof Pant specifically is exiting.</w:t>
      </w:r>
    </w:p>
    <w:p>
      <w:pPr>
        <w:pBdr>
          <w:left w:val="single" w:color="B23A3A" w:sz="18"/>
        </w:pBdr>
        <w:shd w:fill="FBE7E7" w:val="clear"/>
        <w:spacing w:after="120" w:before="100"/>
        <w:ind w:left="150" w:right="100"/>
      </w:pPr>
      <w:r>
        <w:rPr>
          <w:b/>
          <w:bCs/>
          <w:color w:val="7A1F1F"/>
        </w:rPr>
        <w:t xml:space="preserve">METHODOLOGY FLAG: </w:t>
      </w:r>
      <w:r>
        <w:t xml:space="preserve">This is still string-matching, not a master-data product ID, so a genuine name change (not just a version-token bump or a Fall→Spring reposition) would still falsely show as 'dropped' — that risk applies to the 3 remaining 'not found' franchises. Worth a final quick sanity check with Product on just those 3 before treating them as confirmed exits.</w:t>
      </w:r>
    </w:p>
    <w:p>
      <w:pPr>
        <w:spacing w:after="160"/>
      </w:pPr>
      <w:r>
        <w:rPr>
          <w:b/>
          <w:bCs/>
        </w:rPr>
        <w:t xml:space="preserve">Validation 2: are the Hero products part of the DTC-incremental pattern? Directly readable from the Pattern column above — summarized: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3050"/>
        <w:gridCol w:w="140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N of 34 Hero/Near-Hero franchises</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Share</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 (incremental)</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59%</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SUBSTITUTION candidate (WS down, DTC up)</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15%</w:t>
            </w:r>
          </w:p>
        </w:tc>
      </w:tr>
    </w:tbl>
    <w:p>
      <w:pPr>
        <w:spacing w:after="160"/>
      </w:pP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w:t>
      </w:r>
    </w:p>
    <w:p>
      <w:pPr>
        <w:pStyle w:val="Heading3"/>
        <w:spacing w:after="100" w:before="200"/>
      </w:pPr>
      <w:r>
        <w:t xml:space="preserve">1.3.2 Problem Child</w:t>
      </w:r>
    </w:p>
    <w:p>
      <w:pPr>
        <w:spacing w:after="16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 (Split rule: &gt;50% of 2025 sales through a special-tagged account — XXL, Zalando, China, Stadium Outlet — routes a franchise to the outlet-migrated bucket; the remaining 129 are the core pricing-fix list.)</w:t>
      </w:r>
    </w:p>
    <w:p>
      <w:pPr>
        <w:spacing w:after="160"/>
      </w:pPr>
      <w:r>
        <w:t xml:space="preserve">Top 15 of the 129 Core Pricing Fix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00"/>
        <w:gridCol w:w="1200"/>
        <w:gridCol w:w="1200"/>
        <w:gridCol w:w="11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FY25</w:t>
            </w:r>
          </w:p>
        </w:tc>
        <w:tc>
          <w:tcPr>
            <w:tcW w:type="dxa" w:w="1200"/>
            <w:shd w:fill="2F2F2F" w:val="clear"/>
            <w:tcMar>
              <w:top w:type="dxa" w:w="60"/>
              <w:left w:type="dxa" w:w="100"/>
              <w:bottom w:type="dxa" w:w="60"/>
              <w:right w:type="dxa" w:w="100"/>
            </w:tcMar>
            <w:vAlign w:val="center"/>
          </w:tcPr>
          <w:p>
            <w:pPr>
              <w:jc w:val="center"/>
            </w:pPr>
            <w:r>
              <w:rPr>
                <w:b/>
                <w:bCs/>
                <w:color w:val="FFFFFF"/>
                <w:sz w:val="18"/>
                <w:szCs w:val="18"/>
              </w:rPr>
              <w:t xml:space="preserve">GM% YTD26</w:t>
            </w:r>
          </w:p>
        </w:tc>
        <w:tc>
          <w:tcPr>
            <w:tcW w:type="dxa" w:w="1150"/>
            <w:shd w:fill="2F2F2F" w:val="clear"/>
            <w:tcMar>
              <w:top w:type="dxa" w:w="60"/>
              <w:left w:type="dxa" w:w="100"/>
              <w:bottom w:type="dxa" w:w="60"/>
              <w:right w:type="dxa" w:w="100"/>
            </w:tcMar>
            <w:vAlign w:val="center"/>
          </w:tcPr>
          <w:p>
            <w:pPr>
              <w:jc w:val="center"/>
            </w:pPr>
            <w:r>
              <w:rPr>
                <w:b/>
                <w:bCs/>
                <w:color w:val="FFFFFF"/>
                <w:sz w:val="18"/>
                <w:szCs w:val="18"/>
              </w:rPr>
              <w:t xml:space="preserve">Δ (pt)</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36.2%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40.3%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5.23M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36.5%</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35.7%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48.1%</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3.40M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32.9%</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-4.4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+0.8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37.9%</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43.2%</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38.8%</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37.3%</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34.2%</w:t>
            </w:r>
          </w:p>
        </w:tc>
        <w:tc>
          <w:tcPr>
            <w:tcW w:type="dxa" w:w="1200"/>
            <w:tcMar>
              <w:top w:type="dxa" w:w="60"/>
              <w:left w:type="dxa" w:w="100"/>
              <w:bottom w:type="dxa" w:w="60"/>
              <w:right w:type="dxa" w:w="100"/>
            </w:tcMar>
            <w:vAlign w:val="center"/>
          </w:tcPr>
          <w:p>
            <w:pPr>
              <w:jc w:val="center"/>
            </w:pPr>
            <w:r>
              <w:rPr>
                <w:b w:val="false"/>
                <w:bCs w:val="false"/>
                <w:color w:val="000000"/>
                <w:sz w:val="18"/>
                <w:szCs w:val="18"/>
              </w:rPr>
              <w:t xml:space="preserve">39.6%</w:t>
            </w:r>
          </w:p>
        </w:tc>
        <w:tc>
          <w:tcPr>
            <w:tcW w:type="dxa" w:w="1150"/>
            <w:tcMar>
              <w:top w:type="dxa" w:w="60"/>
              <w:left w:type="dxa" w:w="100"/>
              <w:bottom w:type="dxa" w:w="60"/>
              <w:right w:type="dxa" w:w="100"/>
            </w:tcMar>
            <w:vAlign w:val="center"/>
          </w:tcPr>
          <w:p>
            <w:pPr>
              <w:jc w:val="center"/>
            </w:pPr>
            <w:r>
              <w:rPr>
                <w:b w:val="false"/>
                <w:bCs w:val="false"/>
                <w:color w:val="000000"/>
                <w:sz w:val="18"/>
                <w:szCs w:val="18"/>
              </w:rPr>
              <w:t xml:space="preserve">+5.4</w:t>
            </w:r>
          </w:p>
        </w:tc>
      </w:tr>
    </w:tbl>
    <w:p>
      <w:pPr>
        <w:spacing w:after="200"/>
      </w:pPr>
      <w:r>
        <w:rPr>
          <w:i/>
          <w:iCs/>
          <w:color w:val="555555"/>
          <w:sz w:val="18"/>
          <w:szCs w:val="18"/>
        </w:rPr>
        <w:t xml:space="preserve">Net across the 15: 8 improved, 7 declined, simple average +0.4pt — essentially flat as a group, unlike the tier-level +4.3pt shown above. The tier-level improvement is being driven by franchises further down the 129-list or by mix, not by these top 15 specifically.</w:t>
      </w:r>
    </w:p>
    <w:p>
      <w:pPr>
        <w:spacing w:after="160"/>
      </w:pPr>
      <w:r>
        <w:t xml:space="preserve">Same 15, channel split (WS/DTC Δ vs. each franchise's own 2024 base) and 1.1's pattern classification: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2500"/>
        <w:gridCol w:w="17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WS Sales (Δ, %)</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DTC Sales (Δ, %)</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Pattern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7.77M (+2.29M, +42%)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1.42M (+0.86M, +153%)</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2.50M (-3.00M, -55%)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2.72M (+1.73M, +175%)</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3.27M (-0.09M, -3%)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0.80M (+0.38M, +90%)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1.53M (-2.52M, -62%)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2.29M (+0.38M, +20%)</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1.90M (-0.56M, -23%)</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1.61M (-0.16M, -9%)</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Both declining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 (+0.10M, n/a — 0 base)</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3.34M (+2.72M, +438%)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3.05M (-0.11M, -4%)</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0.37M (+0.14M, +58%)</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 (-1.46M, -46%)</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1.73M (+1.20M, +228%)</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3.40M (+0.37M,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0.00M (-0.00M, -52%)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WS growing</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2.79M (+0.13M, +5%)</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0.25M (+0.05M, +24%)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0.09M (+0.09M, n/a — 0 base)</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2.11M (+1.74M, +470%)</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1.03M (-0.02M, -2%)</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 (+0.13M, +14%)</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1.05M (+0.11M, +12%)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0.89M (+0.16M, +22%)</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0.91M (+0.34M, +59%)</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0.97M (+0.29M, +42%)</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DTC growth</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0.56M (-0.60M, -52%)</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1.12M (+0.50M, +81%)</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Substitution</w:t>
            </w:r>
          </w:p>
        </w:tc>
      </w:tr>
    </w:tbl>
    <w:p>
      <w:pPr>
        <w:spacing w:after="160"/>
      </w:pPr>
      <w:r>
        <w:t xml:space="preserve">6 of the 15 are 'Substitution' — several of the biggest core-pricing-fix franchises are simultaneously part of the channel-shift/net-demand-loss story from 1.1. The Spitz line (GTX PRO, OE, Down Hood, both genders) recurs repeatedly — worth checking whether the pricing problem and the Wholesale-decline problem are the same underlying issue rather than two separate findings.</w:t>
      </w:r>
    </w:p>
    <w:p>
      <w:pPr>
        <w:spacing w:after="80" w:before="160"/>
      </w:pPr>
      <w:r>
        <w:rPr>
          <w:b/>
          <w:bCs/>
          <w:i/>
          <w:iCs/>
          <w:color w:val="444444"/>
          <w:sz w:val="21"/>
          <w:szCs w:val="21"/>
        </w:rPr>
        <w:t xml:space="preserve">Is the GM% change driven by DTC mix, or by each channel's own margin?</w:t>
      </w:r>
    </w:p>
    <w:p>
      <w:pPr>
        <w:spacing w:after="160"/>
      </w:pPr>
      <w:r>
        <w:t xml:space="preserve">Decomposed each franchise's blended GM% change into a mix effect (share of revenue shifting to the higher-margin DTC channel, channel rates held fixed) and a rate effect (each channel's own margin changing, at the new mix). Reliable for only 6 of the 15 — see the data-quality note below: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650"/>
        <w:gridCol w:w="1650"/>
        <w:gridCol w:w="16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Total Δ</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Mix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 Rate effect</w:t>
            </w:r>
          </w:p>
        </w:tc>
        <w:tc>
          <w:tcPr>
            <w:tcW w:type="dxa" w:w="1650"/>
            <w:shd w:fill="2F2F2F" w:val="clear"/>
            <w:tcMar>
              <w:top w:type="dxa" w:w="60"/>
              <w:left w:type="dxa" w:w="100"/>
              <w:bottom w:type="dxa" w:w="60"/>
              <w:right w:type="dxa" w:w="100"/>
            </w:tcMar>
            <w:vAlign w:val="center"/>
          </w:tcPr>
          <w:p>
            <w:pPr>
              <w:jc w:val="center"/>
            </w:pPr>
            <w:r>
              <w:rPr>
                <w:b/>
                <w:bCs/>
                <w:color w:val="FFFFFF"/>
                <w:sz w:val="18"/>
                <w:szCs w:val="18"/>
              </w:rPr>
              <w:t xml:space="preserve">DTC mix chg</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+3.4pt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15.4% → 29.8%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 → 21.4%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GTX Jacket (Women)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-20.7pt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+0.1pt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-20.8pt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50.7% → 51.1%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GTXLow (Men)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 → 22.1%</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-2.3pt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+0.9pt</w:t>
            </w:r>
          </w:p>
        </w:tc>
        <w:tc>
          <w:tcPr>
            <w:tcW w:type="dxa" w:w="1650"/>
            <w:tcMar>
              <w:top w:type="dxa" w:w="60"/>
              <w:left w:type="dxa" w:w="100"/>
              <w:bottom w:type="dxa" w:w="60"/>
              <w:right w:type="dxa" w:w="100"/>
            </w:tcMar>
            <w:vAlign w:val="center"/>
          </w:tcPr>
          <w:p>
            <w:pPr>
              <w:jc w:val="center"/>
            </w:pPr>
            <w:r>
              <w:rPr>
                <w:b w:val="false"/>
                <w:bCs w:val="false"/>
                <w:color w:val="000000"/>
                <w:sz w:val="18"/>
                <w:szCs w:val="18"/>
              </w:rPr>
              <w:t xml:space="preserve">45.8% → 33.6%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-1.3pt</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66.9% → 87.6%</w:t>
            </w:r>
          </w:p>
        </w:tc>
      </w:tr>
    </w:tbl>
    <w:p>
      <w:pPr>
        <w:pBdr>
          <w:left w:val="single" w:color="3C8A4C" w:sz="18"/>
        </w:pBdr>
        <w:shd w:fill="EAF3EA" w:val="clear"/>
        <w:spacing w:after="120" w:before="100"/>
        <w:ind w:left="150" w:right="100"/>
      </w:pPr>
      <w:r>
        <w:rPr>
          <w:b/>
          <w:bCs/>
          <w:color w:val="1F5C2E"/>
        </w:rPr>
        <w:t xml:space="preserve">DATA SHOWS: </w:t>
      </w:r>
      <w:r>
        <w:t xml:space="preserve">Mostly not mix. Only Front Proof Jacket (Men) and Spitz GTX PRO Jacket (Women) have their GM% change substantially explained by DTC-mix growth (+3.4pt and +6.8pt of their totals). For the rest, the change is a genuine within-channel rate effect. Most importantly: ROC Flash GTX Jacket (Women)'s -20.7pt collapse is almost entirely a rate effect (-20.8pt) — its DTC mix barely moved (50.7%→51.1%) while its Wholesale-channel GM% itself fell from 26.8% to -12.2%. That is a real, specific problem in that franchise's Wholesale economics, not a channel-mix artifact, and should be the priority item to check before the workshop.</w:t>
      </w:r>
    </w:p>
    <w:p>
      <w:pPr>
        <w:pBdr>
          <w:left w:val="single" w:color="B23A3A" w:sz="18"/>
        </w:pBdr>
        <w:shd w:fill="FBE7E7" w:val="clear"/>
        <w:spacing w:after="120" w:before="100"/>
        <w:ind w:left="150" w:right="100"/>
      </w:pPr>
      <w:r>
        <w:rPr>
          <w:b/>
          <w:bCs/>
          <w:color w:val="7A1F1F"/>
        </w:rPr>
        <w:t xml:space="preserve">METHODOLOGY FLAG: </w:t>
      </w:r>
      <w:r>
        <w:t xml:space="preserve">The other 9 of the 15 (ROC Flash GTX Jacket Men, Spitz GTX PRO Jacket Men, Vassi GTX Jacket Men, Spitz OE Jacket Men, Haglöfs Skuta ProofMid Men, Puffy Mimic Hood Men, Spitz OE Jacket Women, Vassi GTX Jacket Women, Vassi GTX Pro Bib Women) have a near-zero or negative Wholesale sales base in the YTD2026 cut (Jan-Jul) — too thin to compute a reliable Wholesale-channel GM% or mix ratio at all. This is not read as 'mix shifted to DTC' for these 9; it more likely reflects normal FW-season Wholesale shipping timing (consistent with the standing no-month-field data gap) rather than a genuine channel-mix change. Cannot be resolved without monthly data.</w:t>
      </w:r>
    </w:p>
    <w:p>
      <w:pPr>
        <w:spacing w:after="200"/>
      </w:pPr>
      <w:r>
        <w:rPr>
          <w:i/>
          <w:iCs/>
          <w:color w:val="555555"/>
          <w:sz w:val="18"/>
          <w:szCs w:val="18"/>
        </w:rPr>
        <w:t xml:space="preserve">Full 129-franchise list (Core Pricing Fix) and the 22-franchise outlet-migrated list are both in the backup workbook (bob_item3_portfolio_backup.xlsx, sheets 'PC - Core Pricing Fix' and 'PC - Outlet-Migrated').</w:t>
      </w:r>
    </w:p>
    <w:p>
      <w:pPr>
        <w:spacing w:after="80" w:before="160"/>
      </w:pPr>
      <w:r>
        <w:rPr>
          <w:b/>
          <w:bCs/>
          <w:i/>
          <w:iCs/>
          <w:color w:val="444444"/>
          <w:sz w:val="21"/>
          <w:szCs w:val="21"/>
        </w:rPr>
        <w:t xml:space="preserve">Is Problem Child also an FW27 range-planning issue?</w:t>
      </w:r>
    </w:p>
    <w:p>
      <w:pPr>
        <w:spacing w:after="160"/>
      </w:pPr>
      <w:r>
        <w:t xml:space="preserve">Every Problem Child franchise was checked against the CPO's Assortment Attribution Review (F27), cross-checked against the S27/S28 Spring/Summer files (same methodology as 1.3.4): 16 of 151 are confirmed continuing (F27 or a season-shift into S27/S28), 27 are a possible match under a different gender or garment type — ambiguous, needs a Product/Merchandising call — and 108 have no match anywhere. This 108 is part of the 1.4 cross-tier gap list.</w:t>
      </w:r>
    </w:p>
    <w:p>
      <w:pPr>
        <w:spacing w:after="160"/>
      </w:pPr>
      <w:r>
        <w:t xml:space="preserve">Top 10 of the 16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9.20M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3.84M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36.5%</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Down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Bib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40.0%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GTX PRO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Path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1.59M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36.9%</w:t>
            </w:r>
          </w:p>
        </w:tc>
      </w:tr>
    </w:tbl>
    <w:p>
      <w:pPr>
        <w:spacing w:after="160"/>
      </w:pPr>
      <w:r>
        <w:t xml:space="preserve">Top 10 of the 108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Spitz OE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3.44M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+454.8%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25.3%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3.43M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Puffy Mimic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3.04M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Spitz OE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+158.1%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28.8%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Riksgränsen Down 850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Down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Alpha Hood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Hybrid Touring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0.82M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+61.6%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11.9%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Duality AT1GTX Mid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37.7%</w:t>
            </w:r>
          </w:p>
        </w:tc>
      </w:tr>
    </w:tbl>
    <w:p>
      <w:pPr>
        <w:spacing w:after="200"/>
      </w:pPr>
      <w:r>
        <w:rPr>
          <w:i/>
          <w:iCs/>
          <w:color w:val="555555"/>
          <w:sz w:val="18"/>
          <w:szCs w:val="18"/>
        </w:rPr>
        <w:t xml:space="preserve">Full 151-franchise list (all four statuses) is in the backup workbook (bob_item3_portfolio_backup.xlsx, sheet 'Problem Child - FW27 Check'). The 27 'possible match' franchises are in the separate review file (FW27_Possible_Match_Review.xlsx, filtered to Tier = Problem Child).</w:t>
      </w:r>
    </w:p>
    <w:p>
      <w:pPr>
        <w:pStyle w:val="Heading3"/>
        <w:spacing w:after="100" w:before="200"/>
      </w:pPr>
      <w:r>
        <w:t xml:space="preserve">1.3.3 Workhorse</w:t>
      </w:r>
    </w:p>
    <w:p>
      <w:pPr>
        <w:spacing w:after="160"/>
      </w:pPr>
      <w:r>
        <w:t xml:space="preserve">Workhorse (202 franchises, 197.3M SEK, the single largest tier by revenue) is structurally healthy (margin and growth both clear the bar). The addressable opportunity here is not fixing a problem — it's closing a gap: 90 franchises (31.0M SEK) sell in only one of Wholesale/DTC.</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800"/>
        <w:gridCol w:w="1400"/>
        <w:gridCol w:w="36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8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600"/>
            <w:shd w:fill="2F2F2F" w:val="clear"/>
            <w:tcMar>
              <w:top w:type="dxa" w:w="60"/>
              <w:left w:type="dxa" w:w="100"/>
              <w:bottom w:type="dxa" w:w="60"/>
              <w:right w:type="dxa" w:w="100"/>
            </w:tcMar>
            <w:vAlign w:val="center"/>
          </w:tcPr>
          <w:p>
            <w:pPr>
              <w:jc w:val="center"/>
            </w:pPr>
            <w:r>
              <w:rPr>
                <w:b/>
                <w:bCs/>
                <w:color w:val="FFFFFF"/>
                <w:sz w:val="18"/>
                <w:szCs w:val="18"/>
              </w:rPr>
              <w:t xml:space="preserve">Detail</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Single-channel (missing WS or DTC entirely)</w:t>
            </w:r>
          </w:p>
        </w:tc>
        <w:tc>
          <w:tcPr>
            <w:tcW w:type="dxa" w:w="80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31.0M</w:t>
            </w:r>
          </w:p>
        </w:tc>
        <w:tc>
          <w:tcPr>
            <w:tcW w:type="dxa" w:w="3600"/>
            <w:tcMar>
              <w:top w:type="dxa" w:w="60"/>
              <w:left w:type="dxa" w:w="100"/>
              <w:bottom w:type="dxa" w:w="60"/>
              <w:right w:type="dxa" w:w="100"/>
            </w:tcMar>
            <w:vAlign w:val="center"/>
          </w:tcPr>
          <w:p>
            <w:pPr>
              <w:jc w:val="center"/>
            </w:pPr>
            <w:r>
              <w:rPr>
                <w:b w:val="false"/>
                <w:bCs w:val="false"/>
                <w:color w:val="000000"/>
                <w:sz w:val="18"/>
                <w:szCs w:val="18"/>
              </w:rPr>
              <w:t xml:space="preserve">52 DTC-only (missing Wholesale) / 38 Wholesale-only (missing DTC)</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Clean scale-up shortlist (unblocked, addressable)</w:t>
            </w:r>
          </w:p>
        </w:tc>
        <w:tc>
          <w:tcPr>
            <w:tcW w:type="dxa" w:w="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21.9M</w:t>
            </w:r>
          </w:p>
        </w:tc>
        <w:tc>
          <w:tcPr>
            <w:tcW w:type="dxa" w:w="3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1.85M SEK combined gap to a real second-channel presence (Wholesale &gt;100K SEK / DTC &gt;50K SEK)</w:t>
            </w:r>
          </w:p>
        </w:tc>
      </w:tr>
    </w:tbl>
    <w:p>
      <w:pPr>
        <w:pBdr>
          <w:left w:val="single" w:color="9C4DCC" w:sz="18"/>
        </w:pBdr>
        <w:shd w:fill="F0E6F6" w:val="clear"/>
        <w:spacing w:after="120" w:before="100"/>
        <w:ind w:left="150" w:right="100"/>
      </w:pPr>
      <w:r>
        <w:rPr>
          <w:b/>
          <w:bCs/>
          <w:color w:val="6A1B9A"/>
        </w:rPr>
        <w:t xml:space="preserve">CORRECTED FROM DRAFT: </w:t>
      </w:r>
      <w:r>
        <w:t xml:space="preserve">This section previously stated a 31-franchise / 22.5M SEK / 39.5M-SEK-headroom shortlist, itself flagged at the time as a correction of an original 57-franchise / 21.9M SEK / 1.85M SEK draft. That '31' figure was traced back and found to be wrong: it came from a mismatched file (workhorse_scaleup_shortlist_final.xlsx) describing a different population entirely — 31 cross-channel franchises under 2M SEK scale, not single-channel Workhorse franchises. It has zero overlap with the true 90-franchise single-channel population. The correct, verified shortlist is the original 57 franchises / 21.9M SEK / 1.85M SEK gap, confirmed against the backup workbook's 'Workhorse - Scaleup Shortlist' sheet: the 90 single-channel franchises narrow to 69 on a Near_miss=False flag, then to 57 after excluding 12 sub-100K-SEK trinket items (laces, a facemask, a headband) too small to be a real lever story. The remaining 33 single-channel franchises (90 − 57) are near-miss or structurally single-channel and are not part of this shortlist.</w:t>
      </w:r>
    </w:p>
    <w:p>
      <w:pPr>
        <w:spacing w:after="160"/>
      </w:pPr>
      <w:r>
        <w:t xml:space="preserve">Unlike the old, discarded cut, this gap is measured against each franchise's missing-channel presence threshold (Wholesale &gt;100K SEK / DTC &gt;50K SEK — the same bar used for Hero/Near-Hero's cross-channel test in 1.2), not against the 2M-SEK Near-Hero scale bar. How close each of the 57 already is to a real second-channel presence: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1400"/>
        <w:gridCol w:w="1900"/>
        <w:gridCol w:w="2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How close to qualifying</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2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&gt;=75%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8.77M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Nearly there — smallest incremental push needed</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50-75% of threshold already</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3.60M</w:t>
            </w:r>
          </w:p>
        </w:tc>
        <w:tc>
          <w:tcPr>
            <w:tcW w:type="dxa" w:w="2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Meaningful but real gap remaining</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&lt;50% of threshold already</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9.54M</w:t>
            </w:r>
          </w:p>
        </w:tc>
        <w:tc>
          <w:tcPr>
            <w:tcW w:type="dxa" w:w="2500"/>
            <w:tcMar>
              <w:top w:type="dxa" w:w="60"/>
              <w:left w:type="dxa" w:w="100"/>
              <w:bottom w:type="dxa" w:w="60"/>
              <w:right w:type="dxa" w:w="100"/>
            </w:tcMar>
            <w:vAlign w:val="center"/>
          </w:tcPr>
          <w:p>
            <w:pPr>
              <w:jc w:val="center"/>
            </w:pPr>
            <w:r>
              <w:rPr>
                <w:b w:val="false"/>
                <w:bCs w:val="false"/>
                <w:color w:val="000000"/>
                <w:sz w:val="18"/>
                <w:szCs w:val="18"/>
              </w:rPr>
              <w:t xml:space="preserve">Furthest from a qualifying second-channel presence</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Lever needed (shortlist of 57)</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Wholesale distribution (currently DTC-only, needs accounts/listings)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39</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DTC content/marketing (currently WS-only, needs DTC visibility)</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r>
    </w:tbl>
    <w:p>
      <w:pPr>
        <w:spacing w:after="160"/>
      </w:pPr>
      <w:r>
        <w:t xml:space="preserve">This is a concrete, low-ambiguity list: 57 named franchises, each tagged with the specific channel lever it needs — a clean split, no 'both channels' overlap in this corrected cut. Full detail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39 franchises needing Wholesale distribution — is the gap a listing/account problem (Sales can act on this directly) or a genuine lack of Wholesale buyer interest in the product (a product/positioning problem)? Owner: Wholesale Director.</w:t>
      </w:r>
    </w:p>
    <w:p>
      <w:pPr>
        <w:spacing w:after="80" w:before="160"/>
      </w:pPr>
      <w:r>
        <w:rPr>
          <w:b/>
          <w:bCs/>
          <w:i/>
          <w:iCs/>
          <w:color w:val="444444"/>
          <w:sz w:val="21"/>
          <w:szCs w:val="21"/>
        </w:rPr>
        <w:t xml:space="preserve">Channel-mix patterns across the full 202-franchise tier</w:t>
      </w:r>
    </w:p>
    <w:p>
      <w:pPr>
        <w:spacing w:after="160"/>
      </w:pPr>
      <w:r>
        <w:t xml:space="preserve">Beyond the single-channel gap, every Workhorse franchise was classified into the same four channel-mix patterns used in 1.1 (based on the direction of FY24→FY25 change in each channel), to see whether Workhorse's overall channel story is healthy growth or the same Wholesale-to-DTC substitution question raised elsewhere in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900"/>
        <w:gridCol w:w="1400"/>
        <w:gridCol w:w="35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Pattern</w:t>
            </w:r>
          </w:p>
        </w:tc>
        <w:tc>
          <w:tcPr>
            <w:tcW w:type="dxa" w:w="900"/>
            <w:shd w:fill="2F2F2F" w:val="clear"/>
            <w:tcMar>
              <w:top w:type="dxa" w:w="60"/>
              <w:left w:type="dxa" w:w="100"/>
              <w:bottom w:type="dxa" w:w="60"/>
              <w:right w:type="dxa" w:w="100"/>
            </w:tcMar>
            <w:vAlign w:val="center"/>
          </w:tcPr>
          <w:p>
            <w:pPr>
              <w:jc w:val="center"/>
            </w:pPr>
            <w:r>
              <w:rPr>
                <w:b/>
                <w:bCs/>
                <w:color w:val="FFFFFF"/>
                <w:sz w:val="18"/>
                <w:szCs w:val="18"/>
              </w:rPr>
              <w:t xml:space="preserve">N of 202</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5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Substitution (WS down, DTC up)</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95</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81.8M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Nearly half the tier — the distribution-recovery-vs-durable-shift question from 1.1 applies here at scale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Both 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34.8M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Needs a product/pricing diagnostic regardless of channel position</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DTC growth, WS not declining</w:t>
            </w:r>
          </w:p>
        </w:tc>
        <w:tc>
          <w:tcPr>
            <w:tcW w:type="dxa" w:w="900"/>
            <w:tcMar>
              <w:top w:type="dxa" w:w="60"/>
              <w:left w:type="dxa" w:w="100"/>
              <w:bottom w:type="dxa" w:w="60"/>
              <w:right w:type="dxa" w:w="100"/>
            </w:tcMar>
            <w:vAlign w:val="center"/>
          </w:tcPr>
          <w:p>
            <w:pPr>
              <w:jc w:val="center"/>
            </w:pPr>
            <w:r>
              <w:rPr>
                <w:b w:val="false"/>
                <w:bCs w:val="false"/>
                <w:color w:val="000000"/>
                <w:sz w:val="18"/>
                <w:szCs w:val="18"/>
              </w:rPr>
              <w:t xml:space="preserve">58</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67.8M</w:t>
            </w:r>
          </w:p>
        </w:tc>
        <w:tc>
          <w:tcPr>
            <w:tcW w:type="dxa" w:w="3500"/>
            <w:tcMar>
              <w:top w:type="dxa" w:w="60"/>
              <w:left w:type="dxa" w:w="100"/>
              <w:bottom w:type="dxa" w:w="60"/>
              <w:right w:type="dxa" w:w="100"/>
            </w:tcMar>
            <w:vAlign w:val="center"/>
          </w:tcPr>
          <w:p>
            <w:pPr>
              <w:jc w:val="center"/>
            </w:pPr>
            <w:r>
              <w:rPr>
                <w:b w:val="false"/>
                <w:bCs w:val="false"/>
                <w:color w:val="000000"/>
                <w:sz w:val="18"/>
                <w:szCs w:val="18"/>
              </w:rPr>
              <w:t xml:space="preserve">The healthy pattern — genuine incremental growth</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WS growing, DTC flat/declining</w:t>
            </w:r>
          </w:p>
        </w:tc>
        <w:tc>
          <w:tcPr>
            <w:tcW w:type="dxa" w:w="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3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Wholesale-led growth, small DTC give-back</w:t>
            </w:r>
          </w:p>
        </w:tc>
      </w:tr>
    </w:tbl>
    <w:p>
      <w:pPr>
        <w:spacing w:after="160"/>
      </w:pPr>
      <w:r>
        <w:t xml:space="preserve">Plotting all 202 franchises by Wholesale share of 2025 sales (x) against total 2025 sales on a log scale (y), colored by pattern, makes the shape of this concentration visible in one view — scale and current channel mix on the axes, the underlying diagnosis in the color:</w:t>
      </w:r>
    </w:p>
    <w:p>
      <w:pPr>
        <w:spacing w:after="80" w:before="120"/>
        <w:jc w:val="center"/>
      </w:pPr>
      <w:r>
        <w:drawing>
          <wp:inline distT="0" distB="0" distL="0" distR="0">
            <wp:extent cx="5657850" cy="593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657850" cy="5934075"/>
                    </a:xfrm>
                    <a:prstGeom prst="rect">
                      <a:avLst/>
                    </a:prstGeom>
                  </pic:spPr>
                </pic:pic>
              </a:graphicData>
            </a:graphic>
          </wp:inline>
        </w:drawing>
      </w:r>
    </w:p>
    <w:p>
      <w:pPr>
        <w:spacing w:after="200"/>
      </w:pPr>
      <w:r>
        <w:rPr>
          <w:i/>
          <w:iCs/>
          <w:color w:val="555555"/>
          <w:sz w:val="18"/>
          <w:szCs w:val="18"/>
        </w:rPr>
        <w:t xml:space="preserve">Dashed lines split at WS%=50% and Sales=2M SEK. Substitution (blue circles) is spread across the whole sales range and both sides of the WS% split — this is not a small-franchise or single-quadrant problem. Named labels are the largest franchise in each pattern.</w:t>
      </w:r>
    </w:p>
    <w:p>
      <w:pPr>
        <w:spacing w:after="160"/>
      </w:pPr>
      <w:r>
        <w:rPr>
          <w:i/>
          <w:iCs/>
        </w:rPr>
        <w:t xml:space="preserve">Top 10 by 2025 sales within each pattern, excluding small/irrelevant items (laces etc.), with the FY24→25 point-change in WS%/DTC% share alongside the levels:</w:t>
      </w:r>
    </w:p>
    <w:p>
      <w:pPr>
        <w:spacing w:after="80" w:before="160"/>
      </w:pPr>
      <w:r>
        <w:rPr>
          <w:b/>
          <w:bCs/>
          <w:i/>
          <w:iCs/>
          <w:color w:val="444444"/>
          <w:sz w:val="21"/>
          <w:szCs w:val="21"/>
        </w:rPr>
        <w:t xml:space="preserve">A. Substitution (95 franchises, 81.8M SEK)</w:t>
      </w:r>
    </w:p>
    <w:p>
      <w:pPr>
        <w:spacing w:after="160"/>
      </w:pPr>
      <w:r>
        <w:t xml:space="preserve">Action: the same distribution-recovery-vs-durable-shift question from 1.1, applied to named Workhorse franchises — is WS share loss a listing/sell-through problem (Sales can act) or a genuine channel preference (a DTC investment case instead)?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84.1%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3.31M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3.09M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46.0%</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2.91M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2.50M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86.4%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13.6%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L.I.M Mimic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2.24M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57.2%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42.8%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Aria Proof Parka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82.0%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48.1%</w:t>
            </w:r>
          </w:p>
        </w:tc>
      </w:tr>
    </w:tbl>
    <w:p>
      <w:pPr>
        <w:spacing w:after="80" w:before="160"/>
      </w:pPr>
      <w:r>
        <w:rPr>
          <w:b/>
          <w:bCs/>
          <w:i/>
          <w:iCs/>
          <w:color w:val="444444"/>
          <w:sz w:val="21"/>
          <w:szCs w:val="21"/>
        </w:rPr>
        <w:t xml:space="preserve">B. Both declining (19 franchises, 34.8M SEK)</w:t>
      </w:r>
    </w:p>
    <w:p>
      <w:pPr>
        <w:spacing w:after="160"/>
      </w:pPr>
      <w:r>
        <w:t xml:space="preserve">Action: a product/pricing diagnostic, not a channel-mix fix — losing share in both channels at once points at the product or its price, not distribution.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98.4%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Morän Softshell Standard Pant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49.3%</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Tight Small (Unisex)</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Fjatla 40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Bags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1.43M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99.9%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Ridge Hike Tee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Tops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bl>
    <w:p>
      <w:pPr>
        <w:spacing w:after="80" w:before="160"/>
      </w:pPr>
      <w:r>
        <w:rPr>
          <w:b/>
          <w:bCs/>
          <w:i/>
          <w:iCs/>
          <w:color w:val="444444"/>
          <w:sz w:val="21"/>
          <w:szCs w:val="21"/>
        </w:rPr>
        <w:t xml:space="preserve">C. DTC growth, WS not declining (58 franchises, 67.8M SEK)</w:t>
      </w:r>
    </w:p>
    <w:p>
      <w:pPr>
        <w:spacing w:after="160"/>
      </w:pPr>
      <w:r>
        <w:t xml:space="preserve">Action: the healthy pattern — leave alone or reinforce with continued DTC investment; not a priority for the workshop's problem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88.5%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11.5%</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-11.2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69.0%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73.1%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46.1%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71.6%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69.7%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30.3%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+14.9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Krusa GTX Low (Women)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86.7%</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+11.3</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44.3%</w:t>
            </w:r>
          </w:p>
        </w:tc>
      </w:tr>
    </w:tbl>
    <w:p>
      <w:pPr>
        <w:spacing w:after="80" w:before="160"/>
      </w:pPr>
      <w:r>
        <w:rPr>
          <w:b/>
          <w:bCs/>
          <w:i/>
          <w:iCs/>
          <w:color w:val="444444"/>
          <w:sz w:val="21"/>
          <w:szCs w:val="21"/>
        </w:rPr>
        <w:t xml:space="preserve">D. WS growing, DTC flat/declining (27 franchises, 12.8M SEK)</w:t>
      </w:r>
    </w:p>
    <w:p>
      <w:pPr>
        <w:spacing w:after="160"/>
      </w:pPr>
      <w:r>
        <w:t xml:space="preserve">Action: also healthy — Wholesale-led growth with a small DTC give-back; leave alone unless the DTC decline accelerates.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050"/>
        <w:gridCol w:w="850"/>
        <w:gridCol w:w="850"/>
        <w:gridCol w:w="850"/>
        <w:gridCol w:w="850"/>
        <w:gridCol w:w="85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WS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DTC Δpt</w:t>
            </w:r>
          </w:p>
        </w:tc>
        <w:tc>
          <w:tcPr>
            <w:tcW w:type="dxa" w:w="850"/>
            <w:shd w:fill="2F2F2F" w:val="clear"/>
            <w:tcMar>
              <w:top w:type="dxa" w:w="60"/>
              <w:left w:type="dxa" w:w="100"/>
              <w:bottom w:type="dxa" w:w="60"/>
              <w:right w:type="dxa" w:w="100"/>
            </w:tcMar>
            <w:vAlign w:val="center"/>
          </w:tcPr>
          <w:p>
            <w:pPr>
              <w:jc w:val="center"/>
            </w:pPr>
            <w:r>
              <w:rPr>
                <w:b/>
                <w:bCs/>
                <w:color w:val="FFFFFF"/>
                <w:sz w:val="18"/>
                <w:szCs w:val="18"/>
              </w:rPr>
              <w:t xml:space="preserve">GM%</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Vassi Mid Hood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51.3%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Backup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1.28M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95.2%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46.5%</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83.6%</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16.4%</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-9.1</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Chill Down Parka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0.91M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74.7%</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25.3%</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-53.9</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40.5%</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Jarve Multi 22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0.85M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86.0%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14.0%</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Husk Insulated Jacket (Men)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0.76M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Beanie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Accessories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0.50M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74.1%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55.6%</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Mila Jacket (Women)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050"/>
            <w:tcMar>
              <w:top w:type="dxa" w:w="60"/>
              <w:left w:type="dxa" w:w="100"/>
              <w:bottom w:type="dxa" w:w="60"/>
              <w:right w:type="dxa" w:w="100"/>
            </w:tcMar>
            <w:vAlign w:val="center"/>
          </w:tcPr>
          <w:p>
            <w:pPr>
              <w:jc w:val="center"/>
            </w:pPr>
            <w:r>
              <w:rPr>
                <w:b w:val="false"/>
                <w:bCs w:val="false"/>
                <w:color w:val="000000"/>
                <w:sz w:val="18"/>
                <w:szCs w:val="18"/>
              </w:rPr>
              <w:t xml:space="preserve">0.49M</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100.0%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850"/>
            <w:tcMar>
              <w:top w:type="dxa" w:w="60"/>
              <w:left w:type="dxa" w:w="100"/>
              <w:bottom w:type="dxa" w:w="60"/>
              <w:right w:type="dxa" w:w="100"/>
            </w:tcMar>
            <w:vAlign w:val="center"/>
          </w:tcPr>
          <w:p>
            <w:pPr>
              <w:jc w:val="center"/>
            </w:pPr>
            <w:r>
              <w:rPr>
                <w:b w:val="false"/>
                <w:bCs w:val="false"/>
                <w:color w:val="000000"/>
                <w:sz w:val="18"/>
                <w:szCs w:val="18"/>
              </w:rPr>
              <w:t xml:space="preserve">43.9%</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Moonlite +7 (Unisex)</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0.47M</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40.0%</w:t>
            </w:r>
          </w:p>
        </w:tc>
      </w:tr>
    </w:tbl>
    <w:p>
      <w:pPr>
        <w:pBdr>
          <w:left w:val="single" w:color="B23A3A" w:sz="18"/>
        </w:pBdr>
        <w:shd w:fill="FBE7E7" w:val="clear"/>
        <w:spacing w:after="120" w:before="100"/>
        <w:ind w:left="150" w:right="100"/>
      </w:pPr>
      <w:r>
        <w:rPr>
          <w:b/>
          <w:bCs/>
          <w:color w:val="7A1F1F"/>
        </w:rPr>
        <w:t xml:space="preserve">METHODOLOGY FLAG: </w:t>
      </w:r>
      <w:r>
        <w:t xml:space="preserve">Two flagged franchises above (marked *) show a WS Δpt beyond ±100 points, which is mathematically impossible for a genuine share-of-sales change — Haglöfs Ridge GTX Low (Women, Substitution) and Haglöfs Ridge GTX Low (Men, Both declining). This traces to a known data-quality issue: for roughly 18% of Workhorse franchises, the underlying WS_2024/DTC_2024 channel-split columns do not sum to the franchise's own Sales_2024 total, most plausibly a Preorder-booking-timing effect (consistent with the standing no-month-field data gap noted elsewhere in this brief). The Pattern classification itself is unaffected (it uses absolute SEK deltas, not this ratio), but any point-change-in-share figure should be treated as directional, not precise, for affected rows. Full 202-franchise detail, including which rows are flagged, is in the backup workbook.</w:t>
      </w:r>
    </w:p>
    <w:p>
      <w:pPr>
        <w:spacing w:after="200"/>
      </w:pPr>
      <w:r>
        <w:rPr>
          <w:i/>
          <w:iCs/>
          <w:color w:val="555555"/>
          <w:sz w:val="18"/>
          <w:szCs w:val="18"/>
        </w:rPr>
        <w:t xml:space="preserve">Full 202-franchise list (all four patterns, WS%/DTC% levels and point-changes) is in the backup workbook (bob_item3_portfolio_backup.xlsx, sheet 'Workhorse - Channel Mix (202)').</w:t>
      </w:r>
    </w:p>
    <w:p>
      <w:pPr>
        <w:spacing w:after="80" w:before="160"/>
      </w:pPr>
      <w:r>
        <w:rPr>
          <w:b/>
          <w:bCs/>
          <w:i/>
          <w:iCs/>
          <w:color w:val="444444"/>
          <w:sz w:val="21"/>
          <w:szCs w:val="21"/>
        </w:rPr>
        <w:t xml:space="preserve">Is Workhorse also an FW27 range-planning issue?</w:t>
      </w:r>
    </w:p>
    <w:p>
      <w:pPr>
        <w:spacing w:after="160"/>
      </w:pPr>
      <w:r>
        <w:t xml:space="preserve">Same check as 1.3.2/1.3.4, applied to all 202 Workhorse franchises: 68 are confirmed continuing (F27 or a season-shift into S27/S28), 19 are a possible match under a different gender or garment type — ambiguous, needs a Product/Merchandising call — and 115 have no match anywhere. Unlike Harvest, Workhorse is a healthy, growing tier — so this 115 (102 of them still growing) is the highest-urgency slice of the 1.4 cross-tier gap list: working, growing product with apparently no FW27 plan.</w:t>
      </w:r>
    </w:p>
    <w:p>
      <w:pPr>
        <w:spacing w:after="160"/>
      </w:pPr>
      <w:r>
        <w:t xml:space="preserve">Top 10 of the 68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16.40M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+19.8%</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7.57M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Hiking shoes</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6.75M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ROC Flash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5.58M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Daypacks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Rosson Down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4.74M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45.2%</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Latnja GTX Insulated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4.70M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41.8%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Vassi GTX Pro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41.3%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Vassi GTX Pro Bib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bl>
    <w:p>
      <w:pPr>
        <w:spacing w:after="160"/>
      </w:pPr>
      <w:r>
        <w:t xml:space="preserve">Top 10 of the 115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Astral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3.56M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+45.0%</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46.6%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Husk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2.71M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43.6%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Skuta ProofMid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Trekking shoes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Kaise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2.46M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+105.1%</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45.9%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Kaise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+138.9%</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45.8%</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Mossa Pile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1.60M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Husk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45.0%</w:t>
            </w:r>
          </w:p>
        </w:tc>
      </w:tr>
    </w:tbl>
    <w:p>
      <w:pPr>
        <w:spacing w:after="200"/>
      </w:pPr>
      <w:r>
        <w:rPr>
          <w:i/>
          <w:iCs/>
          <w:color w:val="555555"/>
          <w:sz w:val="18"/>
          <w:szCs w:val="18"/>
        </w:rPr>
        <w:t xml:space="preserve">Full 202-franchise list (all four statuses) is in the backup workbook (bob_item3_portfolio_backup.xlsx, sheet 'Workhorse - FW27 Check'). The 19 'possible match' franchises are in the separate review file (FW27_Possible_Match_Review.xlsx, filtered to Tier = Workhorse). This FW27 view is independent of the single/dual-channel scale-up analysis and channel-mix patterns above — a franchise can be both a confirmed FW27 style and a Substitution-pattern single-channel franchise at the same time.</w:t>
      </w:r>
    </w:p>
    <w:p>
      <w:pPr>
        <w:pStyle w:val="Heading3"/>
        <w:spacing w:after="100" w:before="200"/>
      </w:pPr>
      <w:r>
        <w:t xml:space="preserve">1.3.4 Harvest</w:t>
      </w:r>
    </w:p>
    <w:p>
      <w:pPr>
        <w:spacing w:after="160"/>
      </w:pPr>
      <w:r>
        <w:t xml:space="preserve">Harvest (236 franchises) lost more revenue year-over-year than any other tier — 216.2M SEK in 2024 to 120.2M in 2025, a -96.0M SEK swing — while still running a healthy 50.6% margin. This is a volume/relevance problem on otherwise-profitable product, and 203 of these franchises (75.1M SEK) have no confirmed FW27 continuation.</w:t>
      </w:r>
    </w:p>
    <w:p>
      <w:pPr>
        <w:pBdr>
          <w:left w:val="single" w:color="9C4DCC" w:sz="18"/>
        </w:pBdr>
        <w:shd w:fill="F0E6F6" w:val="clear"/>
        <w:spacing w:after="120" w:before="100"/>
        <w:ind w:left="150" w:right="100"/>
      </w:pPr>
      <w:r>
        <w:rPr>
          <w:b/>
          <w:bCs/>
          <w:color w:val="6A1B9A"/>
        </w:rPr>
        <w:t xml:space="preserve">CORRECTED FROM DRAFT: </w:t>
      </w:r>
      <w:r>
        <w:t xml:space="preserve">The prior draft's FW27 check for this entire brief (all tiers, not just Harvest) used a matching rule that was far looser than it looked: it checked whether a franchise's first significant word (e.g. 'Buteo' from 'Buteo Pant') appeared anywhere in any F27 style name, with no gender check and no product-type check. That rule counted 'Buteo Pant (Men)' as 'confirmed continuing' because 'Buteo Mid II Jacket' exists in F27 — a different garment entirely; the actual Pant does not continue. Re-run with a strict rule (same gender AND same garment type required, using the CPO's Assortment Attribution Review as the primary FW27 source, cross-checked against the newly-supplied S27/S28 files for season-shifted product) against Harvest specifically: only 33 of the 236 franchises previously counted toward the 142 'confirmed continuing' figure hold up — 118 were false positives. The same bug was present in every tier's FW27 check in this brief (Hero/Near-Hero, New/Test, Problem Child, Workhorse) and has been corrected throughout Sections 1.3-1.6.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700"/>
        <w:gridCol w:w="1400"/>
        <w:gridCol w:w="37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37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Confirmed continuing (F27, or S27/S28 season-shift)</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33</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Genuinely planned to continue despite the decline</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Possible match — needs Product/Merchandising review</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28.2M</w:t>
            </w:r>
          </w:p>
        </w:tc>
        <w:tc>
          <w:tcPr>
            <w:tcW w:type="dxa" w:w="3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product line exists in F27/S27/S28 under a different gender or garment type; ambiguous, not a confirmed rename</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Not found in F27, S27, or S28</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46.8M</w:t>
            </w:r>
          </w:p>
        </w:tc>
        <w:tc>
          <w:tcPr>
            <w:tcW w:type="dxa" w:w="3700"/>
            <w:tcMar>
              <w:top w:type="dxa" w:w="60"/>
              <w:left w:type="dxa" w:w="100"/>
              <w:bottom w:type="dxa" w:w="60"/>
              <w:right w:type="dxa" w:w="100"/>
            </w:tcMar>
            <w:vAlign w:val="center"/>
          </w:tcPr>
          <w:p>
            <w:pPr>
              <w:jc w:val="center"/>
            </w:pPr>
            <w:r>
              <w:rPr>
                <w:b w:val="false"/>
                <w:bCs w:val="false"/>
                <w:color w:val="000000"/>
                <w:sz w:val="18"/>
                <w:szCs w:val="18"/>
              </w:rPr>
              <w:t xml:space="preserve">Highest-value FW27 gap of any single tier — see Section 1.4</w:t>
            </w:r>
          </w:p>
        </w:tc>
      </w:tr>
    </w:tbl>
    <w:p>
      <w:pPr>
        <w:spacing w:after="160"/>
      </w:pPr>
      <w:r>
        <w:t xml:space="preserve">Top 10 of the 33 confirmed-continuing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8.81M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-35.9%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Mid Standard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-26.9%</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48.9%</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Standard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Long Mimic Parka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2.45M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48.0%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Slim Pant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-35.2%</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53.7%</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Mimic Alert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2.30M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52.8%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Salix Proof Mimic Parka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1.89M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-20.8%</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54.9%</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Rugged Slim Pant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1.77M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-36.7%</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58.4%</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Mimic Alert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55.9%</w:t>
            </w:r>
          </w:p>
        </w:tc>
      </w:tr>
    </w:tbl>
    <w:p>
      <w:pPr>
        <w:spacing w:after="160"/>
      </w:pPr>
      <w:r>
        <w:t xml:space="preserve">Top 10 of the 159 not-found-anywhere franchises, by 2025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900"/>
        <w:gridCol w:w="1600"/>
        <w:gridCol w:w="1350"/>
        <w:gridCol w:w="1250"/>
        <w:gridCol w:w="1250"/>
      </w:tblGrid>
      <w:tr>
        <w:trPr>
          <w:tblHeader/>
        </w:trPr>
        <w:tc>
          <w:tcPr>
            <w:tcW w:type="dxa" w:w="29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Growth %</w:t>
            </w:r>
          </w:p>
        </w:tc>
        <w:tc>
          <w:tcPr>
            <w:tcW w:type="dxa" w:w="1250"/>
            <w:shd w:fill="2F2F2F" w:val="clear"/>
            <w:tcMar>
              <w:top w:type="dxa" w:w="60"/>
              <w:left w:type="dxa" w:w="100"/>
              <w:bottom w:type="dxa" w:w="60"/>
              <w:right w:type="dxa" w:w="100"/>
            </w:tcMar>
            <w:vAlign w:val="center"/>
          </w:tcPr>
          <w:p>
            <w:pPr>
              <w:jc w:val="center"/>
            </w:pPr>
            <w:r>
              <w:rPr>
                <w:b/>
                <w:bCs/>
                <w:color w:val="FFFFFF"/>
                <w:sz w:val="18"/>
                <w:szCs w:val="18"/>
              </w:rPr>
              <w:t xml:space="preserve">GM% 2025</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Risberg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2.68M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-24.6%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54.3%</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Hiking packs</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2.14M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52.2%</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Malung Pile Hood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1.20M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-37.4%</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44.1%</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Koyal Proof Jacket (Men)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-53.5%</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Chaos GTX Pant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-26.2%</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51.0%</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Risberg Jacket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-43.1%</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53.0%</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Koyal Proof Jacket (Women)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1.00M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-49.3%</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47.6%</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Malung Pile Hood (Women)</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0.95M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-31.6%</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49.4%</w:t>
            </w:r>
          </w:p>
        </w:tc>
      </w:tr>
      <w:tr>
        <w:tc>
          <w:tcPr>
            <w:tcW w:type="dxa" w:w="2900"/>
            <w:tcMar>
              <w:top w:type="dxa" w:w="60"/>
              <w:left w:type="dxa" w:w="100"/>
              <w:bottom w:type="dxa" w:w="60"/>
              <w:right w:type="dxa" w:w="100"/>
            </w:tcMar>
            <w:vAlign w:val="center"/>
          </w:tcPr>
          <w:p>
            <w:pPr>
              <w:jc w:val="left"/>
            </w:pPr>
            <w:r>
              <w:rPr>
                <w:b w:val="false"/>
                <w:bCs w:val="false"/>
                <w:color w:val="000000"/>
                <w:sz w:val="18"/>
                <w:szCs w:val="18"/>
              </w:rPr>
              <w:t xml:space="preserve">Finch Proof Jacket (Men)</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0.92M</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-18.6%</w:t>
            </w:r>
          </w:p>
        </w:tc>
        <w:tc>
          <w:tcPr>
            <w:tcW w:type="dxa" w:w="125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2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Mila Jacket (Unisex)</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0.86M</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-21.7%</w:t>
            </w:r>
          </w:p>
        </w:tc>
        <w:tc>
          <w:tcPr>
            <w:tcW w:type="dxa" w:w="1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45.3%</w:t>
            </w:r>
          </w:p>
        </w:tc>
      </w:tr>
    </w:tbl>
    <w:p>
      <w:pPr>
        <w:spacing w:after="200"/>
      </w:pPr>
      <w:r>
        <w:rPr>
          <w:i/>
          <w:iCs/>
          <w:color w:val="555555"/>
          <w:sz w:val="18"/>
          <w:szCs w:val="18"/>
        </w:rPr>
        <w:t xml:space="preserve">Full 236-franchise list (all four statuses: Core FW27, SS27/28 confirmed, SS27/28 possible, Not found) is in the backup workbook (bob_item3_portfolio_backup.xlsx, sheet 'Harvest - FW27 Check'). The 44 'possible match' franchises needing a Product/Merchandising call are in the separate review file (FW27_Possible_Match_Review.xlsx, filtered to Tier = Harvest).</w:t>
      </w:r>
    </w:p>
    <w:p>
      <w:pPr>
        <w:pStyle w:val="Heading3"/>
        <w:spacing w:after="100" w:before="200"/>
      </w:pPr>
      <w:r>
        <w:t xml:space="preserve">1.3.5 New/Test</w:t>
      </w:r>
    </w:p>
    <w:p>
      <w:pPr>
        <w:spacing w:after="16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900"/>
        <w:gridCol w:w="1400"/>
        <w:gridCol w:w="3050"/>
      </w:tblGrid>
      <w:tr>
        <w:trPr>
          <w:tblHeader/>
        </w:trPr>
        <w:tc>
          <w:tcPr>
            <w:tcW w:type="dxa" w:w="49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30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Clean — no flags</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91.9M</w:t>
            </w:r>
          </w:p>
        </w:tc>
      </w:tr>
      <w:tr>
        <w:tc>
          <w:tcPr>
            <w:tcW w:type="dxa" w:w="4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1 flag</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c>
          <w:tcPr>
            <w:tcW w:type="dxa" w:w="3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n/a — mixed</w:t>
            </w:r>
          </w:p>
        </w:tc>
      </w:tr>
      <w:tr>
        <w:tc>
          <w:tcPr>
            <w:tcW w:type="dxa" w:w="4900"/>
            <w:tcMar>
              <w:top w:type="dxa" w:w="60"/>
              <w:left w:type="dxa" w:w="100"/>
              <w:bottom w:type="dxa" w:w="60"/>
              <w:right w:type="dxa" w:w="100"/>
            </w:tcMar>
            <w:vAlign w:val="center"/>
          </w:tcPr>
          <w:p>
            <w:pPr>
              <w:jc w:val="left"/>
            </w:pPr>
            <w:r>
              <w:rPr>
                <w:b w:val="false"/>
                <w:bCs w:val="false"/>
                <w:color w:val="000000"/>
                <w:sz w:val="18"/>
                <w:szCs w:val="18"/>
              </w:rPr>
              <w:t xml:space="preserve">2+ flags (priority watchlist)</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3050"/>
            <w:tcMar>
              <w:top w:type="dxa" w:w="60"/>
              <w:left w:type="dxa" w:w="100"/>
              <w:bottom w:type="dxa" w:w="60"/>
              <w:right w:type="dxa" w:w="100"/>
            </w:tcMar>
            <w:vAlign w:val="center"/>
          </w:tcPr>
          <w:p>
            <w:pPr>
              <w:jc w:val="center"/>
            </w:pPr>
            <w:r>
              <w:rPr>
                <w:b w:val="false"/>
                <w:bCs w:val="false"/>
                <w:color w:val="000000"/>
                <w:sz w:val="18"/>
                <w:szCs w:val="18"/>
              </w:rPr>
              <w:t xml:space="preserve">3.9M</w:t>
            </w:r>
          </w:p>
        </w:tc>
      </w:tr>
    </w:tbl>
    <w:p>
      <w:pPr>
        <w:spacing w:after="160"/>
      </w:pPr>
      <w:r>
        <w:rPr>
          <w:i/>
          <w:iCs/>
        </w:rPr>
        <w:t xml:space="preserve">Which of the 30 two-flag launches trip which flag (not mutually exclusive):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350"/>
        <w:gridCol w:w="2000"/>
      </w:tblGrid>
      <w:tr>
        <w:trPr>
          <w:tblHeader/>
        </w:trPr>
        <w:tc>
          <w:tcPr>
            <w:tcW w:type="dxa" w:w="7350"/>
            <w:shd w:fill="2F2F2F" w:val="clear"/>
            <w:tcMar>
              <w:top w:type="dxa" w:w="60"/>
              <w:left w:type="dxa" w:w="100"/>
              <w:bottom w:type="dxa" w:w="60"/>
              <w:right w:type="dxa" w:w="100"/>
            </w:tcMar>
            <w:vAlign w:val="center"/>
          </w:tcPr>
          <w:p>
            <w:pPr>
              <w:jc w:val="left"/>
            </w:pPr>
            <w:r>
              <w:rPr>
                <w:b/>
                <w:bCs/>
                <w:color w:val="FFFFFF"/>
                <w:sz w:val="18"/>
                <w:szCs w:val="18"/>
              </w:rPr>
              <w:t xml:space="preserve">Flag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N of 197</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No DTC presence in year 1</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34</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 confirmed FW27 continuation plan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Low margin at launch (&lt;35% GM)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28</w:t>
            </w:r>
          </w:p>
        </w:tc>
      </w:tr>
      <w:tr>
        <w:tc>
          <w:tcPr>
            <w:tcW w:type="dxa" w:w="7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Outlet-leaking (&gt;50% special-account exposure)</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7350"/>
            <w:tcMar>
              <w:top w:type="dxa" w:w="60"/>
              <w:left w:type="dxa" w:w="100"/>
              <w:bottom w:type="dxa" w:w="60"/>
              <w:right w:type="dxa" w:w="100"/>
            </w:tcMar>
            <w:vAlign w:val="center"/>
          </w:tcPr>
          <w:p>
            <w:pPr>
              <w:jc w:val="left"/>
            </w:pPr>
            <w:r>
              <w:rPr>
                <w:b w:val="false"/>
                <w:bCs w:val="false"/>
                <w:color w:val="000000"/>
                <w:sz w:val="18"/>
                <w:szCs w:val="18"/>
              </w:rPr>
              <w:t xml:space="preserve">Zero reorder despite &gt;100K Preorder (Wholesale)</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w:t>
            </w:r>
          </w:p>
        </w:tc>
      </w:tr>
    </w:tbl>
    <w:p>
      <w:pPr>
        <w:pBdr>
          <w:left w:val="single" w:color="9C4DCC" w:sz="18"/>
        </w:pBdr>
        <w:shd w:fill="F0E6F6" w:val="clear"/>
        <w:spacing w:after="120" w:before="100"/>
        <w:ind w:left="150" w:right="100"/>
      </w:pPr>
      <w:r>
        <w:rPr>
          <w:b/>
          <w:bCs/>
          <w:color w:val="6A1B9A"/>
        </w:rPr>
        <w:t xml:space="preserve">CORRECTED FROM DRAFT: </w:t>
      </w:r>
      <w:r>
        <w:t xml:space="preserve">The FW27 flag count is corrected from 31 to 90 (see the methodology fix in 1.3.4): the prior check used a loose first-word, any-gender, any-garment-type match against F27 only. Re-checked with a strict gender+garment-type match against the CPO's F27 file plus the S27/S28 Spring/Summer files, 107 of 197 New/Test launches are confirmed continuing and 90 are not. Because this flag feeds the '2+ flags' watchlist above, the 30-launch/3.9M SEK priority list is now stale and needs re-scoring against the corrected FW27 flag — flagged here as a follow-up, not re-derived in this pass (the other four flags are unaffected).</w:t>
      </w:r>
    </w:p>
    <w:p>
      <w:pPr>
        <w:pBdr>
          <w:left w:val="single" w:color="3C8A4C" w:sz="18"/>
        </w:pBdr>
        <w:shd w:fill="EAF3EA" w:val="clear"/>
        <w:spacing w:after="120" w:before="100"/>
        <w:ind w:left="150" w:right="100"/>
      </w:pPr>
      <w:r>
        <w:rPr>
          <w:b/>
          <w:bCs/>
          <w:color w:val="1F5C2E"/>
        </w:rPr>
        <w:t xml:space="preserve">DATA SHOWS: </w:t>
      </w:r>
      <w:r>
        <w:t xml:space="preserve">The SS27/SS28 cross-check requested in the prior draft (there, marked as data that could not be obtained) is now possible — the Spring/Summer assortment files have since been supplied. Of the 90 launches with no confirmed FW27 plan, some continue as Spring/Summer styles rather than being dropped from the range entirely (see the full breakdown in 1.3.4's methodology); the remainder need a Product/Merchandising check before being treated as confirmed exits.</w:t>
      </w:r>
    </w:p>
    <w:p>
      <w:pPr>
        <w:spacing w:after="160"/>
      </w:pPr>
      <w:r>
        <w:t xml:space="preserve">Company-wide Wholesale reorder conversion for New/Test launches is 13.0% — roughly 1 in 8 launched styles gets reordered at all in its first year. Most new product either lands and holds (clean, 111 franchises) or launches and is never reordered, with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3"/>
        <w:spacing w:after="100" w:before="200"/>
      </w:pPr>
      <w:r>
        <w:t xml:space="preserve">1.3.6 Exited &amp; Thin</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500"/>
        <w:gridCol w:w="1500"/>
        <w:gridCol w:w="1900"/>
        <w:gridCol w:w="28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Segment</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Special-Acct Sales 2025</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Recommended default action</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Shrinking trace, still limping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393</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0.4M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Kill candidate — formalize exit, lowest-effort largest cleanup</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Faded to zero</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Kill candidate — already effectively dead, formalize the exit record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Too new to judge</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0.3M</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Give it another season before any decision</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Actually alive in outlet</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40.2M</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NOT a kill candidate — re-tag as outlet/clearance, not exited</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No presence either year</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79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Data noise — ignore, no decision needed</w:t>
            </w:r>
          </w:p>
        </w:tc>
      </w:tr>
    </w:tbl>
    <w:p>
      <w:pPr>
        <w:spacing w:after="160"/>
      </w:pPr>
      <w:r>
        <w:t xml:space="preserve">The 81-franchise 'alive in outlet' segment is the one genuine trap here: it looks worthless in the core-scope view (2.1M SEK) but carries 40.2M SEK of outlet sales — nearly 20x the core figure. A blanket 'Thin = kill' rule would have wrongly flagged that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1.3.5) once they clear the 100-unit real-trading threshold.</w:t>
      </w:r>
    </w:p>
    <w:p>
      <w:pPr>
        <w:spacing w:after="80" w:before="160"/>
      </w:pPr>
      <w:r>
        <w:rPr>
          <w:b/>
          <w:bCs/>
          <w:i/>
          <w:iCs/>
          <w:color w:val="444444"/>
          <w:sz w:val="21"/>
          <w:szCs w:val="21"/>
        </w:rPr>
        <w:t xml:space="preserve">Shrinking trace — top 10 by 2025 sales (list requested for the kill-candidate batch)</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2024</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-26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0.13M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Betula GTX OE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Down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0.11M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Nordic Expedition Down -12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0.09M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IC3 Gore-Tex Jacket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Scand Down +5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Sleepingbags</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0.14M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Nordic GTX Pro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0.09M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Näs Down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0.08M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Ski Pants Oxygene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0.08M</w:t>
            </w:r>
          </w:p>
        </w:tc>
      </w:tr>
    </w:tbl>
    <w:p>
      <w:pPr>
        <w:spacing w:after="200"/>
      </w:pPr>
      <w:r>
        <w:rPr>
          <w:i/>
          <w:iCs/>
          <w:color w:val="555555"/>
          <w:sz w:val="18"/>
          <w:szCs w:val="18"/>
        </w:rPr>
        <w:t xml:space="preserve">Full 393-franchise list is in the backup workbook (bob_item3_portfolio_backup.xlsx, sheet 'Exited and Thin - Segmented'). All 393 are individually small (largest single franchise here is 0.18M SEK) — the batch-exit recommendation stands.</w:t>
      </w:r>
    </w:p>
    <w:p>
      <w:pPr>
        <w:spacing w:after="80" w:before="160"/>
      </w:pPr>
      <w:r>
        <w:rPr>
          <w:b/>
          <w:bCs/>
          <w:i/>
          <w:iCs/>
          <w:color w:val="444444"/>
          <w:sz w:val="21"/>
          <w:szCs w:val="21"/>
        </w:rPr>
        <w:t xml:space="preserve">Too new to judge — top 10 by 2025 sales (checked against the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2000"/>
        <w:gridCol w:w="1750"/>
        <w:gridCol w:w="180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Layer</w:t>
            </w:r>
          </w:p>
        </w:tc>
        <w:tc>
          <w:tcPr>
            <w:tcW w:type="dxa" w:w="17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1800"/>
            <w:shd w:fill="2F2F2F" w:val="clear"/>
            <w:tcMar>
              <w:top w:type="dxa" w:w="60"/>
              <w:left w:type="dxa" w:w="100"/>
              <w:bottom w:type="dxa" w:w="60"/>
              <w:right w:type="dxa" w:w="100"/>
            </w:tcMar>
            <w:vAlign w:val="center"/>
          </w:tcPr>
          <w:p>
            <w:pPr>
              <w:jc w:val="center"/>
            </w:pPr>
            <w:r>
              <w:rPr>
                <w:b/>
                <w:bCs/>
                <w:color w:val="FFFFFF"/>
                <w:sz w:val="18"/>
                <w:szCs w:val="18"/>
              </w:rPr>
              <w:t xml:space="preserve">Units 2025</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Big Belay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0.22M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0.21M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ROC Sight Softshell Jacket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Soft shell</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0.12M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92</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Liden Long Down Parka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0.10M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Light Liner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0.08M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54</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ZT Air Mid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Mid layer</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0.07M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Flex Pant (Women)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Legwear</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0.06M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53</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Mimic BarrierVest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97</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L.I.M ZT Breathe Insulated Jacket Wom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Insulation</w:t>
            </w:r>
          </w:p>
        </w:tc>
        <w:tc>
          <w:tcPr>
            <w:tcW w:type="dxa" w:w="1750"/>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Proof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Shell</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0.05M</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bl>
    <w:p>
      <w:pPr>
        <w:spacing w:after="200"/>
      </w:pPr>
      <w:r>
        <w:rPr>
          <w:i/>
          <w:iCs/>
          <w:color w:val="555555"/>
          <w:sz w:val="18"/>
          <w:szCs w:val="18"/>
        </w:rPr>
        <w:t xml:space="preserve">All 84 have zero 2024 sales and are below the 100-unit real-trading threshold in 2025 — consistent with genuinely new, still-ramping styles rather than misclassified continuing product.</w:t>
      </w:r>
    </w:p>
    <w:p>
      <w:pPr>
        <w:spacing w:after="80" w:before="160"/>
      </w:pPr>
      <w:r>
        <w:rPr>
          <w:b/>
          <w:bCs/>
          <w:i/>
          <w:iCs/>
          <w:color w:val="444444"/>
          <w:sz w:val="21"/>
          <w:szCs w:val="21"/>
        </w:rPr>
        <w:t xml:space="preserve">Actually alive in outlet — account deep-dive (the 40.2M SEK special-account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2025 Special-Acct Sales (this segment)</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20.5M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11.8M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5.6M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2.0M</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STADIUM Outlet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0.3M</w:t>
            </w:r>
          </w:p>
        </w:tc>
      </w:tr>
    </w:tbl>
    <w:p>
      <w:pPr>
        <w:pBdr>
          <w:left w:val="single" w:color="3C8A4C" w:sz="18"/>
        </w:pBdr>
        <w:shd w:fill="EAF3EA" w:val="clear"/>
        <w:spacing w:after="120" w:before="100"/>
        <w:ind w:left="150" w:right="100"/>
      </w:pPr>
      <w:r>
        <w:rPr>
          <w:b/>
          <w:bCs/>
          <w:color w:val="1F5C2E"/>
        </w:rPr>
        <w:t xml:space="preserve">DATA SHOWS: </w:t>
      </w:r>
      <w:r>
        <w:t xml:space="preserve">81.5% of this segment's outlet revenue (32.3M of 40.2M) sits in the two XXL accounts specifically, which are both in planned wind-down (per config.py's account-context notes). This 40.2M SEK is real today but is not a stable, defensible revenue base going forward — most of it depends on an account relationship that is being deliberately exited. The re-tagging recommendation (NOT a kill candidate) is correct for 2025 reporting purposes, but the medium-term outlook for this specific 81-franchise group should not be read as safe.</w:t>
      </w:r>
    </w:p>
    <w:p>
      <w:pPr>
        <w:pStyle w:val="Heading2"/>
        <w:spacing w:after="120" w:before="240"/>
      </w:pPr>
      <w:r>
        <w:t xml:space="preserve">1.4 Cross-Tier FW27 Confirm-or-Exit List (472 franchises, 210.8M SEK)</w:t>
      </w:r>
    </w:p>
    <w:p>
      <w:pPr>
        <w:spacing w:after="160"/>
      </w:pPr>
      <w:r>
        <w:t xml:space="preserve">The single most time-sensitive list in this pack. Every Problem Child, Harvest and Workhorse franchise was checked against the CPO's Assortment Attribution Review (F27) and, newly, the S27/S28 Spring/Summer files, for a confirmed continuation. These 472 franchises — split across three tiers with very different underlying stories — have none confirmed.</w:t>
      </w:r>
    </w:p>
    <w:p>
      <w:pPr>
        <w:pBdr>
          <w:left w:val="single" w:color="9C4DCC" w:sz="18"/>
        </w:pBdr>
        <w:shd w:fill="F0E6F6" w:val="clear"/>
        <w:spacing w:after="120" w:before="100"/>
        <w:ind w:left="150" w:right="100"/>
      </w:pPr>
      <w:r>
        <w:rPr>
          <w:b/>
          <w:bCs/>
          <w:color w:val="6A1B9A"/>
        </w:rPr>
        <w:t xml:space="preserve">CORRECTED FROM DRAFT: </w:t>
      </w:r>
      <w:r>
        <w:t xml:space="preserve">This list was previously stated as 211 franchises / 87.4M SEK. That count used the same over-lenient matching rule documented in 1.3.4 (first-word, any-gender, any-garment-type) and is corrected here to 472 / 210.8M SEK using strict gender+garment-type matching against F27, cross-checked against the newly-available S27/S28 files. The corrected total includes franchises where a same-named product line survives elsewhere (different gender or garment) — flagged 'possible match,' not silently counted as confirmed — as well as genuine season-shifts into Spring/Summer, which ARE counted as confirmed.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00"/>
        <w:gridCol w:w="1550"/>
        <w:gridCol w:w="500"/>
        <w:gridCol w:w="1300"/>
        <w:gridCol w:w="4300"/>
      </w:tblGrid>
      <w:tr>
        <w:trPr>
          <w:tblHeader/>
        </w:trPr>
        <w:tc>
          <w:tcPr>
            <w:tcW w:type="dxa" w:w="1700"/>
            <w:shd w:fill="2F2F2F" w:val="clear"/>
            <w:tcMar>
              <w:top w:type="dxa" w:w="60"/>
              <w:left w:type="dxa" w:w="100"/>
              <w:bottom w:type="dxa" w:w="60"/>
              <w:right w:type="dxa" w:w="100"/>
            </w:tcMar>
            <w:vAlign w:val="center"/>
          </w:tcPr>
          <w:p>
            <w:pPr>
              <w:jc w:val="left"/>
            </w:pPr>
            <w:r>
              <w:rPr>
                <w:b/>
                <w:bCs/>
                <w:color w:val="FFFFFF"/>
                <w:sz w:val="18"/>
                <w:szCs w:val="18"/>
              </w:rPr>
              <w:t xml:space="preserve">Source tier</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Growth direction</w:t>
            </w:r>
          </w:p>
        </w:tc>
        <w:tc>
          <w:tcPr>
            <w:tcW w:type="dxa" w:w="5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Harvest</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75.1M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Consistent with the broader Harvest decline — plausibly a deliberate range cut</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55.4M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HIGHEST URGENCY — working, growing product with apparently no FW27 plan</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Workhorse</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19.5M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Lower urgency — declining anyway, exit is plausibly already the right call</w:t>
            </w:r>
          </w:p>
        </w:tc>
      </w:tr>
      <w:tr>
        <w:tc>
          <w:tcPr>
            <w:tcW w:type="dxa" w:w="17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w:t>
            </w:r>
          </w:p>
        </w:tc>
        <w:tc>
          <w:tcPr>
            <w:tcW w:type="dxa" w:w="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34.9M</w:t>
            </w:r>
          </w:p>
        </w:tc>
        <w:tc>
          <w:tcPr>
            <w:tcW w:type="dxa" w:w="4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Growing despite a margin problem — worth checking if it's a pricing fix, not an exit</w:t>
            </w:r>
          </w:p>
        </w:tc>
      </w:tr>
      <w:tr>
        <w:tc>
          <w:tcPr>
            <w:tcW w:type="dxa" w:w="1700"/>
            <w:tcMar>
              <w:top w:type="dxa" w:w="60"/>
              <w:left w:type="dxa" w:w="100"/>
              <w:bottom w:type="dxa" w:w="60"/>
              <w:right w:type="dxa" w:w="100"/>
            </w:tcMar>
            <w:vAlign w:val="center"/>
          </w:tcPr>
          <w:p>
            <w:pPr>
              <w:jc w:val="left"/>
            </w:pPr>
            <w:r>
              <w:rPr>
                <w:b w:val="false"/>
                <w:bCs w:val="false"/>
                <w:color w:val="000000"/>
                <w:sz w:val="18"/>
                <w:szCs w:val="18"/>
              </w:rPr>
              <w:t xml:space="preserve">Problem Child</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Flat/declining</w:t>
            </w:r>
          </w:p>
        </w:tc>
        <w:tc>
          <w:tcPr>
            <w:tcW w:type="dxa" w:w="500"/>
            <w:tcMar>
              <w:top w:type="dxa" w:w="60"/>
              <w:left w:type="dxa" w:w="100"/>
              <w:bottom w:type="dxa" w:w="60"/>
              <w:right w:type="dxa" w:w="100"/>
            </w:tcMar>
            <w:vAlign w:val="center"/>
          </w:tcPr>
          <w:p>
            <w:pPr>
              <w:jc w:val="center"/>
            </w:pPr>
            <w:r>
              <w:rPr>
                <w:b w:val="false"/>
                <w:bCs w:val="false"/>
                <w:color w:val="000000"/>
                <w:sz w:val="18"/>
                <w:szCs w:val="18"/>
              </w:rPr>
              <w:t xml:space="preserve">87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26.0M</w:t>
            </w:r>
          </w:p>
        </w:tc>
        <w:tc>
          <w:tcPr>
            <w:tcW w:type="dxa" w:w="4300"/>
            <w:tcMar>
              <w:top w:type="dxa" w:w="60"/>
              <w:left w:type="dxa" w:w="100"/>
              <w:bottom w:type="dxa" w:w="60"/>
              <w:right w:type="dxa" w:w="100"/>
            </w:tcMar>
            <w:vAlign w:val="center"/>
          </w:tcPr>
          <w:p>
            <w:pPr>
              <w:jc w:val="center"/>
            </w:pPr>
            <w:r>
              <w:rPr>
                <w:b w:val="false"/>
                <w:bCs w:val="false"/>
                <w:color w:val="000000"/>
                <w:sz w:val="18"/>
                <w:szCs w:val="18"/>
              </w:rPr>
              <w:t xml:space="preserve">Lowest urgency — declining and already a margin problem, exit is plausibly correct</w:t>
            </w:r>
          </w:p>
        </w:tc>
      </w:tr>
    </w:tbl>
    <w:p>
      <w:pPr>
        <w:spacing w:after="160"/>
      </w:pPr>
      <w:r>
        <w:t xml:space="preserve">Of the 150 growing-but-unconfirmed franchises (102 Workhorse + 48 Problem Child), the prior draft flagged 42 as a highest-priority subset in the backup workbook ('PRIORITY - Growing, no plan' sheet) — that 42-count was built on the old, uncorrected 70-franchise population and needs to be re-derived against this corrected 150-franchise list before being used at the workshop.</w:t>
      </w:r>
    </w:p>
    <w:p>
      <w:pPr>
        <w:pBdr>
          <w:left w:val="single" w:color="B23A3A" w:sz="18"/>
        </w:pBdr>
        <w:shd w:fill="FBE7E7" w:val="clear"/>
        <w:spacing w:after="120" w:before="100"/>
        <w:ind w:left="150" w:right="100"/>
      </w:pPr>
      <w:r>
        <w:rPr>
          <w:b/>
          <w:bCs/>
          <w:color w:val="7A1F1F"/>
        </w:rPr>
        <w:t xml:space="preserve">METHODOLOGY FLAG: </w:t>
      </w:r>
      <w:r>
        <w:t xml:space="preserve">Two checks were requested on this list. (1) Whether any of these 472 continue in an SS27/SS28 (Spring/Summer) assortment instead of a true exit — now checkable, and already folded into the table above: genuine season-shifts are counted as confirmed, and same-line-different-garment/gender matches are separated out as 'possible' rather than either being silently confirmed or silently ignored (see the fixBox above and 1.3.4 for the full breakdown). (2) Whether any are a genuine product substitution under an unrelated new name — still not answerable from this data: the franchise-matching logic already collapses version-token successors (II, 2.0) into the same franchise, so this list is not simply missing next-gen versions under the same name, but a genuine rename to an unrelated name would not be caught. This second check still needs a manual Product/Merchandising pass, concentrated on the 159+108+115=382 franchises in the 'not found anywhere' bucket specifically (the 'possible match' franchises already have a named candidate to check).</w:t>
      </w:r>
    </w:p>
    <w:p>
      <w:pPr>
        <w:pStyle w:val="Heading2"/>
        <w:spacing w:after="120" w:before="240"/>
      </w:pPr>
      <w:r>
        <w:t xml:space="preserve">1.5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3350"/>
        <w:gridCol w:w="700"/>
        <w:gridCol w:w="1300"/>
      </w:tblGrid>
      <w:tr>
        <w:trPr>
          <w:tblHeader/>
        </w:trPr>
        <w:tc>
          <w:tcPr>
            <w:tcW w:type="dxa" w:w="2000"/>
            <w:shd w:fill="2F2F2F" w:val="clear"/>
            <w:tcMar>
              <w:top w:type="dxa" w:w="60"/>
              <w:left w:type="dxa" w:w="100"/>
              <w:bottom w:type="dxa" w:w="60"/>
              <w:right w:type="dxa" w:w="100"/>
            </w:tcMar>
            <w:vAlign w:val="center"/>
          </w:tcPr>
          <w:p>
            <w:pPr>
              <w:jc w:val="left"/>
            </w:pPr>
            <w:r>
              <w:rPr>
                <w:b/>
                <w:bCs/>
                <w:color w:val="FFFFFF"/>
                <w:sz w:val="18"/>
                <w:szCs w:val="18"/>
              </w:rPr>
              <w:t xml:space="preserve">Lever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SEK</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1. Core pricing/margin discipline</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 Core Pricing Fix (1.3.2)</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88.5M</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 FW27 confirm-or-exit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Problem Child + Harvest + Workhorse, no FW27 match (1.4)</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210.8M</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3. Wholesale distribution expansion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WS-lever franchises (1.3.3)</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39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 DTC content/marketing investment</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Workhorse scale-up shortlist, DTC-lever franchises (1.3.3)</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of 21.9M shortlist</w:t>
            </w:r>
          </w:p>
        </w:tc>
      </w:tr>
      <w:tr>
        <w:tc>
          <w:tcPr>
            <w:tcW w:type="dxa" w:w="2000"/>
            <w:tcMar>
              <w:top w:type="dxa" w:w="60"/>
              <w:left w:type="dxa" w:w="100"/>
              <w:bottom w:type="dxa" w:w="60"/>
              <w:right w:type="dxa" w:w="100"/>
            </w:tcMar>
            <w:vAlign w:val="center"/>
          </w:tcPr>
          <w:p>
            <w:pPr>
              <w:jc w:val="left"/>
            </w:pPr>
            <w:r>
              <w:rPr>
                <w:b w:val="false"/>
                <w:bCs w:val="false"/>
                <w:color w:val="000000"/>
                <w:sz w:val="18"/>
                <w:szCs w:val="18"/>
              </w:rPr>
              <w:t xml:space="preserve">5. Outlet/special-account re-tagging (not a 'fix' — a reclassification)</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8.4M core / 40.2M special</w:t>
            </w:r>
          </w:p>
        </w:tc>
      </w:tr>
    </w:tbl>
    <w:p>
      <w:pPr>
        <w:pStyle w:val="ListParagraph"/>
        <w:numPr>
          <w:ilvl w:val="0"/>
          <w:numId w:val="2"/>
        </w:numPr>
        <w:spacing w:after="80"/>
      </w:pPr>
      <w:r>
        <w:t xml:space="preserve">Levers 1 and 2 are the two big-ticket items (88.5M and 210.8M SEK respectively) and should anchor the workshop discussion — Lever 2 in particular is now the single largest lever in this framework after the FW27 matching-methodology correction (1.3.4), and 382 of its 472 franchises still need a Product/Merchandising name-by-name pass before being treated as confirmed exits, not just a rubber-stamp.</w:t>
      </w:r>
    </w:p>
    <w:p>
      <w:pPr>
        <w:pStyle w:val="ListParagraph"/>
        <w:numPr>
          <w:ilvl w:val="0"/>
          <w:numId w:val="2"/>
        </w:numPr>
        <w:spacing w:after="80"/>
      </w:pPr>
      <w:r>
        <w:t xml:space="preserve">Levers 3-4 are small (21.9M current sales across 57 franchises, corrected from an erroneous 31-franchise/22.5M-SEK figure traced to a mismatched source file — see 1.3.3) but genuinely the cleanest 'quick win' in this framework — the gap to a real second-channel presence is only 1.85M SEK combined, and each franchise already works in one channel, so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 (Reconciles cleanly: 103 = 22 Problem Child outlet-migrated + 81 Thin alive-in-outlet; 8.4M = 6.3M + 2.1M; 40.2M matches the Thin segment's special-account sales exactly.)</w:t>
      </w:r>
    </w:p>
    <w:p>
      <w:pPr>
        <w:pStyle w:val="ListParagraph"/>
        <w:numPr>
          <w:ilvl w:val="0"/>
          <w:numId w:val="2"/>
        </w:numPr>
        <w:spacing w:after="80"/>
      </w:pPr>
      <w:r>
        <w:t xml:space="preserve">Not yet a lever, deliberately: New/Test (1.3.5) and Harvest's non-FW27-gap remainder (1.4) both need a person, not a rule — a launch-review checkpoint and a range-planning reconciliation respectively — a process ask for the relevant owners, not a SEK-sized lever.</w:t>
      </w:r>
    </w:p>
    <w:p>
      <w:pPr>
        <w:pStyle w:val="Heading2"/>
        <w:spacing w:after="120" w:before="240"/>
      </w:pPr>
      <w:r>
        <w:t xml:space="preserve">1.6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250"/>
        <w:gridCol w:w="27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8"/>
                <w:szCs w:val="18"/>
              </w:rPr>
              <w:t xml:space="preserve">#</w:t>
            </w:r>
          </w:p>
        </w:tc>
        <w:tc>
          <w:tcPr>
            <w:tcW w:type="dxa" w:w="6250"/>
            <w:shd w:fill="2F2F2F" w:val="clear"/>
            <w:tcMar>
              <w:top w:type="dxa" w:w="60"/>
              <w:left w:type="dxa" w:w="100"/>
              <w:bottom w:type="dxa" w:w="60"/>
              <w:right w:type="dxa" w:w="100"/>
            </w:tcMar>
            <w:vAlign w:val="center"/>
          </w:tcPr>
          <w:p>
            <w:pPr>
              <w:jc w:val="center"/>
            </w:pPr>
            <w:r>
              <w:rPr>
                <w:b/>
                <w:bCs/>
                <w:color w:val="FFFFFF"/>
                <w:sz w:val="18"/>
                <w:szCs w:val="18"/>
              </w:rPr>
              <w:t xml:space="preserve">Question</w:t>
            </w:r>
          </w:p>
        </w:tc>
        <w:tc>
          <w:tcPr>
            <w:tcW w:type="dxa" w:w="2700"/>
            <w:shd w:fill="2F2F2F" w:val="clear"/>
            <w:tcMar>
              <w:top w:type="dxa" w:w="60"/>
              <w:left w:type="dxa" w:w="100"/>
              <w:bottom w:type="dxa" w:w="60"/>
              <w:right w:type="dxa" w:w="100"/>
            </w:tcMar>
            <w:vAlign w:val="center"/>
          </w:tcPr>
          <w:p>
            <w:pPr>
              <w:jc w:val="center"/>
            </w:pPr>
            <w:r>
              <w:rPr>
                <w:b/>
                <w:bCs/>
                <w:color w:val="FFFFFF"/>
                <w:sz w:val="18"/>
                <w:szCs w:val="18"/>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1</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218 substitution-pattern franchises — is the Wholesale decline a distribution pull-back, a sell-through problem, or genuine channel preference?</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Should the 34-franchise Hero/Near-Hero list become the formal basis for marketing/content investment prioritization?</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3</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129 Core Pricing Fix franchises — pricing, cost, or exit, per franchise/layer?</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4</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39 franchises needing Wholesale distribution (corrected from an erroneous 21 — see 1.3.3) — listing/account gap, or genuine lack of buyer interest?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5</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For the 18-franchise DTC-content-lever shortlist from the Workhorse scale-up list — to confirm the list and push the marketing?</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6</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33 Harvest franchises confirmed continuing in FW27 despite decline (corrected from an earlier, over-lenient count of 142 — see 1.3.4) — deliberate keeps or unreviewed?</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7</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appetite to batch-close ~620 dead Thin-tier SKUs for catalog hygiene, independent of the immaterial P&amp;L impact?</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Article master/catalog system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8</w:t>
            </w:r>
          </w:p>
        </w:tc>
        <w:tc>
          <w:tcPr>
            <w:tcW w:type="dxa" w:w="6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For the 472-franchise FW27 gap list (corrected from an earlier, under-counted 211 — see 1.4) — how many are already-made range decisions vs. genuine gaps, especially the 150 growing-with-no-confirmed-plan franchises (the prior draft's '42 highest-priority' subset needs re-deriving against this corrected list)?</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FW27 range-planning owner</w:t>
            </w:r>
          </w:p>
        </w:tc>
      </w:tr>
      <w:tr>
        <w:tc>
          <w:tcPr>
            <w:tcW w:type="dxa" w:w="400"/>
            <w:tcMar>
              <w:top w:type="dxa" w:w="60"/>
              <w:left w:type="dxa" w:w="100"/>
              <w:bottom w:type="dxa" w:w="60"/>
              <w:right w:type="dxa" w:w="100"/>
            </w:tcMar>
            <w:vAlign w:val="center"/>
          </w:tcPr>
          <w:p>
            <w:pPr>
              <w:jc w:val="left"/>
            </w:pPr>
            <w:r>
              <w:rPr>
                <w:b w:val="false"/>
                <w:bCs w:val="false"/>
                <w:color w:val="000000"/>
                <w:sz w:val="18"/>
                <w:szCs w:val="18"/>
              </w:rPr>
              <w:t xml:space="preserve">9</w:t>
            </w:r>
          </w:p>
        </w:tc>
        <w:tc>
          <w:tcPr>
            <w:tcW w:type="dxa" w:w="6250"/>
            <w:tcMar>
              <w:top w:type="dxa" w:w="60"/>
              <w:left w:type="dxa" w:w="100"/>
              <w:bottom w:type="dxa" w:w="60"/>
              <w:right w:type="dxa" w:w="100"/>
            </w:tcMar>
            <w:vAlign w:val="center"/>
          </w:tcPr>
          <w:p>
            <w:pPr>
              <w:jc w:val="center"/>
            </w:pPr>
            <w:r>
              <w:rPr>
                <w:b w:val="false"/>
                <w:bCs w:val="false"/>
                <w:color w:val="000000"/>
                <w:sz w:val="18"/>
                <w:szCs w:val="18"/>
              </w:rPr>
              <w:t xml:space="preserve">Is there a formal post-launch review checkpoint for New/Test styles today, or should the Tier-1 scorecard become that process?</w:t>
            </w:r>
          </w:p>
        </w:tc>
        <w:tc>
          <w:tcPr>
            <w:tcW w:type="dxa" w:w="2700"/>
            <w:tcMar>
              <w:top w:type="dxa" w:w="60"/>
              <w:left w:type="dxa" w:w="100"/>
              <w:bottom w:type="dxa" w:w="60"/>
              <w:right w:type="dxa" w:w="100"/>
            </w:tcMar>
            <w:vAlign w:val="center"/>
          </w:tcPr>
          <w:p>
            <w:pPr>
              <w:jc w:val="center"/>
            </w:pPr>
            <w:r>
              <w:rPr>
                <w:b w:val="false"/>
                <w:bCs w:val="false"/>
                <w:color w:val="000000"/>
                <w:sz w:val="18"/>
                <w:szCs w:val="18"/>
              </w:rPr>
              <w:t xml:space="preserve">CPO / Merchandising Director</w:t>
            </w:r>
          </w:p>
        </w:tc>
      </w:tr>
    </w:tbl>
    <w:p>
      <w:r>
        <w:br w:type="page"/>
      </w:r>
    </w:p>
    <w:p>
      <w:pPr>
        <w:pStyle w:val="Heading1"/>
        <w:spacing w:after="160" w:before="320"/>
      </w:pPr>
      <w:r>
        <w:t xml:space="preserve">2. Wholesale: Increase the Share of Reorder / ABS as a Negotiation Lever</w:t>
      </w:r>
    </w:p>
    <w:p>
      <w:pPr>
        <w:spacing w:after="160"/>
      </w:pPr>
      <w:r>
        <w:t xml:space="preserve">Premise in the original draft: Reorder is higher-margin than Preorder 'in theory.' Risk noted: high Preorder gives demand stability; Reorder is forecast-based and carries real inventory risk. Proposed approach: selectively grow Reorder on NOS (never-out-of-stock) items only, with supply-planning support.</w:t>
      </w:r>
    </w:p>
    <w:p>
      <w:pPr>
        <w:pStyle w:val="Heading2"/>
        <w:spacing w:after="120" w:before="240"/>
      </w:pPr>
      <w:r>
        <w:t xml:space="preserve">2.1 Account-Level Preorder/Reorder/Closeout Overview (2025, sales-ordered)</w:t>
      </w:r>
    </w:p>
    <w:p>
      <w:pPr>
        <w:spacing w:after="160"/>
      </w:pPr>
      <w:r>
        <w:t xml:space="preserve">All 498 Wholesale accounts were split by ordertype. Top 10 by 2025 total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350"/>
        <w:gridCol w:w="2000"/>
        <w:gridCol w:w="2000"/>
        <w:gridCol w:w="22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50"/>
            <w:shd w:fill="2F2F2F" w:val="clear"/>
            <w:tcMar>
              <w:top w:type="dxa" w:w="60"/>
              <w:left w:type="dxa" w:w="100"/>
              <w:bottom w:type="dxa" w:w="60"/>
              <w:right w:type="dxa" w:w="100"/>
            </w:tcMar>
            <w:vAlign w:val="center"/>
          </w:tcPr>
          <w:p>
            <w:pPr>
              <w:jc w:val="center"/>
            </w:pPr>
            <w:r>
              <w:rPr>
                <w:b/>
                <w:bCs/>
                <w:color w:val="FFFFFF"/>
                <w:sz w:val="18"/>
                <w:szCs w:val="18"/>
              </w:rPr>
              <w:t xml:space="preserve">Total Sales</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250"/>
            <w:shd w:fill="2F2F2F" w:val="clear"/>
            <w:tcMar>
              <w:top w:type="dxa" w:w="60"/>
              <w:left w:type="dxa" w:w="100"/>
              <w:bottom w:type="dxa" w:w="60"/>
              <w:right w:type="dxa" w:w="100"/>
            </w:tcMar>
            <w:vAlign w:val="center"/>
          </w:tcPr>
          <w:p>
            <w:pPr>
              <w:jc w:val="center"/>
            </w:pPr>
            <w:r>
              <w:rPr>
                <w:b/>
                <w:bCs/>
                <w:color w:val="FFFFFF"/>
                <w:sz w:val="18"/>
                <w:szCs w:val="18"/>
              </w:rPr>
              <w:t xml:space="preserve">Closeout (GM%)</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SE</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81.9M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70.6M (38.3%)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0.01M (7.4%)</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11.3M (-18.0%)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Intersport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66.2M (46.1%)</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9.1M (38.5%)</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4.7M (37.5%)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Zalando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52.5M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10.1M (67.9%)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0.4M (noise)</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42.1M (27.4%)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China</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49.1M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47.2M (10.6%)</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1.9M (11.1%)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XXL NO</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33.7M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26.3M (44.0%)</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7.4M (-20.8%)</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Outnorth</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26.8M (44.3%)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3.7M (45.4%)</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0.4M (34.9%)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Eventyr Sport</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26.7M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23.2M (53.3%)</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2.3M (30.6%)</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1.2M (loss)</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RCT Japan</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21.1M (40.3%)</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0.06M (40.1%)</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SGN</w:t>
            </w:r>
          </w:p>
        </w:tc>
        <w:tc>
          <w:tcPr>
            <w:tcW w:type="dxa" w:w="1350"/>
            <w:tcMar>
              <w:top w:type="dxa" w:w="60"/>
              <w:left w:type="dxa" w:w="100"/>
              <w:bottom w:type="dxa" w:w="60"/>
              <w:right w:type="dxa" w:w="100"/>
            </w:tcMar>
            <w:vAlign w:val="center"/>
          </w:tcPr>
          <w:p>
            <w:pPr>
              <w:jc w:val="center"/>
            </w:pPr>
            <w:r>
              <w:rPr>
                <w:b w:val="false"/>
                <w:bCs w:val="false"/>
                <w:color w:val="000000"/>
                <w:sz w:val="18"/>
                <w:szCs w:val="18"/>
              </w:rPr>
              <w:t xml:space="preserve">17.9M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14.2M (46.4%)</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2.6M (45.3%)</w:t>
            </w:r>
          </w:p>
        </w:tc>
        <w:tc>
          <w:tcPr>
            <w:tcW w:type="dxa" w:w="2250"/>
            <w:tcMar>
              <w:top w:type="dxa" w:w="60"/>
              <w:left w:type="dxa" w:w="100"/>
              <w:bottom w:type="dxa" w:w="60"/>
              <w:right w:type="dxa" w:w="100"/>
            </w:tcMar>
            <w:vAlign w:val="center"/>
          </w:tcPr>
          <w:p>
            <w:pPr>
              <w:jc w:val="center"/>
            </w:pPr>
            <w:r>
              <w:rPr>
                <w:b w:val="false"/>
                <w:bCs w:val="false"/>
                <w:color w:val="000000"/>
                <w:sz w:val="18"/>
                <w:szCs w:val="18"/>
              </w:rPr>
              <w:t xml:space="preserve">1.1M (26.6%)</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Mega Sport</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15.7M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12.1M (35.2%)</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3.6M (30.8%)</w:t>
            </w:r>
          </w:p>
        </w:tc>
        <w:tc>
          <w:tcPr>
            <w:tcW w:type="dxa" w:w="22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r>
    </w:tbl>
    <w:p>
      <w:pPr>
        <w:spacing w:after="200"/>
      </w:pPr>
      <w:r>
        <w:rPr>
          <w:i/>
          <w:iCs/>
          <w:color w:val="555555"/>
          <w:sz w:val="18"/>
          <w:szCs w:val="18"/>
        </w:rPr>
        <w:t xml:space="preserve">Full 498-account table in the backup workbook, sheet 'Account Overview (all 498, 2025)'.</w:t>
      </w:r>
    </w:p>
    <w:p>
      <w:pPr>
        <w:pStyle w:val="ListParagraph"/>
        <w:numPr>
          <w:ilvl w:val="0"/>
          <w:numId w:val="2"/>
        </w:numPr>
        <w:spacing w:after="80"/>
      </w:pPr>
      <w:r>
        <w:t xml:space="preserve">The theory that Reorder margin should exceed Preorder margin does not hold in FY2025: company-wide, Preorder GM% is 40.9% vs. Reorder GM% 38.7% — a 2.2pt gap in the 'wrong' direction. It persists even after excluding special accounts (44.9% vs. 43.4%).</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2000"/>
        <w:gridCol w:w="2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GM%</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Gap</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38.7%</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Reorder -2.2pt</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Reorder -1.5pt</w:t>
            </w:r>
          </w:p>
        </w:tc>
      </w:tr>
    </w:tbl>
    <w:p>
      <w:pPr>
        <w:spacing w:after="160"/>
      </w:pPr>
      <w:r>
        <w:t xml:space="preserve">The margin gap holds with and without special accounts — it is not an artifact of them. This is consistent with, and a level-based confirmation of, the Topic 2 finding that Reorder ASP declined more than Preorder ASP (-8.3% vs. -4.4% YoY). If Reorder pricing/allocation is being treated as an afterthought rather than a deliberate, planned top-up, that would explain both findings together.</w:t>
      </w:r>
    </w:p>
    <w:p>
      <w:pPr>
        <w:pBdr>
          <w:left w:val="single" w:color="2E8FB5" w:sz="18"/>
        </w:pBdr>
        <w:shd w:fill="E3F1F7" w:val="clear"/>
        <w:spacing w:after="120" w:before="100"/>
        <w:ind w:left="150" w:right="100"/>
      </w:pPr>
      <w:r>
        <w:rPr>
          <w:b/>
          <w:bCs/>
          <w:color w:val="0F5C7A"/>
        </w:rPr>
        <w:t xml:space="preserve">2026 YTD ADDED: </w:t>
      </w:r>
      <w:r>
        <w:t xml:space="preserve">The FY2025 finding reverses in YTD2026: core Wholesale Reorder GM% (48.5%) is now ABOVE Preorder GM% (47.9%) for the first time — a +0.6pt gap in the theorized direction, versus FY2025's -1.5pt gap. Core Wholesale ordertype mix, FY2025 vs.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90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mix</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FY2025 GM%</w:t>
            </w:r>
          </w:p>
        </w:tc>
        <w:tc>
          <w:tcPr>
            <w:tcW w:type="dxa" w:w="1850"/>
            <w:shd w:fill="2F2F2F" w:val="clear"/>
            <w:tcMar>
              <w:top w:type="dxa" w:w="60"/>
              <w:left w:type="dxa" w:w="100"/>
              <w:bottom w:type="dxa" w:w="60"/>
              <w:right w:type="dxa" w:w="100"/>
            </w:tcMar>
            <w:vAlign w:val="center"/>
          </w:tcPr>
          <w:p>
            <w:pPr>
              <w:jc w:val="center"/>
            </w:pPr>
            <w:r>
              <w:rPr>
                <w:b/>
                <w:bCs/>
                <w:color w:val="FFFFFF"/>
                <w:sz w:val="18"/>
                <w:szCs w:val="18"/>
              </w:rPr>
              <w:t xml:space="preserve">YTD2026 mix</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YTD2026 GM%</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72.9%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44.9%</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69.3%</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47.9%</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16.0%</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43.4%</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20.1%</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48.5%</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Closeout</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11.1%</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850"/>
            <w:tcMar>
              <w:top w:type="dxa" w:w="60"/>
              <w:left w:type="dxa" w:w="100"/>
              <w:bottom w:type="dxa" w:w="60"/>
              <w:right w:type="dxa" w:w="100"/>
            </w:tcMar>
            <w:vAlign w:val="center"/>
          </w:tcPr>
          <w:p>
            <w:pPr>
              <w:jc w:val="center"/>
            </w:pPr>
            <w:r>
              <w:rPr>
                <w:b w:val="false"/>
                <w:bCs w:val="false"/>
                <w:color w:val="000000"/>
                <w:sz w:val="18"/>
                <w:szCs w:val="18"/>
              </w:rPr>
              <w:t xml:space="preserve">10.6%</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25.6%</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Blended</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c>
          <w:tcPr>
            <w:tcW w:type="dxa" w:w="1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45.6%</w:t>
            </w:r>
          </w:p>
        </w:tc>
      </w:tr>
    </w:tbl>
    <w:p>
      <w:pPr>
        <w:pBdr>
          <w:left w:val="single" w:color="3C8A4C" w:sz="18"/>
        </w:pBdr>
        <w:shd w:fill="EAF3EA" w:val="clear"/>
        <w:spacing w:after="120" w:before="100"/>
        <w:ind w:left="150" w:right="100"/>
      </w:pPr>
      <w:r>
        <w:rPr>
          <w:b/>
          <w:bCs/>
          <w:color w:val="1F5C2E"/>
        </w:rPr>
        <w:t xml:space="preserve">DATA SHOWS: </w:t>
      </w:r>
      <w:r>
        <w:t xml:space="preserve">Reorder mix is also growing (16.0% → 20.1% of core Wholesale), so the shift the original premise called for is already happening directionally in YTD2026, and for the first time it's happening on the 'right' side of the margin gap. Whether this is a durable repricing or a one-off mix effect (e.g. fewer distressed closeouts pulling the Reorder average up) needs another data cut once FY2026 is complete.</w:t>
      </w:r>
    </w:p>
    <w:p>
      <w:pPr>
        <w:pStyle w:val="Heading2"/>
        <w:spacing w:after="120" w:before="240"/>
      </w:pPr>
      <w:r>
        <w:t xml:space="preserve">2.2 Reorder Follow-Through: How Much Reorder Actually Follows Preorder</w:t>
      </w:r>
    </w:p>
    <w:p>
      <w:pPr>
        <w:pStyle w:val="ListParagraph"/>
        <w:numPr>
          <w:ilvl w:val="0"/>
          <w:numId w:val="2"/>
        </w:numPr>
        <w:spacing w:after="80"/>
      </w:pPr>
      <w:r>
        <w:t xml:space="preserve">Reorder follow-through is weak in aggregate: of 10,550 article-account combinations that received a Preorder in 2025, only 27.4% ever received any Reorder, and the Reorder SEK for that cohort is just 8.6% of the original Preorder SEK.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Preordered article-account combinations (2025, Wholesale)</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10,550</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Of which also received a Reorder</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2,892 (27.4%)</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Total Preorder SEK for this cohort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472.2M</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Total Reorder SEK for this cohort</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40.5M (8.6% of Preorder SEK)</w:t>
            </w:r>
          </w:p>
        </w:tc>
      </w:tr>
    </w:tbl>
    <w:p>
      <w:pPr>
        <w:spacing w:after="160"/>
      </w:pPr>
      <w:r>
        <w:t xml:space="preserve">This aggregate masks a sharp account-level split: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100"/>
        <w:gridCol w:w="465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Account type</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Follow-through rate</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Examples</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'Special' accounts (flagged in Items 1-4)</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1-4% — essentially none</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XXL SE 2.8%, XXL NO 4.2%, Zalando 1.3%, China 12.0%, RCT Japan 2.3%, Stadium 2.2%</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Genuine specialty-retail accounts</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40-85% — healthy</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Intersport 85.0%, Mega Sport 68.0%, SGN 66.8%, Outnorth 63.6%, Scandinavian Outdoor 40.2%</w:t>
            </w:r>
          </w:p>
        </w:tc>
      </w:tr>
    </w:tbl>
    <w:p>
      <w:pPr>
        <w:spacing w:after="160"/>
      </w:pPr>
      <w:r>
        <w:t xml:space="preserve">Every account with near-zero follow-through is one already flagged as structurally different for other reasons (planned wind-down, outlet mechanism, cost-plus arrangement, distributor, unexplained volume push). The weak company-wide 27.4%/8.6% figures are being dragged down by these accounts, not by a broad failure of the reorder mechanism among normal specialty retailers. Intersport's 85% follow-through is the best available internal benchmark for what 'working' looks like.</w:t>
      </w:r>
    </w:p>
    <w:p>
      <w:pPr>
        <w:spacing w:after="160"/>
      </w:pPr>
      <w:r>
        <w:t xml:space="preserve">General sell-through-rate practice (70-80% healthy, 80%+ triggers reorder, &lt;60% triggers markdown) — Haglöfs' 27.4% follow-through implies most preordered styles are running well short of that zone. Recommend using Intersport as the internal benchmark rather than searching further for an external one.</w:t>
      </w:r>
    </w:p>
    <w:p>
      <w:pPr>
        <w:pStyle w:val="ListParagraph"/>
        <w:numPr>
          <w:ilvl w:val="0"/>
          <w:numId w:val="2"/>
        </w:numPr>
        <w:spacing w:after="80"/>
      </w:pPr>
      <w:r>
        <w:t xml:space="preserve">Reorder strength correlates meaningfully with DTC (Retail+E-com) presence: Spearman 0.67 on absolute SEK. Franchises with any DTC presence average a 0.17 Reorder/Preorder ratio; franchises with none average 0.008 — essentially zero.</w:t>
      </w:r>
    </w:p>
    <w:p>
      <w:pPr>
        <w:pBdr>
          <w:left w:val="single" w:color="2E8FB5" w:sz="18"/>
        </w:pBdr>
        <w:shd w:fill="E3F1F7" w:val="clear"/>
        <w:spacing w:after="120" w:before="100"/>
        <w:ind w:left="150" w:right="100"/>
      </w:pPr>
      <w:r>
        <w:rPr>
          <w:b/>
          <w:bCs/>
          <w:color w:val="0F5C7A"/>
        </w:rPr>
        <w:t xml:space="preserve">2026 YTD ADDED: </w:t>
      </w:r>
      <w:r>
        <w:t xml:space="preserve">YTD2026 follow-through is improving on both counts vs. FY2025 — company-wide 28.9% of preordered combinations also reordered (vs. 27.4% FY2025), and Reorder SEK is now 12.4% of Preorder SEK for that cohort (vs. 8.6% FY2025). Core-only (ex special accounts), the SEK-conversion improvement is sharper still: 14.3% YTD2026 vs. 12.4% FY2025. Early-stage and partial-year, but directionally the reorder mechanism is working better in 2026, not worse.</w:t>
      </w:r>
    </w:p>
    <w:p>
      <w:pPr>
        <w:pStyle w:val="Heading3"/>
        <w:spacing w:after="100" w:before="200"/>
      </w:pPr>
      <w:r>
        <w:t xml:space="preserve">Top 10 most-reordered franchises (2025, Wholesale)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2000"/>
        <w:gridCol w:w="20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Reorder SEK</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Preorder SEK</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Reorder/Preorder ratio</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Astral GTX Jacket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2.96M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9.92M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29.9%</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Astral GTX Jacket (Women)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27.9%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1.67M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9.24M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18.1%</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Front Proof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6.88M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Tight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1.18M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3.75M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31.6%</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Tight Medium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1.14M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32.1%</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Lava 50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1.11M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1.88M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58.8%</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Vide 25 (Unisex)</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0.96M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112.9%</w:t>
            </w:r>
          </w:p>
        </w:tc>
      </w:tr>
      <w:tr>
        <w:tc>
          <w:tcPr>
            <w:tcW w:type="dxa" w:w="3300"/>
            <w:tcMar>
              <w:top w:type="dxa" w:w="60"/>
              <w:left w:type="dxa" w:w="100"/>
              <w:bottom w:type="dxa" w:w="60"/>
              <w:right w:type="dxa" w:w="100"/>
            </w:tcMar>
            <w:vAlign w:val="center"/>
          </w:tcPr>
          <w:p>
            <w:pPr>
              <w:jc w:val="left"/>
            </w:pPr>
            <w:r>
              <w:rPr>
                <w:b w:val="false"/>
                <w:bCs w:val="false"/>
                <w:color w:val="000000"/>
                <w:sz w:val="18"/>
                <w:szCs w:val="18"/>
              </w:rPr>
              <w:t xml:space="preserve">Corker Large (Unisex)</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1.03M</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2.20M</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47.0%</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ROC Flash GTX Jacket (Men)</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1.01M</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2.02M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50.0%</w:t>
            </w:r>
          </w:p>
        </w:tc>
      </w:tr>
    </w:tbl>
    <w:p>
      <w:pPr>
        <w:spacing w:after="200"/>
      </w:pPr>
      <w:r>
        <w:rPr>
          <w:i/>
          <w:iCs/>
          <w:color w:val="555555"/>
          <w:sz w:val="18"/>
          <w:szCs w:val="18"/>
        </w:rPr>
        <w:t xml:space="preserve">Astral GTX Jacket (Men) is the single largest Reorder franchise company-wide at the franchise level (2.96M SEK, combining both the outgoing and 'II' article codes). Full 846-franchise list (every franchise with any 2025 Wholesale Reorder or Preorder activity) is in the backup workbook (bob_item3_portfolio_backup.xlsx, sheet 'Reorder - Full List (846)').</w:t>
      </w:r>
    </w:p>
    <w:p>
      <w:pPr>
        <w:pStyle w:val="Heading2"/>
        <w:spacing w:after="120" w:before="240"/>
      </w:pPr>
      <w:r>
        <w:t xml:space="preserve">2.3 Core Assortment: Reorder Follow-Through</w:t>
      </w:r>
    </w:p>
    <w:p>
      <w:pPr>
        <w:spacing w:after="160"/>
      </w:pPr>
      <w:r>
        <w:t xml:space="preserve">The 27.4%/8.6% company-wide figures above already carry a caveat that special accounts drag them down. This section isolates the core-assortment (ex special-account) follow-through rate directly, on the same methodology as the company-wide cut: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2350"/>
        <w:gridCol w:w="2200"/>
        <w:gridCol w:w="22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8"/>
                <w:szCs w:val="18"/>
              </w:rPr>
              <w:t xml:space="preserve">Scope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Preordered combos</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Also reordered</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Reorder SEK as % of Preorder SEK</w:t>
            </w:r>
          </w:p>
        </w:tc>
      </w:tr>
      <w:tr>
        <w:tc>
          <w:tcPr>
            <w:tcW w:type="dxa" w:w="2600"/>
            <w:tcMar>
              <w:top w:type="dxa" w:w="60"/>
              <w:left w:type="dxa" w:w="100"/>
              <w:bottom w:type="dxa" w:w="60"/>
              <w:right w:type="dxa" w:w="100"/>
            </w:tcMar>
            <w:vAlign w:val="center"/>
          </w:tcPr>
          <w:p>
            <w:pPr>
              <w:jc w:val="left"/>
            </w:pPr>
            <w:r>
              <w:rPr>
                <w:b w:val="false"/>
                <w:bCs w:val="false"/>
                <w:color w:val="000000"/>
                <w:sz w:val="18"/>
                <w:szCs w:val="18"/>
              </w:rPr>
              <w:t xml:space="preserve">All Wholesale accounts</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10,550</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27.4%</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8.6%</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Core only (ex XXL/Zalando/China/Stadium)</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9,997</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12.4%</w:t>
            </w:r>
          </w:p>
        </w:tc>
      </w:tr>
    </w:tbl>
    <w:p>
      <w:pPr>
        <w:pBdr>
          <w:left w:val="single" w:color="3C8A4C" w:sz="18"/>
        </w:pBdr>
        <w:shd w:fill="EAF3EA" w:val="clear"/>
        <w:spacing w:after="120" w:before="100"/>
        <w:ind w:left="150" w:right="100"/>
      </w:pPr>
      <w:r>
        <w:rPr>
          <w:b/>
          <w:bCs/>
          <w:color w:val="1F5C2E"/>
        </w:rPr>
        <w:t xml:space="preserve">DATA SHOWS: </w:t>
      </w:r>
      <w:r>
        <w:t xml:space="preserve">Restricting to core accounts barely moves the count-based follow-through rate (27.4% → 28.4%) but meaningfully improves the SEK-conversion rate (8.6% → 12.4%). The interpretation: special accounts don't materially change how MANY styles get reordered somewhere, but they are disproportionately large Preorder placements with almost no Reorder on top — so they drag the SEK-weighted figure down much harder than the count-weighted one.</w:t>
      </w:r>
    </w:p>
    <w:p>
      <w:pPr>
        <w:pBdr>
          <w:left w:val="single" w:color="2E8FB5" w:sz="18"/>
        </w:pBdr>
        <w:shd w:fill="E3F1F7" w:val="clear"/>
        <w:spacing w:after="120" w:before="100"/>
        <w:ind w:left="150" w:right="100"/>
      </w:pPr>
      <w:r>
        <w:rPr>
          <w:b/>
          <w:bCs/>
          <w:color w:val="0F5C7A"/>
        </w:rPr>
        <w:t xml:space="preserve">2026 YTD ADDED: </w:t>
      </w:r>
      <w:r>
        <w:t xml:space="preserve">YTD2026 core-only: 29.6% of preordered combinations also reordered, and Reorder SEK is 14.3% of Preorder SEK for that cohort — both slightly ahead of FY2025's core-only 28.4%/12.4%, consistent with the company-wide improvement noted in 2.2.</w:t>
      </w:r>
    </w:p>
    <w:p>
      <w:pPr>
        <w:pStyle w:val="Heading2"/>
        <w:spacing w:after="120" w:before="240"/>
      </w:pPr>
      <w:r>
        <w:t xml:space="preserve">2.4 Q2 2026 Key Account Report</w:t>
      </w:r>
    </w:p>
    <w:p>
      <w:pPr>
        <w:spacing w:after="160"/>
      </w:pPr>
      <w:r>
        <w:rPr>
          <w:b/>
          <w:bCs/>
        </w:rPr>
        <w:t xml:space="preserve">Q2 2026 evidence: Two accounts, independently and unprompted, used nearly identical language: Intersport Finland and Scandinavian Outdoor Finland both said 'prices are almost everything.' This is a strong, repeated, ground-level signal about price sensitivity that should inform how the Astral GTX pricing question raised elsewhere in this note is discussed at the workshop.</w:t>
      </w:r>
    </w:p>
    <w:p>
      <w:pPr>
        <w:spacing w:after="160"/>
      </w:pPr>
      <w:r>
        <w:rPr>
          <w:b/>
          <w:bCs/>
        </w:rPr>
        <w:t xml:space="preserve">Q2 2026 evidence: Total Q2 2026 Wholesale sell-in was 87.3M SEK against a budget of 129.0M (-32.3% miss) and against Q2 2025 of 106.8M (-18.3% YoY). Top 30 accounts (89% of total sales) declined a milder -12%, meaning the long tail of smaller accounts is where the miss concentrates most sharply relative to its size.</w:t>
      </w:r>
    </w:p>
    <w:p>
      <w:pPr>
        <w:spacing w:after="160"/>
      </w:pPr>
      <w:r>
        <w:t xml:space="preserve">Additional account-level color from the report, for reference:</w:t>
      </w:r>
    </w:p>
    <w:p>
      <w:pPr>
        <w:pStyle w:val="ListParagraph"/>
        <w:numPr>
          <w:ilvl w:val="0"/>
          <w:numId w:val="2"/>
        </w:numPr>
        <w:spacing w:after="80"/>
      </w:pPr>
      <w:r>
        <w:t xml:space="preserve">Intersport Sweden remains the standout healthy account (sell-out +13%, invoiced +50.1%) but still shows margin down 2.2pt YoY (37.8%) — erosion is happening even at the healthiest relationship.</w:t>
      </w:r>
    </w:p>
    <w:p>
      <w:pPr>
        <w:pStyle w:val="ListParagraph"/>
        <w:numPr>
          <w:ilvl w:val="0"/>
          <w:numId w:val="2"/>
        </w:numPr>
        <w:spacing w:after="80"/>
      </w:pPr>
      <w:r>
        <w:t xml:space="preserve">John Lewis UK shows invoiced +62% but underlying sell-through -43%, explicitly described as 'old stock holding last year was driving sales' — a stocking effect, not demand.</w:t>
      </w:r>
    </w:p>
    <w:p>
      <w:pPr>
        <w:pStyle w:val="ListParagraph"/>
        <w:numPr>
          <w:ilvl w:val="0"/>
          <w:numId w:val="2"/>
        </w:numPr>
        <w:spacing w:after="80"/>
      </w:pPr>
      <w:r>
        <w:t xml:space="preserve">Scandinavian Outdoor Finland (invoiced -42%) cites concrete execution problems: 'missing a lot of important articles on re-orders,' 'totally out from the 2.5-layer business,' and 'unhealthy size range.'</w:t>
      </w:r>
    </w:p>
    <w:p>
      <w:pPr>
        <w:pBdr>
          <w:left w:val="single" w:color="3C8A4C" w:sz="18"/>
        </w:pBdr>
        <w:shd w:fill="EAF3EA" w:val="clear"/>
        <w:spacing w:after="120" w:before="100"/>
        <w:ind w:left="150" w:right="100"/>
      </w:pPr>
      <w:r>
        <w:rPr>
          <w:b/>
          <w:bCs/>
          <w:color w:val="1F5C2E"/>
        </w:rPr>
        <w:t xml:space="preserve">DATA SHOWS: </w:t>
      </w:r>
      <w:r>
        <w:t xml:space="preserve">Which products/accounts drive Reorder: Astral GTX Jacket (Men) is the single largest Reorder franchise company-wide (2.96M SEK). Intersport's 85% follow-through rate (Preorder that converts to a subsequent Reorder) is the best internal benchmark for what 'working' looks like; XXL, Zalando, China, RCT Japan and Stadium all show 1-4% follow-through and are structurally different accounts, not a fair comparison set.</w:t>
      </w:r>
    </w:p>
    <w:p>
      <w:r>
        <w:br w:type="page"/>
      </w:r>
    </w:p>
    <w:p>
      <w:pPr>
        <w:pStyle w:val="Heading1"/>
        <w:spacing w:after="160" w:before="320"/>
      </w:pPr>
      <w:r>
        <w:t xml:space="preserve">3. New Products: Profitable and Growing, but Low Reorder</w:t>
      </w:r>
    </w:p>
    <w:p>
      <w:pPr>
        <w:pStyle w:val="Heading2"/>
        <w:spacing w:after="120" w:before="240"/>
      </w:pPr>
      <w:r>
        <w:t xml:space="preserve">3.1 New Product: Reorder Conversion</w:t>
      </w:r>
    </w:p>
    <w:p>
      <w:pPr>
        <w:pBdr>
          <w:left w:val="single" w:color="3C8A4C" w:sz="18"/>
        </w:pBdr>
        <w:shd w:fill="EAF3EA" w:val="clear"/>
        <w:spacing w:after="120" w:before="100"/>
        <w:ind w:left="150" w:right="100"/>
      </w:pPr>
      <w:r>
        <w:rPr>
          <w:b/>
          <w:bCs/>
          <w:color w:val="1F5C2E"/>
        </w:rPr>
        <w:t xml:space="preserve">DATA SHOWS: </w:t>
      </w:r>
      <w:r>
        <w:t xml:space="preserve">New/Test: 123.9M SEK (19% of core 2025 sales). Only 13.0% get a Wholesale reorder company-wide; 30 of 197 launches (15%) are flagged on 2+ risk indicators (low margin at launch, no DTC presence, no reorder, no confirmed FW27 continuation).</w:t>
      </w:r>
    </w:p>
    <w:p>
      <w:pPr>
        <w:spacing w:after="160"/>
      </w:pPr>
      <w:r>
        <w:t xml:space="preserve">Team input needed, not derivable from sales data: the product brief needs to be tight from target market through to product story before development starts — per the 2026-07-28 session, missing pieces include a clear statement of the consumer, the activity, and the specific problem being solved (not just 'filling a portfolio gap'), plus basic technical decision-criteria (e.g. a warmth index for insulation, comparable to how Shell already states breathability/water column).</w:t>
      </w:r>
    </w:p>
    <w:p>
      <w:pPr>
        <w:pBdr>
          <w:left w:val="single" w:color="C97A1A" w:sz="18"/>
        </w:pBdr>
        <w:shd w:fill="FCEFDC" w:val="clear"/>
        <w:spacing w:after="120" w:before="100"/>
        <w:ind w:left="150" w:right="100"/>
      </w:pPr>
      <w:r>
        <w:rPr>
          <w:b/>
          <w:bCs/>
          <w:color w:val="8A4B00"/>
        </w:rPr>
        <w:t xml:space="preserve">NOT ANSWERABLE FROM DATA — ASK: </w:t>
      </w:r>
      <w:r>
        <w:t xml:space="preserve">What's missing from the SS27/FW27 assortment — this is a team/merchandising exercise, not a data pull.</w:t>
      </w:r>
    </w:p>
    <w:p>
      <w:pPr>
        <w:spacing w:after="160"/>
      </w:pPr>
      <w:r>
        <w:rPr>
          <w:b/>
          <w:bCs/>
        </w:rPr>
        <w:t xml:space="preserve">Headline: FW27 is already in sell-in — it cannot be changed. This note is deliberately forward-looking to SS28. Combining internal portfolio diagnostics with external market research, two categories emerge as 'double tailwind' bets where market growth and Haglöfs' own momentum both point the same direction — Accessories and Trail running shoes — and one, the L.I.M ultralight relaunch, shows a real tension between strong press reception and at least one wholesale account's direct negative feedback that should be resolved before further investment.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Metric</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New/Test franchises, 2025</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197, worth 123.9M SEK (19% of core sales)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reorder conversion, New/Test launches</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Launches flagged 2+ risk indicators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30 of 197 (15%), worth only 3.9M SEK combined</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Launches with no confirmed FW27 continuation plan already</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90 of 197 (corrected from an earlier 31 — see 1.3.5)</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FW27 price-realization gap, continuing styles (N=146)</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-24.2%</w:t>
            </w:r>
          </w:p>
        </w:tc>
      </w:tr>
    </w:tbl>
    <w:p>
      <w:pPr>
        <w:pStyle w:val="ListParagraph"/>
        <w:numPr>
          <w:ilvl w:val="0"/>
          <w:numId w:val="2"/>
        </w:numPr>
        <w:spacing w:after="80"/>
      </w:pPr>
      <w:r>
        <w:t xml:space="preserve">New/Test franchises are already 19% of core 2025 sales (123.9M SEK) — innovation is not a marginal contributor — but quality signals are weak: 13.0% Wholesale reorder conversion, 30 of 197 launches (15%) flagged on 2+ risk indicators (that count needs re-scoring against the corrected FW27 flag, see 1.3.5), and 90 with no confirmed FW27 continuation already.</w:t>
      </w:r>
    </w:p>
    <w:p>
      <w:pPr>
        <w:pStyle w:val="ListParagraph"/>
        <w:numPr>
          <w:ilvl w:val="0"/>
          <w:numId w:val="2"/>
        </w:numPr>
        <w:spacing w:after="80"/>
      </w:pPr>
      <w:r>
        <w:t xml:space="preserve">The innovation cycle does not fix the pricing/margin problem on its own: the FW27 target-margin price-realization gap is almost identical for continuing styles (-24.2%) and genuinely new FW27 styles (-23.2%).</w:t>
      </w:r>
    </w:p>
    <w:p>
      <w:pPr>
        <w:pStyle w:val="Heading2"/>
        <w:spacing w:after="120" w:before="240"/>
      </w:pPr>
      <w:r>
        <w:t xml:space="preserve">3.2 SS28 Product Priorities from the Internal Data</w:t>
      </w:r>
    </w:p>
    <w:p>
      <w:pPr>
        <w:pStyle w:val="Heading3"/>
        <w:spacing w:after="100" w:before="200"/>
      </w:pPr>
      <w:r>
        <w:t xml:space="preserve">3.2.1 Apparel</w:t>
      </w:r>
    </w:p>
    <w:p>
      <w:pPr>
        <w:spacing w:after="160"/>
      </w:pPr>
      <w:r>
        <w:rPr>
          <w:b/>
          <w:bCs/>
        </w:rPr>
        <w:t xml:space="preserve">Shell — not a gap, but the highest-stakes category by scale</w:t>
      </w:r>
    </w:p>
    <w:p>
      <w:pPr>
        <w:spacing w:after="160"/>
      </w:pPr>
      <w:r>
        <w:t xml:space="preserve">Shell is simultaneously the largest chunk of the Harvest decline, the largest and weakest-margin Problem Child layer, the largest layer on the FW27 exit list, and already the largest New/Test category. The SS28 question is not whether Shell gets new product — it already does — but whether what launches actually fixes the margin problem (Topic 2's core finding) rather than replacing volume at the same weak economics.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700"/>
        <w:gridCol w:w="5650"/>
      </w:tblGrid>
      <w:tr>
        <w:trPr>
          <w:tblHeader/>
        </w:trPr>
        <w:tc>
          <w:tcPr>
            <w:tcW w:type="dxa" w:w="3000"/>
            <w:shd w:fill="2F2F2F" w:val="clear"/>
            <w:tcMar>
              <w:top w:type="dxa" w:w="60"/>
              <w:left w:type="dxa" w:w="100"/>
              <w:bottom w:type="dxa" w:w="60"/>
              <w:right w:type="dxa" w:w="100"/>
            </w:tcMar>
            <w:vAlign w:val="center"/>
          </w:tcPr>
          <w:p>
            <w:pPr>
              <w:jc w:val="left"/>
            </w:pPr>
            <w:r>
              <w:rPr>
                <w:b/>
                <w:bCs/>
                <w:color w:val="FFFFFF"/>
                <w:sz w:val="18"/>
                <w:szCs w:val="18"/>
              </w:rPr>
              <w:t xml:space="preserve">Shell in each diagnostic view</w:t>
            </w:r>
          </w:p>
        </w:tc>
        <w:tc>
          <w:tcPr>
            <w:tcW w:type="dxa" w:w="700"/>
            <w:shd w:fill="2F2F2F" w:val="clear"/>
            <w:tcMar>
              <w:top w:type="dxa" w:w="60"/>
              <w:left w:type="dxa" w:w="100"/>
              <w:bottom w:type="dxa" w:w="60"/>
              <w:right w:type="dxa" w:w="100"/>
            </w:tcMar>
            <w:vAlign w:val="center"/>
          </w:tcPr>
          <w:p>
            <w:pPr>
              <w:jc w:val="center"/>
            </w:pPr>
            <w:r>
              <w:rPr>
                <w:b/>
                <w:bCs/>
                <w:color w:val="FFFFFF"/>
                <w:sz w:val="18"/>
                <w:szCs w:val="18"/>
              </w:rPr>
              <w:t xml:space="preserve">N</w:t>
            </w:r>
          </w:p>
        </w:tc>
        <w:tc>
          <w:tcPr>
            <w:tcW w:type="dxa" w:w="565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Harvest tier</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43</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37.6M (down from 67.8M, -30.2M)</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Problem Child tier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51.2M (26.9% GM — the weakest of any major layer)</w:t>
            </w:r>
          </w:p>
        </w:tc>
      </w:tr>
      <w:tr>
        <w:tc>
          <w:tcPr>
            <w:tcW w:type="dxa" w:w="3000"/>
            <w:tcMar>
              <w:top w:type="dxa" w:w="60"/>
              <w:left w:type="dxa" w:w="100"/>
              <w:bottom w:type="dxa" w:w="60"/>
              <w:right w:type="dxa" w:w="100"/>
            </w:tcMar>
            <w:vAlign w:val="center"/>
          </w:tcPr>
          <w:p>
            <w:pPr>
              <w:jc w:val="left"/>
            </w:pPr>
            <w:r>
              <w:rPr>
                <w:b w:val="false"/>
                <w:bCs w:val="false"/>
                <w:color w:val="000000"/>
                <w:sz w:val="18"/>
                <w:szCs w:val="18"/>
              </w:rPr>
              <w:t xml:space="preserve">FW27 exit list (corrected — see 1.4)</w:t>
            </w:r>
          </w:p>
        </w:tc>
        <w:tc>
          <w:tcPr>
            <w:tcW w:type="dxa" w:w="7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5650"/>
            <w:tcMar>
              <w:top w:type="dxa" w:w="60"/>
              <w:left w:type="dxa" w:w="100"/>
              <w:bottom w:type="dxa" w:w="60"/>
              <w:right w:type="dxa" w:w="100"/>
            </w:tcMar>
            <w:vAlign w:val="center"/>
          </w:tcPr>
          <w:p>
            <w:pPr>
              <w:jc w:val="center"/>
            </w:pPr>
            <w:r>
              <w:rPr>
                <w:b w:val="false"/>
                <w:bCs w:val="false"/>
                <w:color w:val="000000"/>
                <w:sz w:val="18"/>
                <w:szCs w:val="18"/>
              </w:rPr>
              <w:t xml:space="preserve">82.9M — by far the largest layer on this list</w:t>
            </w:r>
          </w:p>
        </w:tc>
      </w:tr>
      <w:tr>
        <w:tc>
          <w:tcPr>
            <w:tcW w:type="dxa" w:w="30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New/Test (current pipeline)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5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39.1M — already the largest New/Test layer</w:t>
            </w:r>
          </w:p>
        </w:tc>
      </w:tr>
    </w:tbl>
    <w:p>
      <w:pPr>
        <w:pStyle w:val="ListParagraph"/>
        <w:numPr>
          <w:ilvl w:val="0"/>
          <w:numId w:val="2"/>
        </w:numPr>
        <w:spacing w:after="80"/>
      </w:pPr>
      <w:r>
        <w:t xml:space="preserve">The L.I.M ultralight relaunch is well-received in outdoor press (positioned favorably against Arc'teryx, in a 5.3-6.5% CAGR category) — but the same line drew explicit negative feedback from a wholesale account in the Q2 2026 KA report. This needs resolving, not assuming, before further SS28 commitment.</w:t>
      </w:r>
    </w:p>
    <w:p>
      <w:pPr>
        <w:pStyle w:val="Heading3"/>
        <w:spacing w:after="100" w:before="200"/>
      </w:pPr>
      <w:r>
        <w:t xml:space="preserve">3.2.2 Footwear</w:t>
      </w:r>
    </w:p>
    <w:p>
      <w:pPr>
        <w:spacing w:after="160"/>
      </w:pPr>
      <w:r>
        <w:t xml:space="preserve">Footwear is the sharpest internal gap: Trail running shoes -51.8% YoY, Hiking shoes -8.0%, and only 3% of New/Test launches are footwear — yet trail running is externally the fastest-growing footwear segment researched (7.2% CAGR). The market wants this category; Haglöfs' pipeline has largely ignored it.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2000"/>
        <w:gridCol w:w="4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Sales 2025</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Growth% vs 2024</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Trail running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1.4M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-51.8%</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30.2M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Casual shoes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1.1M</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-15.7%</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+17.1% (boosted by 4 New/Test launches)</w:t>
            </w:r>
          </w:p>
        </w:tc>
      </w:tr>
    </w:tbl>
    <w:p>
      <w:pPr>
        <w:pStyle w:val="Heading3"/>
        <w:spacing w:after="100" w:before="200"/>
      </w:pPr>
      <w:r>
        <w:t xml:space="preserve">3.2.3 Accessories: Well-Growing, but Assortment Reads as Outdated</w:t>
      </w:r>
    </w:p>
    <w:p>
      <w:pPr>
        <w:pBdr>
          <w:left w:val="single" w:color="3C8A4C" w:sz="18"/>
        </w:pBdr>
        <w:shd w:fill="EAF3EA" w:val="clear"/>
        <w:spacing w:after="120" w:before="100"/>
        <w:ind w:left="150" w:right="100"/>
      </w:pPr>
      <w:r>
        <w:rPr>
          <w:b/>
          <w:bCs/>
          <w:color w:val="1F5C2E"/>
        </w:rPr>
        <w:t xml:space="preserve">DATA SHOWS: </w:t>
      </w:r>
      <w:r>
        <w:t xml:space="preserve">Accessories: 13.9M SEK (2025), +38.2% YoY, 54.0% GM vs. 46.6% core company average. New/Test alone is nearly a third of 2025 Accessories sales, and the 'Tight' branded sub-line is a genuine, working brand-extension pattern.</w:t>
      </w:r>
    </w:p>
    <w:p>
      <w:pPr>
        <w:pBdr>
          <w:left w:val="single" w:color="C97A1A" w:sz="18"/>
        </w:pBdr>
        <w:shd w:fill="FCEFDC" w:val="clear"/>
        <w:spacing w:after="120" w:before="100"/>
        <w:ind w:left="150" w:right="100"/>
      </w:pPr>
      <w:r>
        <w:rPr>
          <w:b/>
          <w:bCs/>
          <w:color w:val="8A4B00"/>
        </w:rPr>
        <w:t xml:space="preserve">NOT ANSWERABLE FROM DATA — ASK: </w:t>
      </w:r>
      <w:r>
        <w:t xml:space="preserve">'Outdated design' is a product/brand judgment, not something the sales data can confirm or deny — it comes from the CEO's own portfolio review (caps/beanies flagged specifically, old-logo stock still in the range) at the 2026-07-28 working session, not from analysis. Cite it as that, so the workshop doesn't look for data that doesn't exist to support it.</w:t>
      </w:r>
    </w:p>
    <w:p>
      <w:pPr>
        <w:pStyle w:val="ListParagraph"/>
        <w:numPr>
          <w:ilvl w:val="0"/>
          <w:numId w:val="2"/>
        </w:numPr>
        <w:spacing w:after="80"/>
      </w:pPr>
      <w:r>
        <w:t xml:space="preserve">Decision already made (2026-07-28): stop purchasing legacy/old-logo accessory stock; review the full portfolio for a design refresh.</w:t>
      </w:r>
    </w:p>
    <w:p>
      <w:pPr>
        <w:pStyle w:val="ListParagraph"/>
        <w:numPr>
          <w:ilvl w:val="0"/>
          <w:numId w:val="2"/>
        </w:numPr>
        <w:spacing w:after="80"/>
      </w:pPr>
      <w:r>
        <w:t xml:space="preserve">Accessories is the clearest 'double tailwind' opportunity: externally the fastest-growing category researched (accessories 6.9% CAGR, hip packs specifically 7.2% CAGR, thermal gloves +21% demand), and internally already Haglöfs' best growth+margin combination (+38.2%, 54.0% GM) with a proven brand-extension formula already working.</w:t>
      </w:r>
    </w:p>
    <w:p>
      <w:r>
        <w:br w:type="page"/>
      </w:r>
    </w:p>
    <w:p>
      <w:pPr>
        <w:pStyle w:val="Heading1"/>
        <w:spacing w:after="160" w:before="320"/>
      </w:pPr>
      <w:r>
        <w:t xml:space="preserve">4. Full Price Recovery: Sell More at Full Price, Discount Less</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Full-price recovery is real but small — roughly 16M SEK/year of genuine, mix-adjusted price erosion across Wholesale, Retail and E-com combined, against a ~330M SEK total GM bridge. It is necessary hygiene, not the primary lever.</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The larger, -14.5pt Wholesale gap to FW27 target margin is overwhelmingly a pricing/RRP-realization question, not a cost question — but whether that gap is a discipline failure or an unrealistic planning assumption cannot be settled from this data alone.</w:t>
      </w:r>
    </w:p>
    <w:p>
      <w:pPr>
        <w:pStyle w:val="ListParagraph"/>
        <w:numPr>
          <w:ilvl w:val="0"/>
          <w:numId w:val="2"/>
        </w:numPr>
        <w:spacing w:after="80"/>
      </w:pPr>
      <w:r>
        <w:t xml:space="preserve">Consolidated, mix-adjusted, genuine price-erosion opportunity across all three channels: roughly -16M SEK/year — real, but small next to the ~330M SEK total bridge.</w:t>
      </w:r>
    </w:p>
    <w:p>
      <w:pPr>
        <w:pStyle w:val="ListParagraph"/>
        <w:numPr>
          <w:ilvl w:val="0"/>
          <w:numId w:val="2"/>
        </w:numPr>
        <w:spacing w:after="80"/>
      </w:pPr>
      <w:r>
        <w:t xml:space="preserve">The FW27 target-margin gap (Wholesale, correct like-for-like basis: 44.5% actual vs. 59.0% target GM0%, a -14.5pt gap) is overwhelmingly a price-realization story (-24.2% vs. target WP) and essentially not a cost story (-0.3% cost overrun, i.e. costs are on-target). Two named exceptions — Legwear and Sleeping Bags — do have real cost overruns (+15.4% / +11.9%) and need a different, cost-focused conversation.</w:t>
      </w:r>
    </w:p>
    <w:p>
      <w:pPr>
        <w:spacing w:after="160"/>
      </w:pPr>
      <w:r>
        <w:t xml:space="preserve">End-of-life markdown policy (decision, 2026-07-28): no inventory buffer will be held for styles nearing end-of-life starting with the 2028 collection — pre-order only for those styles. Marcus is drafting the wholesale phase-out policy, including how exchange stock is handled between close-out and outlet.</w:t>
      </w:r>
    </w:p>
    <w:p>
      <w:pPr>
        <w:pStyle w:val="Heading2"/>
        <w:spacing w:after="120" w:before="240"/>
      </w:pPr>
      <w:r>
        <w:t xml:space="preserve">4.1 Channel-Level Margin and ASP Trend</w:t>
      </w:r>
    </w:p>
    <w:p>
      <w:pPr>
        <w:pStyle w:val="Heading3"/>
        <w:spacing w:after="100" w:before="200"/>
      </w:pPr>
      <w:r>
        <w:t xml:space="preserve">4.1.1 Retail vs. Wholesale Margin Level (verifies a claim raised in review)</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000"/>
        <w:gridCol w:w="300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2024 GM%</w:t>
            </w:r>
          </w:p>
        </w:tc>
        <w:tc>
          <w:tcPr>
            <w:tcW w:type="dxa" w:w="3000"/>
            <w:shd w:fill="2F2F2F" w:val="clear"/>
            <w:tcMar>
              <w:top w:type="dxa" w:w="60"/>
              <w:left w:type="dxa" w:w="100"/>
              <w:bottom w:type="dxa" w:w="60"/>
              <w:right w:type="dxa" w:w="100"/>
            </w:tcMar>
            <w:vAlign w:val="center"/>
          </w:tcPr>
          <w:p>
            <w:pPr>
              <w:jc w:val="center"/>
            </w:pPr>
            <w:r>
              <w:rPr>
                <w:b/>
                <w:bCs/>
                <w:color w:val="FFFFFF"/>
                <w:sz w:val="18"/>
                <w:szCs w:val="18"/>
              </w:rPr>
              <w:t xml:space="preserve">2025 GM%</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Retail (DTC)</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52.9%</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49.0%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(incl. closeout)</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42.3%</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41.2%</w:t>
            </w:r>
          </w:p>
        </w:tc>
        <w:tc>
          <w:tcPr>
            <w:tcW w:type="dxa" w:w="3000"/>
            <w:tcMar>
              <w:top w:type="dxa" w:w="60"/>
              <w:left w:type="dxa" w:w="100"/>
              <w:bottom w:type="dxa" w:w="60"/>
              <w:right w:type="dxa" w:w="100"/>
            </w:tcMar>
            <w:vAlign w:val="center"/>
          </w:tcPr>
          <w:p>
            <w:pPr>
              <w:jc w:val="center"/>
            </w:pPr>
            <w:r>
              <w:rPr>
                <w:b w:val="false"/>
                <w:bCs w:val="false"/>
                <w:color w:val="000000"/>
                <w:sz w:val="18"/>
                <w:szCs w:val="18"/>
              </w:rPr>
              <w:t xml:space="preserve">44.6%</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64.4%</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61.2%</w:t>
            </w:r>
          </w:p>
        </w:tc>
      </w:tr>
    </w:tbl>
    <w:p>
      <w:pPr>
        <w:pStyle w:val="ListParagraph"/>
        <w:numPr>
          <w:ilvl w:val="0"/>
          <w:numId w:val="2"/>
        </w:numPr>
        <w:spacing w:after="80"/>
      </w:pPr>
      <w:r>
        <w:t xml:space="preserve">Own Retail margin is confirmed higher than Wholesale margin in both years (52.9%/49.0% vs. 41.2%/44.6% excl. closeout) — but the gap is narrowing fast (11.7pts → 4.4pts), and Wholesale-ex-closeout margin is actually improving while Retail's own margin erodes.</w:t>
      </w:r>
    </w:p>
    <w:p>
      <w:pPr>
        <w:pStyle w:val="ListParagraph"/>
        <w:numPr>
          <w:ilvl w:val="0"/>
          <w:numId w:val="2"/>
        </w:numPr>
        <w:spacing w:after="80"/>
      </w:pPr>
      <w:r>
        <w:t xml:space="preserve">Wholesale has a broad-based price-realization problem: like-for-like ASP -4.7% (continuing franchises), on top of a -10.5% unit decline. Not concentrated in a few accounts — broad and moderate everywhere, with two named outliers (RCT Systems Japan, Stadium, both -19% ASP).</w:t>
      </w:r>
    </w:p>
    <w:p>
      <w:pPr>
        <w:pStyle w:val="Heading3"/>
        <w:spacing w:after="100" w:before="200"/>
      </w:pPr>
      <w:r>
        <w:t xml:space="preserve">4.1.2 ASP Trend, Continuing Franchises (like-for-like, core accounts)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300"/>
        <w:gridCol w:w="2000"/>
        <w:gridCol w:w="28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8"/>
                <w:szCs w:val="18"/>
              </w:rPr>
              <w:t xml:space="preserve">Channel</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Sales chg</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ASP chg (as first reported)</w:t>
            </w:r>
          </w:p>
        </w:tc>
        <w:tc>
          <w:tcPr>
            <w:tcW w:type="dxa" w:w="2850"/>
            <w:shd w:fill="2F2F2F" w:val="clear"/>
            <w:tcMar>
              <w:top w:type="dxa" w:w="60"/>
              <w:left w:type="dxa" w:w="100"/>
              <w:bottom w:type="dxa" w:w="60"/>
              <w:right w:type="dxa" w:w="100"/>
            </w:tcMar>
            <w:vAlign w:val="center"/>
          </w:tcPr>
          <w:p>
            <w:pPr>
              <w:jc w:val="center"/>
            </w:pPr>
            <w:r>
              <w:rPr>
                <w:b/>
                <w:bCs/>
                <w:color w:val="FFFFFF"/>
                <w:sz w:val="18"/>
                <w:szCs w:val="18"/>
              </w:rPr>
              <w:t xml:space="preserve">ASP chg (corrected for mix)</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Wholesale (excl. closeout)</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-14.7%</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-4.7%</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-2.9% (rate only; -1.8pt is mix)</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Retail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28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 (rate only; mix added +7.1pt on top)</w:t>
            </w:r>
          </w:p>
        </w:tc>
      </w:tr>
      <w:tr>
        <w:tc>
          <w:tcPr>
            <w:tcW w:type="dxa" w:w="1900"/>
            <w:tcMar>
              <w:top w:type="dxa" w:w="60"/>
              <w:left w:type="dxa" w:w="100"/>
              <w:bottom w:type="dxa" w:w="60"/>
              <w:right w:type="dxa" w:w="100"/>
            </w:tcMar>
            <w:vAlign w:val="center"/>
          </w:tcPr>
          <w:p>
            <w:pPr>
              <w:jc w:val="left"/>
            </w:pPr>
            <w:r>
              <w:rPr>
                <w:b w:val="false"/>
                <w:bCs w:val="false"/>
                <w:color w:val="000000"/>
                <w:sz w:val="18"/>
                <w:szCs w:val="18"/>
              </w:rPr>
              <w:t xml:space="preserve">E-com</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+61.8%</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+58.2%</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2850"/>
            <w:tcMar>
              <w:top w:type="dxa" w:w="60"/>
              <w:left w:type="dxa" w:w="100"/>
              <w:bottom w:type="dxa" w:w="60"/>
              <w:right w:type="dxa" w:w="100"/>
            </w:tcMar>
            <w:vAlign w:val="center"/>
          </w:tcPr>
          <w:p>
            <w:pPr>
              <w:jc w:val="center"/>
            </w:pPr>
            <w:r>
              <w:rPr>
                <w:b w:val="false"/>
                <w:bCs w:val="false"/>
                <w:color w:val="000000"/>
                <w:sz w:val="18"/>
                <w:szCs w:val="18"/>
              </w:rPr>
              <w:t xml:space="preserve">not decomposed — see Section 2, different mechanism</w:t>
            </w:r>
          </w:p>
        </w:tc>
      </w:tr>
    </w:tbl>
    <w:p>
      <w:pPr>
        <w:pStyle w:val="ListParagraph"/>
        <w:numPr>
          <w:ilvl w:val="0"/>
          <w:numId w:val="2"/>
        </w:numPr>
        <w:spacing w:after="80"/>
      </w:pPr>
      <w:r>
        <w:t xml:space="preserve">Retail's +3.0% improvement is a mix-shift result (more Shell sold, which prices ~2x the Retail average). The same-product Retail pricing is actually down -3.1%, matching Wholesale's problem, not offsetting it.</w:t>
      </w:r>
    </w:p>
    <w:p>
      <w:pPr>
        <w:pStyle w:val="Heading2"/>
        <w:spacing w:after="120" w:before="240"/>
      </w:pPr>
      <w:r>
        <w:t xml:space="preserve">4.2 E-com: A Specific, Dateable Pattern, Not Broad Drift</w:t>
      </w:r>
    </w:p>
    <w:p>
      <w:pPr>
        <w:spacing w:after="160"/>
      </w:pPr>
      <w:r>
        <w:t xml:space="preserve">Using the dedicated monthly discount file (the only channel with true RRP-vs.-actual data), a clear seasonal structure emerges: Feb/Mar/Jun/Jul/Dec are genuine sale-season months (33-38% discount) and that pattern is stable-to-improving year over year — not the problem.</w:t>
      </w:r>
    </w:p>
    <w:p>
      <w:pPr>
        <w:spacing w:after="160"/>
      </w:pPr>
      <w:r>
        <w:t xml:space="preserve">Jan, Apr and May — previously close to full-price months — show a structural discount-rate increase starting in 2025 that has NOT reverted in 2026 YTD: Jan 7.7%→17.2%→20.2% (still rising); Apr 6.9%→34.1%→29.2%; May 19.7%→31.3%→27.3%. Sized opportunity if these months reverted to their 2024 discount level: ~2.9M SEK (Jan/Sep/Oct/Nov, 2025 alone) + ~2.4M SEK (April, 2025 alone) ≈ 5.3M SEK/year, a floor estimate.</w:t>
      </w:r>
    </w:p>
    <w:p>
      <w:pPr>
        <w:spacing w:after="160"/>
      </w:pPr>
      <w:r>
        <w:t xml:space="preserve">This coincides with a finding from the financial-data review: E-commerce/Internet marketing spend nearly tripled YTD 2026 vs. YTD 2025 (2.44M → 6.81M SEK) while E-com sales fell 15% over the same window. Together, these suggest E-com's growth has been increasingly bought with both higher spend and deeper, more persistent discounting since 2025, not organic full-price demand — a real tension with treating E-com as the unambiguously 'healthy' channel in the Topic 1 bridge.</w:t>
      </w:r>
    </w:p>
    <w:p>
      <w:pPr>
        <w:pStyle w:val="Heading2"/>
        <w:spacing w:after="120" w:before="240"/>
      </w:pPr>
      <w:r>
        <w:t xml:space="preserve">4.3 Wholesale: Broad Erosion, Two Account Outliers, Reorder Worse Than Preorder</w:t>
      </w:r>
    </w:p>
    <w:p>
      <w:pPr>
        <w:pStyle w:val="Heading3"/>
        <w:spacing w:after="100" w:before="200"/>
      </w:pPr>
      <w:r>
        <w:t xml:space="preserve">4.3.1 By Account — Not Concentrated</w:t>
      </w:r>
    </w:p>
    <w:p>
      <w:pPr>
        <w:spacing w:after="160"/>
      </w:pPr>
      <w:r>
        <w:t xml:space="preserve">Most large accounts show modest ASP moves either direction (Intersport -3%, Eventyr +3%, Outnorth -6%, Mega Sport +2%, SGN +4%, Scandinavian Outdoor -1%) — no single account explains the -4.7% overall decline.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4650"/>
      </w:tblGrid>
      <w:tr>
        <w:trPr>
          <w:tblHeader/>
        </w:trPr>
        <w:tc>
          <w:tcPr>
            <w:tcW w:type="dxa" w:w="2100"/>
            <w:shd w:fill="2F2F2F" w:val="clear"/>
            <w:tcMar>
              <w:top w:type="dxa" w:w="60"/>
              <w:left w:type="dxa" w:w="100"/>
              <w:bottom w:type="dxa" w:w="60"/>
              <w:right w:type="dxa" w:w="100"/>
            </w:tcMar>
            <w:vAlign w:val="center"/>
          </w:tcPr>
          <w:p>
            <w:pPr>
              <w:jc w:val="left"/>
            </w:pPr>
            <w:r>
              <w:rPr>
                <w:b/>
                <w:bCs/>
                <w:color w:val="FFFFFF"/>
                <w:sz w:val="18"/>
                <w:szCs w:val="18"/>
              </w:rPr>
              <w:t xml:space="preserve">Account</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130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c>
          <w:tcPr>
            <w:tcW w:type="dxa" w:w="4650"/>
            <w:shd w:fill="2F2F2F" w:val="clear"/>
            <w:tcMar>
              <w:top w:type="dxa" w:w="60"/>
              <w:left w:type="dxa" w:w="100"/>
              <w:bottom w:type="dxa" w:w="60"/>
              <w:right w:type="dxa" w:w="100"/>
            </w:tcMar>
            <w:vAlign w:val="center"/>
          </w:tcPr>
          <w:p>
            <w:pPr>
              <w:jc w:val="center"/>
            </w:pPr>
            <w:r>
              <w:rPr>
                <w:b/>
                <w:bCs/>
                <w:color w:val="FFFFFF"/>
                <w:sz w:val="18"/>
                <w:szCs w:val="18"/>
              </w:rPr>
              <w:t xml:space="preserve">Note</w:t>
            </w:r>
          </w:p>
        </w:tc>
      </w:tr>
      <w:tr>
        <w:tc>
          <w:tcPr>
            <w:tcW w:type="dxa" w:w="2100"/>
            <w:tcMar>
              <w:top w:type="dxa" w:w="60"/>
              <w:left w:type="dxa" w:w="100"/>
              <w:bottom w:type="dxa" w:w="60"/>
              <w:right w:type="dxa" w:w="100"/>
            </w:tcMar>
            <w:vAlign w:val="center"/>
          </w:tcPr>
          <w:p>
            <w:pPr>
              <w:jc w:val="left"/>
            </w:pPr>
            <w:r>
              <w:rPr>
                <w:b w:val="false"/>
                <w:bCs w:val="false"/>
                <w:color w:val="000000"/>
                <w:sz w:val="18"/>
                <w:szCs w:val="18"/>
              </w:rPr>
              <w:t xml:space="preserve">RCT Systems Japan</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tcMar>
              <w:top w:type="dxa" w:w="60"/>
              <w:left w:type="dxa" w:w="100"/>
              <w:bottom w:type="dxa" w:w="60"/>
              <w:right w:type="dxa" w:w="100"/>
            </w:tcMar>
            <w:vAlign w:val="center"/>
          </w:tcPr>
          <w:p>
            <w:pPr>
              <w:jc w:val="center"/>
            </w:pPr>
            <w:r>
              <w:rPr>
                <w:b w:val="false"/>
                <w:bCs w:val="false"/>
                <w:color w:val="000000"/>
                <w:sz w:val="18"/>
                <w:szCs w:val="18"/>
              </w:rPr>
              <w:t xml:space="preserve">+45%</w:t>
            </w:r>
          </w:p>
        </w:tc>
        <w:tc>
          <w:tcPr>
            <w:tcW w:type="dxa" w:w="4650"/>
            <w:tcMar>
              <w:top w:type="dxa" w:w="60"/>
              <w:left w:type="dxa" w:w="100"/>
              <w:bottom w:type="dxa" w:w="60"/>
              <w:right w:type="dxa" w:w="100"/>
            </w:tcMar>
            <w:vAlign w:val="center"/>
          </w:tcPr>
          <w:p>
            <w:pPr>
              <w:jc w:val="center"/>
            </w:pPr>
            <w:r>
              <w:rPr>
                <w:b w:val="false"/>
                <w:bCs w:val="false"/>
                <w:color w:val="000000"/>
                <w:sz w:val="18"/>
                <w:szCs w:val="18"/>
              </w:rPr>
              <w:t xml:space="preserve">Large price-for-volume trade — possible deliberate market push, or JPY/SEK effect</w:t>
            </w:r>
          </w:p>
        </w:tc>
      </w:tr>
      <w:tr>
        <w:tc>
          <w:tcPr>
            <w:tcW w:type="dxa" w:w="21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Stadium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4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pattern, unexplained</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Are the RCT Systems Japan and Stadium price/volume trades deliberate strategy (e.g. a market-entry push) or drift that needs reining in? For RCT Japan specifically — could this be a JPY/SEK currency effect on the sales side, mirroring the USD/COGS point already raised, rather than discounting? Owner: Wholesale Director.</w:t>
      </w:r>
    </w:p>
    <w:p>
      <w:pPr>
        <w:pStyle w:val="Heading3"/>
        <w:spacing w:after="100" w:before="200"/>
      </w:pPr>
      <w:r>
        <w:t xml:space="preserve">4.3.2 By Ordertype — Reorder Is Worse on Both Price and Volume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Ordertype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Preorder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Reorder</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Closeout (excluded from this lever)</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-19.2%</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-12%</w:t>
            </w:r>
          </w:p>
        </w:tc>
      </w:tr>
    </w:tbl>
    <w:p>
      <w:pPr>
        <w:pStyle w:val="Heading3"/>
        <w:spacing w:after="100" w:before="200"/>
      </w:pPr>
      <w:r>
        <w:t xml:space="preserve">4.3.3 By Layer — Tops and Legwear Are a Double Problem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550"/>
        <w:gridCol w:w="2900"/>
        <w:gridCol w:w="2900"/>
      </w:tblGrid>
      <w:tr>
        <w:trPr>
          <w:tblHeader/>
        </w:trPr>
        <w:tc>
          <w:tcPr>
            <w:tcW w:type="dxa" w:w="35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ASP chg %</w:t>
            </w:r>
          </w:p>
        </w:tc>
        <w:tc>
          <w:tcPr>
            <w:tcW w:type="dxa" w:w="2900"/>
            <w:shd w:fill="2F2F2F" w:val="clear"/>
            <w:tcMar>
              <w:top w:type="dxa" w:w="60"/>
              <w:left w:type="dxa" w:w="100"/>
              <w:bottom w:type="dxa" w:w="60"/>
              <w:right w:type="dxa" w:w="100"/>
            </w:tcMar>
            <w:vAlign w:val="center"/>
          </w:tcPr>
          <w:p>
            <w:pPr>
              <w:jc w:val="center"/>
            </w:pPr>
            <w:r>
              <w:rPr>
                <w:b/>
                <w:bCs/>
                <w:color w:val="FFFFFF"/>
                <w:sz w:val="18"/>
                <w:szCs w:val="18"/>
              </w:rPr>
              <w:t xml:space="preserve">Reorder revenue chg % (from Topic 1)</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-15%</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-67.7%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Soft shell</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-10.6%</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-9%</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-55.7%</w:t>
            </w:r>
          </w:p>
        </w:tc>
      </w:tr>
      <w:tr>
        <w:tc>
          <w:tcPr>
            <w:tcW w:type="dxa" w:w="35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Mid layer</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w:t>
            </w:r>
          </w:p>
        </w:tc>
        <w:tc>
          <w:tcPr>
            <w:tcW w:type="dxa" w:w="2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+0.7%</w:t>
            </w:r>
          </w:p>
        </w:tc>
      </w:tr>
      <w:tr>
        <w:tc>
          <w:tcPr>
            <w:tcW w:type="dxa" w:w="3550"/>
            <w:tcMar>
              <w:top w:type="dxa" w:w="60"/>
              <w:left w:type="dxa" w:w="100"/>
              <w:bottom w:type="dxa" w:w="60"/>
              <w:right w:type="dxa" w:w="100"/>
            </w:tcMar>
            <w:vAlign w:val="center"/>
          </w:tcPr>
          <w:p>
            <w:pPr>
              <w:jc w:val="left"/>
            </w:pPr>
            <w:r>
              <w:rPr>
                <w:b w:val="false"/>
                <w:bCs w:val="false"/>
                <w:color w:val="000000"/>
                <w:sz w:val="18"/>
                <w:szCs w:val="18"/>
              </w:rPr>
              <w:t xml:space="preserve">Shell / Insulation / Bags / Daypacks</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-1% to -3%</w:t>
            </w:r>
          </w:p>
        </w:tc>
        <w:tc>
          <w:tcPr>
            <w:tcW w:type="dxa" w:w="2900"/>
            <w:tcMar>
              <w:top w:type="dxa" w:w="60"/>
              <w:left w:type="dxa" w:w="100"/>
              <w:bottom w:type="dxa" w:w="60"/>
              <w:right w:type="dxa" w:w="100"/>
            </w:tcMar>
            <w:vAlign w:val="center"/>
          </w:tcPr>
          <w:p>
            <w:pPr>
              <w:jc w:val="center"/>
            </w:pPr>
            <w:r>
              <w:rPr>
                <w:b w:val="false"/>
                <w:bCs w:val="false"/>
                <w:color w:val="000000"/>
                <w:sz w:val="18"/>
                <w:szCs w:val="18"/>
              </w:rPr>
              <w:t xml:space="preserve">mixed</w:t>
            </w:r>
          </w:p>
        </w:tc>
      </w:tr>
    </w:tbl>
    <w:p>
      <w:pPr>
        <w:spacing w:after="160"/>
      </w:pPr>
      <w:r>
        <w:t xml:space="preserve">Tops and Legwear show both volume and price eroding at once — a stronger signal than either fact alone, and consistent with Topic 1. This usually means the product itself is losing competitive/pricing power, not just an execution issue.</w:t>
      </w:r>
    </w:p>
    <w:p>
      <w:pPr>
        <w:pStyle w:val="Heading2"/>
        <w:spacing w:after="120" w:before="240"/>
      </w:pPr>
      <w:r>
        <w:t xml:space="preserve">4.4 Retail: Same Underlying Problem as Wholesale, Once Mix Is Corrected</w:t>
      </w:r>
    </w:p>
    <w:p>
      <w:pPr>
        <w:pBdr>
          <w:left w:val="single" w:color="B23A3A" w:sz="18"/>
        </w:pBdr>
        <w:shd w:fill="FBE7E7" w:val="clear"/>
        <w:spacing w:after="120" w:before="100"/>
        <w:ind w:left="150" w:right="100"/>
      </w:pPr>
      <w:r>
        <w:rPr>
          <w:b/>
          <w:bCs/>
          <w:color w:val="7A1F1F"/>
        </w:rPr>
        <w:t xml:space="preserve">METHODOLOGY FLAG: </w:t>
      </w:r>
      <w:r>
        <w:t xml:space="preserve">Note that a Brandstore vs. Outlet split is not possible with the current data — Retail sales in this extract are blended across both formats, so the finding below cannot be attributed to one format or the other. This is one of the three standing data gaps carried throughout this brief.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3350"/>
        <w:gridCol w:w="2650"/>
      </w:tblGrid>
      <w:tr>
        <w:trPr>
          <w:tblHeader/>
        </w:trPr>
        <w:tc>
          <w:tcPr>
            <w:tcW w:type="dxa" w:w="335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3350"/>
            <w:shd w:fill="2F2F2F" w:val="clear"/>
            <w:tcMar>
              <w:top w:type="dxa" w:w="60"/>
              <w:left w:type="dxa" w:w="100"/>
              <w:bottom w:type="dxa" w:w="60"/>
              <w:right w:type="dxa" w:w="100"/>
            </w:tcMar>
            <w:vAlign w:val="center"/>
          </w:tcPr>
          <w:p>
            <w:pPr>
              <w:jc w:val="center"/>
            </w:pPr>
            <w:r>
              <w:rPr>
                <w:b/>
                <w:bCs/>
                <w:color w:val="FFFFFF"/>
                <w:sz w:val="18"/>
                <w:szCs w:val="18"/>
              </w:rPr>
              <w:t xml:space="preserve">ASP chg % (rate, mix-adjusted view)</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Units chg %</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-11%</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Trekking shoes</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Hiking shoes</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-12%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w:t>
            </w:r>
          </w:p>
        </w:tc>
      </w:tr>
      <w:tr>
        <w:tc>
          <w:tcPr>
            <w:tcW w:type="dxa" w:w="3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Insulation</w:t>
            </w:r>
          </w:p>
        </w:tc>
        <w:tc>
          <w:tcPr>
            <w:tcW w:type="dxa" w:w="3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335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335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-17%</w:t>
            </w:r>
          </w:p>
        </w:tc>
      </w:tr>
    </w:tbl>
    <w:p>
      <w:pPr>
        <w:spacing w:after="160"/>
      </w:pPr>
      <w:r>
        <w:t xml:space="preserve">Legwear's price holds up in Retail (+2%) while collapsing in Wholesale (-9% ASP, -56% Reorder revenue) — DTC customers still pay close to full price for it, so this looks like a Wholesale-specific discounting problem, not a product or demand weakness.</w:t>
      </w:r>
    </w:p>
    <w:p>
      <w:pPr>
        <w:spacing w:after="160"/>
      </w:pPr>
      <w:r>
        <w:t xml:space="preserve">On cost: Retail continuing-franchise COGS/unit rose +13.6% against only +3.1% raw ASP growth (itself mostly mix, per 4.1). This is treated as a USD-COGS/FX effect, not a sourcing or logistics problem — no negotiating leverage exists at current volumes, and FX is being set aside company-wide as a topic for this workshop cycle.</w:t>
      </w:r>
    </w:p>
    <w:p>
      <w:pPr>
        <w:pStyle w:val="Heading2"/>
        <w:spacing w:after="120" w:before="240"/>
      </w:pPr>
      <w:r>
        <w:t xml:space="preserve">4.5 FW27 Target-Margin Gap: Price, Not Cost</w:t>
      </w:r>
    </w:p>
    <w:p>
      <w:pPr>
        <w:spacing w:after="160"/>
      </w:pPr>
      <w:r>
        <w:t xml:space="preserve">GM0% is calibrated on WP (target wholesale price) and Landed Cost, so it must be compared against Wholesale-only actuals, not a blended figure across channels (an error in an earlier pass, caught and fixed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350"/>
        <w:gridCol w:w="4000"/>
      </w:tblGrid>
      <w:tr>
        <w:trPr>
          <w:tblHeader/>
        </w:trPr>
        <w:tc>
          <w:tcPr>
            <w:tcW w:type="dxa" w:w="5350"/>
            <w:shd w:fill="2F2F2F" w:val="clear"/>
            <w:tcMar>
              <w:top w:type="dxa" w:w="60"/>
              <w:left w:type="dxa" w:w="100"/>
              <w:bottom w:type="dxa" w:w="60"/>
              <w:right w:type="dxa" w:w="100"/>
            </w:tcMar>
            <w:vAlign w:val="center"/>
          </w:tcPr>
          <w:p>
            <w:pPr>
              <w:jc w:val="left"/>
            </w:pPr>
            <w:r>
              <w:rPr>
                <w:b/>
                <w:bCs/>
                <w:color w:val="FFFFFF"/>
                <w:sz w:val="18"/>
                <w:szCs w:val="18"/>
              </w:rPr>
              <w:t xml:space="preserve">Measure</w:t>
            </w:r>
          </w:p>
        </w:tc>
        <w:tc>
          <w:tcPr>
            <w:tcW w:type="dxa" w:w="4000"/>
            <w:shd w:fill="2F2F2F" w:val="clear"/>
            <w:tcMar>
              <w:top w:type="dxa" w:w="60"/>
              <w:left w:type="dxa" w:w="100"/>
              <w:bottom w:type="dxa" w:w="60"/>
              <w:right w:type="dxa" w:w="100"/>
            </w:tcMar>
            <w:vAlign w:val="center"/>
          </w:tcPr>
          <w:p>
            <w:pPr>
              <w:jc w:val="center"/>
            </w:pPr>
            <w:r>
              <w:rPr>
                <w:b/>
                <w:bCs/>
                <w:color w:val="FFFFFF"/>
                <w:sz w:val="18"/>
                <w:szCs w:val="18"/>
              </w:rPr>
              <w:t xml:space="preserve">Value</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Wholesale actual GM (2025, matched styles)</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44.5%</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Wholesale target GM 0%</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59.0%</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Gap</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-14.5pts</w:t>
            </w:r>
          </w:p>
        </w:tc>
      </w:tr>
      <w:tr>
        <w:tc>
          <w:tcPr>
            <w:tcW w:type="dxa" w:w="5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Price Realization (ASP vs. target WP)</w:t>
            </w:r>
          </w:p>
        </w:tc>
        <w:tc>
          <w:tcPr>
            <w:tcW w:type="dxa" w:w="4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-24.2%</w:t>
            </w:r>
          </w:p>
        </w:tc>
      </w:tr>
      <w:tr>
        <w:tc>
          <w:tcPr>
            <w:tcW w:type="dxa" w:w="5350"/>
            <w:tcMar>
              <w:top w:type="dxa" w:w="60"/>
              <w:left w:type="dxa" w:w="100"/>
              <w:bottom w:type="dxa" w:w="60"/>
              <w:right w:type="dxa" w:w="100"/>
            </w:tcMar>
            <w:vAlign w:val="center"/>
          </w:tcPr>
          <w:p>
            <w:pPr>
              <w:jc w:val="left"/>
            </w:pPr>
            <w:r>
              <w:rPr>
                <w:b w:val="false"/>
                <w:bCs w:val="false"/>
                <w:color w:val="000000"/>
                <w:sz w:val="18"/>
                <w:szCs w:val="18"/>
              </w:rPr>
              <w:t xml:space="preserve">Cost Overrun (actual COGS/unit vs. target Landed Cost)</w:t>
            </w:r>
          </w:p>
        </w:tc>
        <w:tc>
          <w:tcPr>
            <w:tcW w:type="dxa" w:w="4000"/>
            <w:tcMar>
              <w:top w:type="dxa" w:w="60"/>
              <w:left w:type="dxa" w:w="100"/>
              <w:bottom w:type="dxa" w:w="60"/>
              <w:right w:type="dxa" w:w="100"/>
            </w:tcMar>
            <w:vAlign w:val="center"/>
          </w:tcPr>
          <w:p>
            <w:pPr>
              <w:jc w:val="center"/>
            </w:pPr>
            <w:r>
              <w:rPr>
                <w:b w:val="false"/>
                <w:bCs w:val="false"/>
                <w:color w:val="000000"/>
                <w:sz w:val="18"/>
                <w:szCs w:val="18"/>
              </w:rPr>
              <w:t xml:space="preserve">-0.3% (essentially on-target)</w:t>
            </w:r>
          </w:p>
        </w:tc>
      </w:tr>
    </w:tbl>
    <w:p>
      <w:pPr>
        <w:spacing w:after="160"/>
      </w:pPr>
      <w:r>
        <w:t xml:space="preserve">The gap holds almost identically for continuing styles (-24.2%, N=146) and genuinely new FW27 styles (-23.2%, N=4) — so this isn't just untested pricing on brand-new styles; it's present on product with an established price point too.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800"/>
        <w:gridCol w:w="1900"/>
        <w:gridCol w:w="1600"/>
        <w:gridCol w:w="2050"/>
      </w:tblGrid>
      <w:tr>
        <w:trPr>
          <w:tblHeader/>
        </w:trPr>
        <w:tc>
          <w:tcPr>
            <w:tcW w:type="dxa" w:w="3800"/>
            <w:shd w:fill="2F2F2F" w:val="clear"/>
            <w:tcMar>
              <w:top w:type="dxa" w:w="60"/>
              <w:left w:type="dxa" w:w="100"/>
              <w:bottom w:type="dxa" w:w="60"/>
              <w:right w:type="dxa" w:w="100"/>
            </w:tcMar>
            <w:vAlign w:val="center"/>
          </w:tcPr>
          <w:p>
            <w:pPr>
              <w:jc w:val="left"/>
            </w:pPr>
            <w:r>
              <w:rPr>
                <w:b/>
                <w:bCs/>
                <w:color w:val="FFFFFF"/>
                <w:sz w:val="18"/>
                <w:szCs w:val="18"/>
              </w:rPr>
              <w:t xml:space="preserve">Layer</w:t>
            </w:r>
          </w:p>
        </w:tc>
        <w:tc>
          <w:tcPr>
            <w:tcW w:type="dxa" w:w="1900"/>
            <w:shd w:fill="2F2F2F" w:val="clear"/>
            <w:tcMar>
              <w:top w:type="dxa" w:w="60"/>
              <w:left w:type="dxa" w:w="100"/>
              <w:bottom w:type="dxa" w:w="60"/>
              <w:right w:type="dxa" w:w="100"/>
            </w:tcMar>
            <w:vAlign w:val="center"/>
          </w:tcPr>
          <w:p>
            <w:pPr>
              <w:jc w:val="center"/>
            </w:pPr>
            <w:r>
              <w:rPr>
                <w:b/>
                <w:bCs/>
                <w:color w:val="FFFFFF"/>
                <w:sz w:val="18"/>
                <w:szCs w:val="18"/>
              </w:rPr>
              <w:t xml:space="preserve">Price Realization</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Cost Overrun</w:t>
            </w:r>
          </w:p>
        </w:tc>
        <w:tc>
          <w:tcPr>
            <w:tcW w:type="dxa" w:w="205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Shell / Insulation / Daypacks / Bags / Mid layer / Accessories</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-24% to -28%</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-8% to +0%</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Consistent price story, cost on-target or better</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Tops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+2.5%</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Worst price gap of the well-sampled layers</w:t>
            </w:r>
          </w:p>
        </w:tc>
      </w:tr>
      <w:tr>
        <w:tc>
          <w:tcPr>
            <w:tcW w:type="dxa" w:w="3800"/>
            <w:tcMar>
              <w:top w:type="dxa" w:w="60"/>
              <w:left w:type="dxa" w:w="100"/>
              <w:bottom w:type="dxa" w:w="60"/>
              <w:right w:type="dxa" w:w="100"/>
            </w:tcMar>
            <w:vAlign w:val="center"/>
          </w:tcPr>
          <w:p>
            <w:pPr>
              <w:jc w:val="left"/>
            </w:pPr>
            <w:r>
              <w:rPr>
                <w:b w:val="false"/>
                <w:bCs w:val="false"/>
                <w:color w:val="000000"/>
                <w:sz w:val="18"/>
                <w:szCs w:val="18"/>
              </w:rPr>
              <w:t xml:space="preserve">Legwear</w:t>
            </w:r>
          </w:p>
        </w:tc>
        <w:tc>
          <w:tcPr>
            <w:tcW w:type="dxa" w:w="1900"/>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2050"/>
            <w:tcMar>
              <w:top w:type="dxa" w:w="60"/>
              <w:left w:type="dxa" w:w="100"/>
              <w:bottom w:type="dxa" w:w="60"/>
              <w:right w:type="dxa" w:w="100"/>
            </w:tcMar>
            <w:vAlign w:val="center"/>
          </w:tcPr>
          <w:p>
            <w:pPr>
              <w:jc w:val="center"/>
            </w:pPr>
            <w:r>
              <w:rPr>
                <w:b w:val="false"/>
                <w:bCs w:val="false"/>
                <w:color w:val="000000"/>
                <w:sz w:val="18"/>
                <w:szCs w:val="18"/>
              </w:rPr>
              <w:t xml:space="preserve">The one layer where COST is the real problem</w:t>
            </w:r>
          </w:p>
        </w:tc>
      </w:tr>
      <w:tr>
        <w:tc>
          <w:tcPr>
            <w:tcW w:type="dxa" w:w="38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Sleeping Bags</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Second cost-driven exception</w:t>
            </w:r>
          </w:p>
        </w:tc>
      </w:tr>
    </w:tbl>
    <w:p>
      <w:pPr>
        <w:pStyle w:val="Heading2"/>
        <w:spacing w:after="120" w:before="240"/>
      </w:pPr>
      <w:r>
        <w:t xml:space="preserve">4.6 Action Plan by Owner</w:t>
      </w:r>
    </w:p>
    <w:p>
      <w:pPr>
        <w:spacing w:after="80" w:before="160"/>
      </w:pPr>
      <w:r>
        <w:rPr>
          <w:b/>
          <w:bCs/>
          <w:i/>
          <w:iCs/>
          <w:color w:val="444444"/>
          <w:sz w:val="21"/>
          <w:szCs w:val="21"/>
        </w:rPr>
        <w:t xml:space="preserve">E-com — Merchandising Director</w:t>
      </w:r>
    </w:p>
    <w:p>
      <w:pPr>
        <w:pStyle w:val="ListParagraph"/>
        <w:numPr>
          <w:ilvl w:val="0"/>
          <w:numId w:val="2"/>
        </w:numPr>
        <w:spacing w:after="80"/>
      </w:pPr>
      <w:r>
        <w:t xml:space="preserve">Get a direct answer on the Jan/Apr/May promotional-calendar change starting 2025; decide to reverse or justify — don't let it run into a third year by default.</w:t>
      </w:r>
    </w:p>
    <w:p>
      <w:pPr>
        <w:pStyle w:val="ListParagraph"/>
        <w:numPr>
          <w:ilvl w:val="0"/>
          <w:numId w:val="2"/>
        </w:numPr>
        <w:spacing w:after="80"/>
      </w:pPr>
      <w:r>
        <w:t xml:space="preserve">Cross-check with Brand &amp; Marketing on whether ad spend is structurally bundled with discount codes.</w:t>
      </w:r>
    </w:p>
    <w:p>
      <w:pPr>
        <w:pStyle w:val="ListParagraph"/>
        <w:numPr>
          <w:ilvl w:val="0"/>
          <w:numId w:val="2"/>
        </w:numPr>
        <w:spacing w:after="80"/>
      </w:pPr>
      <w:r>
        <w:t xml:space="preserve">Resolve before the Sep-Nov window, which is also creeping and is the next full-price season.</w:t>
      </w:r>
    </w:p>
    <w:p>
      <w:pPr>
        <w:spacing w:after="80" w:before="160"/>
      </w:pPr>
      <w:r>
        <w:rPr>
          <w:b/>
          <w:bCs/>
          <w:i/>
          <w:iCs/>
          <w:color w:val="444444"/>
          <w:sz w:val="21"/>
          <w:szCs w:val="21"/>
        </w:rPr>
        <w:t xml:space="preserve">Wholesale — Wholesale Director</w:t>
      </w:r>
    </w:p>
    <w:p>
      <w:pPr>
        <w:pStyle w:val="ListParagraph"/>
        <w:numPr>
          <w:ilvl w:val="0"/>
          <w:numId w:val="2"/>
        </w:numPr>
        <w:spacing w:after="80"/>
      </w:pPr>
      <w:r>
        <w:t xml:space="preserve">Discount-approval/monitoring process for Reorder specifically (worse than Preorder on both price and volume in FY2025 — though YTD2026 shows this flipping, see Section 2.1).</w:t>
      </w:r>
    </w:p>
    <w:p>
      <w:pPr>
        <w:pStyle w:val="ListParagraph"/>
        <w:numPr>
          <w:ilvl w:val="0"/>
          <w:numId w:val="2"/>
        </w:numPr>
        <w:spacing w:after="80"/>
      </w:pPr>
      <w:r>
        <w:t xml:space="preserve">Direct conversation with RCT Systems Japan and Stadium on their -19% ASP moves.</w:t>
      </w:r>
    </w:p>
    <w:p>
      <w:pPr>
        <w:pStyle w:val="ListParagraph"/>
        <w:numPr>
          <w:ilvl w:val="0"/>
          <w:numId w:val="2"/>
        </w:numPr>
        <w:spacing w:after="80"/>
      </w:pPr>
      <w:r>
        <w:t xml:space="preserve">Wholesale-specific pricing-power review for Tops and Legwear (Legwear prices fine in Retail — this is channel-specific, not product-wide).</w:t>
      </w:r>
    </w:p>
    <w:p>
      <w:pPr>
        <w:spacing w:after="80" w:before="160"/>
      </w:pPr>
      <w:r>
        <w:rPr>
          <w:b/>
          <w:bCs/>
          <w:i/>
          <w:iCs/>
          <w:color w:val="444444"/>
          <w:sz w:val="21"/>
          <w:szCs w:val="21"/>
        </w:rPr>
        <w:t xml:space="preserve">Retail — Merchandising Director</w:t>
      </w:r>
    </w:p>
    <w:p>
      <w:pPr>
        <w:pStyle w:val="ListParagraph"/>
        <w:numPr>
          <w:ilvl w:val="0"/>
          <w:numId w:val="2"/>
        </w:numPr>
        <w:spacing w:after="80"/>
      </w:pPr>
      <w:r>
        <w:t xml:space="preserve">Retail is not already delivering full-price recovery. Apply the same discount-discipline fix as Wholesale, not a 'keep doing what's working' story. (Separately noted: the sales data cannot currently split brand-store vs. outlet-store revenue within Retail.)</w:t>
      </w:r>
    </w:p>
    <w:p>
      <w:pPr>
        <w:spacing w:after="80" w:before="160"/>
      </w:pPr>
      <w:r>
        <w:rPr>
          <w:b/>
          <w:bCs/>
          <w:i/>
          <w:iCs/>
          <w:color w:val="444444"/>
          <w:sz w:val="21"/>
          <w:szCs w:val="21"/>
        </w:rPr>
        <w:t xml:space="preserve">FW27 pricing — whoever owns FW27 markup-setting</w:t>
      </w:r>
    </w:p>
    <w:p>
      <w:pPr>
        <w:pStyle w:val="ListParagraph"/>
        <w:numPr>
          <w:ilvl w:val="0"/>
          <w:numId w:val="2"/>
        </w:numPr>
        <w:spacing w:after="80"/>
      </w:pPr>
      <w:r>
        <w:t xml:space="preserve">Clarify whether WP assumes a price increase versus historical practice, before treating the -24.2% price-realization gap as purely an execution failure.</w:t>
      </w:r>
    </w:p>
    <w:p>
      <w:pPr>
        <w:spacing w:after="80" w:before="160"/>
      </w:pPr>
      <w:r>
        <w:rPr>
          <w:b/>
          <w:bCs/>
          <w:i/>
          <w:iCs/>
          <w:color w:val="444444"/>
          <w:sz w:val="21"/>
          <w:szCs w:val="21"/>
        </w:rPr>
        <w:t xml:space="preserve">Product/Sourcing</w:t>
      </w:r>
    </w:p>
    <w:p>
      <w:pPr>
        <w:pStyle w:val="ListParagraph"/>
        <w:numPr>
          <w:ilvl w:val="0"/>
          <w:numId w:val="2"/>
        </w:numPr>
        <w:spacing w:after="80"/>
      </w:pPr>
      <w:r>
        <w:t xml:space="preserve">Landed-cost/BOM review specific to Legwear and Sleeping Bags.</w:t>
      </w:r>
    </w:p>
    <w:p>
      <w:r>
        <w:br w:type="page"/>
      </w:r>
    </w:p>
    <w:p>
      <w:pPr>
        <w:pStyle w:val="Heading1"/>
        <w:spacing w:after="160" w:before="320"/>
      </w:pPr>
      <w:r>
        <w:t xml:space="preserve">5. ASP / Sales Efficiency Increase</w:t>
      </w:r>
    </w:p>
    <w:p>
      <w:pPr>
        <w:pStyle w:val="Heading2"/>
        <w:spacing w:after="120" w:before="240"/>
      </w:pPr>
      <w:r>
        <w:t xml:space="preserve">5.1 Generation Updates as a Price-Increase Opportunity</w:t>
      </w:r>
    </w:p>
    <w:p>
      <w:pPr>
        <w:spacing w:after="160"/>
      </w:pPr>
      <w:r>
        <w:t xml:space="preserve">Contingent on genuine technical justification — product and copywriting need to work together from the brief stage, not have copywriting invent a story after the fact.</w:t>
      </w:r>
    </w:p>
    <w:p>
      <w:pPr>
        <w:pBdr>
          <w:left w:val="single" w:color="B23A3A" w:sz="18"/>
        </w:pBdr>
        <w:shd w:fill="FBE7E7" w:val="clear"/>
        <w:spacing w:after="120" w:before="100"/>
        <w:ind w:left="150" w:right="100"/>
      </w:pPr>
      <w:r>
        <w:rPr>
          <w:b/>
          <w:bCs/>
          <w:color w:val="7A1F1F"/>
        </w:rPr>
        <w:t xml:space="preserve">METHODOLOGY FLAG: </w:t>
      </w:r>
      <w:r>
        <w:t xml:space="preserve">Live evidence this is a real risk, not just a modeling exercise: wholesale accounts have already dropped orders when a new version's price increase wasn't matched by a perceived technical upgrade (2026-07-28 session). Any generation-update pricing case needs a genuine, defensible technical story attached, checked case by case — not applied as a blanket policy.</w:t>
      </w:r>
    </w:p>
    <w:p>
      <w:pPr>
        <w:spacing w:after="160"/>
      </w:pPr>
      <w:r>
        <w:t xml:space="preserve">39 franchise families are CLEAN CUTOVER version transitions (the outgoing article is &lt;15% of 2025 family units — i.e. the successor has already effectively taken over), worth 98.4M SEK of 2025 sales combined. These are the natural candidate list for a generation-update pricing conversation, since the successor is already the de facto standard and any price move lands on live volume, not a hypothetical future cutover. Top 15 by 2025 family sales: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675"/>
        <w:gridCol w:w="2350"/>
        <w:gridCol w:w="2325"/>
      </w:tblGrid>
      <w:tr>
        <w:trPr>
          <w:tblHeader/>
        </w:trPr>
        <w:tc>
          <w:tcPr>
            <w:tcW w:type="dxa" w:w="4675"/>
            <w:shd w:fill="2F2F2F" w:val="clear"/>
            <w:tcMar>
              <w:top w:type="dxa" w:w="60"/>
              <w:left w:type="dxa" w:w="100"/>
              <w:bottom w:type="dxa" w:w="60"/>
              <w:right w:type="dxa" w:w="100"/>
            </w:tcMar>
            <w:vAlign w:val="center"/>
          </w:tcPr>
          <w:p>
            <w:pPr>
              <w:jc w:val="left"/>
            </w:pPr>
            <w:r>
              <w:rPr>
                <w:b/>
                <w:bCs/>
                <w:color w:val="FFFFFF"/>
                <w:sz w:val="18"/>
                <w:szCs w:val="18"/>
              </w:rPr>
              <w:t xml:space="preserve">Franchise</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2025 Family Sales</w:t>
            </w:r>
          </w:p>
        </w:tc>
        <w:tc>
          <w:tcPr>
            <w:tcW w:type="dxa" w:w="2325"/>
            <w:shd w:fill="2F2F2F" w:val="clear"/>
            <w:tcMar>
              <w:top w:type="dxa" w:w="60"/>
              <w:left w:type="dxa" w:w="100"/>
              <w:bottom w:type="dxa" w:w="60"/>
              <w:right w:type="dxa" w:w="100"/>
            </w:tcMar>
            <w:vAlign w:val="center"/>
          </w:tcPr>
          <w:p>
            <w:pPr>
              <w:jc w:val="center"/>
            </w:pPr>
            <w:r>
              <w:rPr>
                <w:b/>
                <w:bCs/>
                <w:color w:val="FFFFFF"/>
                <w:sz w:val="18"/>
                <w:szCs w:val="18"/>
              </w:rPr>
              <w:t xml:space="preserve">Outgoing version's share of 2025 units</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Low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11.80M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L.I.M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8.65M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8.04M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Särna Mimic Hood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7.35M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Haglöfs Ridge GTX Low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5.47M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L.I.M GTX Jacket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5.30M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8.3%</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Buteo Mid Jacket (Women)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5.11M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4.53M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Kaja Proof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4.20M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Bield Down Hood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3.85M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1.5%</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Chaos GTX Jacket (Men)</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3.14M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10.8%</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Haglöfs Ridge GTX Mid (Women)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3.07M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0.0%</w:t>
            </w:r>
          </w:p>
        </w:tc>
      </w:tr>
      <w:tr>
        <w:tc>
          <w:tcPr>
            <w:tcW w:type="dxa" w:w="4675"/>
            <w:shd w:fill="F5F5F5" w:val="clear"/>
            <w:tcMar>
              <w:top w:type="dxa" w:w="60"/>
              <w:left w:type="dxa" w:w="100"/>
              <w:bottom w:type="dxa" w:w="60"/>
              <w:right w:type="dxa" w:w="100"/>
            </w:tcMar>
            <w:vAlign w:val="center"/>
          </w:tcPr>
          <w:p>
            <w:pPr>
              <w:jc w:val="left"/>
            </w:pPr>
            <w:r>
              <w:rPr>
                <w:b w:val="false"/>
                <w:bCs w:val="false"/>
                <w:color w:val="000000"/>
                <w:sz w:val="18"/>
                <w:szCs w:val="18"/>
              </w:rPr>
              <w:t xml:space="preserve">Bow Windstopper Glove (Unisex)</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1.23M</w:t>
            </w:r>
          </w:p>
        </w:tc>
        <w:tc>
          <w:tcPr>
            <w:tcW w:type="dxa" w:w="2325"/>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w:t>
            </w:r>
          </w:p>
        </w:tc>
      </w:tr>
      <w:tr>
        <w:tc>
          <w:tcPr>
            <w:tcW w:type="dxa" w:w="4675"/>
            <w:tcMar>
              <w:top w:type="dxa" w:w="60"/>
              <w:left w:type="dxa" w:w="100"/>
              <w:bottom w:type="dxa" w:w="60"/>
              <w:right w:type="dxa" w:w="100"/>
            </w:tcMar>
            <w:vAlign w:val="center"/>
          </w:tcPr>
          <w:p>
            <w:pPr>
              <w:jc w:val="left"/>
            </w:pPr>
            <w:r>
              <w:rPr>
                <w:b w:val="false"/>
                <w:bCs w:val="false"/>
                <w:color w:val="000000"/>
                <w:sz w:val="18"/>
                <w:szCs w:val="18"/>
              </w:rPr>
              <w:t xml:space="preserve">Gran 3-in-1 Proof Jacket (Men)</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1.19M</w:t>
            </w:r>
          </w:p>
        </w:tc>
        <w:tc>
          <w:tcPr>
            <w:tcW w:type="dxa" w:w="2325"/>
            <w:tcMar>
              <w:top w:type="dxa" w:w="60"/>
              <w:left w:type="dxa" w:w="100"/>
              <w:bottom w:type="dxa" w:w="60"/>
              <w:right w:type="dxa" w:w="100"/>
            </w:tcMar>
            <w:vAlign w:val="center"/>
          </w:tcPr>
          <w:p>
            <w:pPr>
              <w:jc w:val="center"/>
            </w:pPr>
            <w:r>
              <w:rPr>
                <w:b w:val="false"/>
                <w:bCs w:val="false"/>
                <w:color w:val="000000"/>
                <w:sz w:val="18"/>
                <w:szCs w:val="18"/>
              </w:rPr>
              <w:t xml:space="preserve">14.0%</w:t>
            </w:r>
          </w:p>
        </w:tc>
      </w:tr>
    </w:tbl>
    <w:p>
      <w:pPr>
        <w:spacing w:after="200"/>
      </w:pPr>
      <w:r>
        <w:rPr>
          <w:i/>
          <w:iCs/>
          <w:color w:val="555555"/>
          <w:sz w:val="18"/>
          <w:szCs w:val="18"/>
        </w:rPr>
        <w:t xml:space="preserve">Full 39-family list is in the backup workbook (bob_version_successor_families_review.xlsx, sheet 'Family Summary', filtered to Transition = CLEAN CUTOVER). A further 24 families are HEAVY OVERLAP and 23 are PARTIAL OVERLAP — both still running meaningful outgoing-version volume, so a price increase there would need to apply across both versions simultaneously, a materially different (and riskier) conversation than the clean-cutover list above.</w:t>
      </w:r>
    </w:p>
    <w:p>
      <w:pPr>
        <w:pStyle w:val="Heading2"/>
        <w:spacing w:after="120" w:before="240"/>
      </w:pPr>
      <w:r>
        <w:t xml:space="preserve">5.2 Basket Size Increase / Sales per Square Ft. Efficiency</w:t>
      </w:r>
    </w:p>
    <w:p>
      <w:pPr>
        <w:pBdr>
          <w:left w:val="single" w:color="B23A3A" w:sz="18"/>
        </w:pBdr>
        <w:shd w:fill="FBE7E7" w:val="clear"/>
        <w:spacing w:after="120" w:before="100"/>
        <w:ind w:left="150" w:right="100"/>
      </w:pPr>
      <w:r>
        <w:rPr>
          <w:b/>
          <w:bCs/>
          <w:color w:val="7A1F1F"/>
        </w:rPr>
        <w:t xml:space="preserve">METHODOLOGY FLAG: </w:t>
      </w:r>
      <w:r>
        <w:t xml:space="preserve">Correction to the draft assumption: 'basket size increase via Accessories' cannot currently be measured. A real basket-size argument needs a transaction-level extract with an order ID to group by; the sales extract has no transaction/order ID — UPT and ATV in this data are per-SKU artifacts (units of one specific article divided by transactions that included it), not true basket metrics. Until a transaction-level extract exists, this should be framed as a qualitative hypothesis, not something the current sales analysis can actually prove.</w:t>
      </w:r>
    </w:p>
    <w:p>
      <w:r>
        <w:br w:type="page"/>
      </w:r>
    </w:p>
    <w:p>
      <w:pPr>
        <w:pStyle w:val="Heading1"/>
        <w:spacing w:after="160" w:before="320"/>
      </w:pPr>
      <w:r>
        <w:t xml:space="preserve">6. New Store Openings</w:t>
      </w:r>
    </w:p>
    <w:p>
      <w:pPr>
        <w:pBdr>
          <w:left w:val="single" w:color="3C8A4C" w:sz="18"/>
        </w:pBdr>
        <w:shd w:fill="EAF3EA" w:val="clear"/>
        <w:spacing w:after="120" w:before="100"/>
        <w:ind w:left="150" w:right="100"/>
      </w:pPr>
      <w:r>
        <w:rPr>
          <w:b/>
          <w:bCs/>
          <w:color w:val="1F5C2E"/>
        </w:rPr>
        <w:t xml:space="preserve">DATA SHOWS: </w:t>
      </w:r>
      <w:r>
        <w:t xml:space="preserve">Judged correctly (Capex-to-EBIT payback, not Capex-to-Sales), the roster ranks very differently than a sales screen suggests. Copenhagen has unremarkable Gross Sales (12.5M, mid-roster) but the worst payback by far (20 years, 1.6% EBIT margin) — invisible on a sales-only screen. Store-level 'Run-Rate' figures are a single 2032 snapshot, not a normalized run-rate: EBIT margin correlates 0.71 with years-to-mature-by-2032, so cross-store rankings (e.g. Innsbruck's apparent best-in-roster payback) are vintage-confounded, not a clean like-for-like comparison.</w:t>
      </w:r>
    </w:p>
    <w:p>
      <w:pPr>
        <w:spacing w:after="160"/>
      </w:pPr>
      <w:r>
        <w:t xml:space="preserve">Two open questions from the prior draft are now resolved by decisions made at the 2026-07-28 session, not by further data work:</w:t>
      </w:r>
    </w:p>
    <w:p>
      <w:pPr>
        <w:pStyle w:val="ListParagraph"/>
        <w:numPr>
          <w:ilvl w:val="0"/>
          <w:numId w:val="2"/>
        </w:numPr>
        <w:spacing w:after="80"/>
      </w:pPr>
      <w:r>
        <w:t xml:space="preserve">Munich: rejected outright. Rent makes the store structurally unprofitable, independent of any Wholesale-trend question.</w:t>
      </w:r>
    </w:p>
    <w:p>
      <w:pPr>
        <w:pStyle w:val="ListParagraph"/>
        <w:numPr>
          <w:ilvl w:val="0"/>
          <w:numId w:val="2"/>
        </w:numPr>
        <w:spacing w:after="80"/>
      </w:pPr>
      <w:r>
        <w:t xml:space="preserve">Copenhagen: still an open, unresolved problem as of this draft — its weak economics hold up even within its own opening-year cohort, so it is not simply a vintage artifact. Recommend resolving this before the workshop, not raising it as a live question at it.</w:t>
      </w:r>
    </w:p>
    <w:p>
      <w:pPr>
        <w:pBdr>
          <w:left w:val="single" w:color="C97A1A" w:sz="18"/>
        </w:pBdr>
        <w:shd w:fill="FCEFDC" w:val="clear"/>
        <w:spacing w:after="120" w:before="100"/>
        <w:ind w:left="150" w:right="100"/>
      </w:pPr>
      <w:r>
        <w:rPr>
          <w:b/>
          <w:bCs/>
          <w:color w:val="8A4B00"/>
        </w:rPr>
        <w:t xml:space="preserve">NOT ANSWERABLE FROM DATA — ASK: </w:t>
      </w:r>
      <w:r>
        <w:t xml:space="preserve">Can the store-level ramp curve (Year 1, Year 2, Year 3 post-opening, not calendar-year 2032) be obtained, so every store is compared on the same years-since-opening basis? Without it, any cross-vintage ranking — including Innsbruck's apparent outperformance — should be treated as indicative, not confirmed. Owner: whoever owns the store-level financial model.</w:t>
      </w:r>
    </w:p>
    <w:p>
      <w:pPr>
        <w:pStyle w:val="Heading2"/>
        <w:spacing w:after="120" w:before="240"/>
      </w:pPr>
      <w:r>
        <w:t xml:space="preserve">6.1 Investment Case: Capex vs. EBIT Payback, Not Capex vs. Gross Sales</w:t>
      </w:r>
    </w:p>
    <w:p>
      <w:pPr>
        <w:spacing w:after="160"/>
      </w:pPr>
      <w:r>
        <w:t xml:space="preserve">Judging a capital investment on Capex-to-Sales is a screening ratio at best — it says nothing about profitability, so it can look fine on a store that is actually a poor investment. The correct basis is Capex-to-EBIT (payback period) or, ultimately, a full multi-year cash-flow IRR. Ranking all 16 stores this way changes the read substantially: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1500"/>
        <w:gridCol w:w="1500"/>
        <w:gridCol w:w="1550"/>
        <w:gridCol w:w="1550"/>
      </w:tblGrid>
      <w:tr>
        <w:trPr>
          <w:tblHeader/>
        </w:trPr>
        <w:tc>
          <w:tcPr>
            <w:tcW w:type="dxa" w:w="1750"/>
            <w:shd w:fill="2F2F2F" w:val="clear"/>
            <w:tcMar>
              <w:top w:type="dxa" w:w="60"/>
              <w:left w:type="dxa" w:w="100"/>
              <w:bottom w:type="dxa" w:w="60"/>
              <w:right w:type="dxa" w:w="100"/>
            </w:tcMar>
            <w:vAlign w:val="center"/>
          </w:tcPr>
          <w:p>
            <w:pPr>
              <w:jc w:val="left"/>
            </w:pPr>
            <w:r>
              <w:rPr>
                <w:b/>
                <w:bCs/>
                <w:color w:val="FFFFFF"/>
                <w:sz w:val="18"/>
                <w:szCs w:val="18"/>
              </w:rPr>
              <w:t xml:space="preserve">Store</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Sales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EBIT RR (MSEK)</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Capex (MSEK)</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EBIT margin</w:t>
            </w:r>
          </w:p>
        </w:tc>
        <w:tc>
          <w:tcPr>
            <w:tcW w:type="dxa" w:w="1550"/>
            <w:shd w:fill="2F2F2F" w:val="clear"/>
            <w:tcMar>
              <w:top w:type="dxa" w:w="60"/>
              <w:left w:type="dxa" w:w="100"/>
              <w:bottom w:type="dxa" w:w="60"/>
              <w:right w:type="dxa" w:w="100"/>
            </w:tcMar>
            <w:vAlign w:val="center"/>
          </w:tcPr>
          <w:p>
            <w:pPr>
              <w:jc w:val="center"/>
            </w:pPr>
            <w:r>
              <w:rPr>
                <w:b/>
                <w:bCs/>
                <w:color w:val="FFFFFF"/>
                <w:sz w:val="18"/>
                <w:szCs w:val="18"/>
              </w:rPr>
              <w:t xml:space="preserve">Payback (yrs)</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Innsbruck</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13.7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0.4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St Anton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28.4%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Sundsvall</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3.2</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1.3</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Pandorf (Outlet)</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18.8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München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18.3%</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Outlet UK</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10.4%</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Salzburg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Arlanda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6.4</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2.3</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Emporia (Malmö)</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7.8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17.9%</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2.4</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Hamburg</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15.2%</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2.6</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Gothenburg</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3.0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18.5%</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3.0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Vienna</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1.1</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3.8</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10.3%</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3.5</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Manchester</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11.9</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1.0</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4.0</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Oslo</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12.0</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w:t>
            </w:r>
          </w:p>
        </w:tc>
      </w:tr>
      <w:tr>
        <w:tc>
          <w:tcPr>
            <w:tcW w:type="dxa" w:w="1750"/>
            <w:tcMar>
              <w:top w:type="dxa" w:w="60"/>
              <w:left w:type="dxa" w:w="100"/>
              <w:bottom w:type="dxa" w:w="60"/>
              <w:right w:type="dxa" w:w="100"/>
            </w:tcMar>
            <w:vAlign w:val="center"/>
          </w:tcPr>
          <w:p>
            <w:pPr>
              <w:jc w:val="left"/>
            </w:pPr>
            <w:r>
              <w:rPr>
                <w:b w:val="false"/>
                <w:bCs w:val="false"/>
                <w:color w:val="000000"/>
                <w:sz w:val="18"/>
                <w:szCs w:val="18"/>
              </w:rPr>
              <w:t xml:space="preserve">London</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0.7</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5.0</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4.8%</w:t>
            </w:r>
          </w:p>
        </w:tc>
        <w:tc>
          <w:tcPr>
            <w:tcW w:type="dxa" w:w="1550"/>
            <w:tcMar>
              <w:top w:type="dxa" w:w="60"/>
              <w:left w:type="dxa" w:w="100"/>
              <w:bottom w:type="dxa" w:w="60"/>
              <w:right w:type="dxa" w:w="100"/>
            </w:tcMar>
            <w:vAlign w:val="center"/>
          </w:tcPr>
          <w:p>
            <w:pPr>
              <w:jc w:val="center"/>
            </w:pPr>
            <w:r>
              <w:rPr>
                <w:b w:val="false"/>
                <w:bCs w:val="false"/>
                <w:color w:val="000000"/>
                <w:sz w:val="18"/>
                <w:szCs w:val="18"/>
              </w:rPr>
              <w:t xml:space="preserve">7.1</w:t>
            </w:r>
          </w:p>
        </w:tc>
      </w:tr>
      <w:tr>
        <w:tc>
          <w:tcPr>
            <w:tcW w:type="dxa" w:w="17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Copenhagen</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0.2</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4.0</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1.6%</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20.0</w:t>
            </w:r>
          </w:p>
        </w:tc>
      </w:tr>
    </w:tbl>
    <w:p>
      <w:pPr>
        <w:spacing w:after="160"/>
      </w:pPr>
      <w:r>
        <w:t xml:space="preserve">Copenhagen is the clearest proof that Capex-to-Sales would have missed the real problem: its 12.5M Gross Sales run-rate sits squarely in the middle of the roster, unremarkable on a sales screen — but its EBIT margin (1.6%) and payback (20 years) are by far the worst of any store. A sales-only screen would never have flagged it.</w:t>
      </w:r>
    </w:p>
    <w:p>
      <w:pPr>
        <w:spacing w:after="80" w:before="160"/>
      </w:pPr>
      <w:r>
        <w:rPr>
          <w:b/>
          <w:bCs/>
          <w:i/>
          <w:iCs/>
          <w:color w:val="444444"/>
          <w:sz w:val="21"/>
          <w:szCs w:val="21"/>
        </w:rPr>
        <w:t xml:space="preserve">A critical caveat: these figures are a 2032 snapshot, not a normalized run-rate</w:t>
      </w:r>
    </w:p>
    <w:p>
      <w:pPr>
        <w:spacing w:after="160"/>
      </w:pPr>
      <w:r>
        <w:t xml:space="preserve">The 16 stores open across four different years (2026-2029), but the Sales/EBIT figures above are all read off the same single point in time — the 2032 slide. That means a store's apparent maturity depends partly on how long it has had to ramp by 2032, not just on the quality of the site.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2350"/>
        <w:gridCol w:w="1500"/>
        <w:gridCol w:w="1500"/>
        <w:gridCol w:w="15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8"/>
                <w:szCs w:val="18"/>
              </w:rPr>
              <w:t xml:space="preserve">Opening year</w:t>
            </w:r>
          </w:p>
        </w:tc>
        <w:tc>
          <w:tcPr>
            <w:tcW w:type="dxa" w:w="2350"/>
            <w:shd w:fill="2F2F2F" w:val="clear"/>
            <w:tcMar>
              <w:top w:type="dxa" w:w="60"/>
              <w:left w:type="dxa" w:w="100"/>
              <w:bottom w:type="dxa" w:w="60"/>
              <w:right w:type="dxa" w:w="100"/>
            </w:tcMar>
            <w:vAlign w:val="center"/>
          </w:tcPr>
          <w:p>
            <w:pPr>
              <w:jc w:val="center"/>
            </w:pPr>
            <w:r>
              <w:rPr>
                <w:b/>
                <w:bCs/>
                <w:color w:val="FFFFFF"/>
                <w:sz w:val="18"/>
                <w:szCs w:val="18"/>
              </w:rPr>
              <w:t xml:space="preserve">Years to mature by 2032</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N stores</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EBIT margin</w:t>
            </w:r>
          </w:p>
        </w:tc>
        <w:tc>
          <w:tcPr>
            <w:tcW w:type="dxa" w:w="1500"/>
            <w:shd w:fill="2F2F2F" w:val="clear"/>
            <w:tcMar>
              <w:top w:type="dxa" w:w="60"/>
              <w:left w:type="dxa" w:w="100"/>
              <w:bottom w:type="dxa" w:w="60"/>
              <w:right w:type="dxa" w:w="100"/>
            </w:tcMar>
            <w:vAlign w:val="center"/>
          </w:tcPr>
          <w:p>
            <w:pPr>
              <w:jc w:val="center"/>
            </w:pPr>
            <w:r>
              <w:rPr>
                <w:b/>
                <w:bCs/>
                <w:color w:val="FFFFFF"/>
                <w:sz w:val="18"/>
                <w:szCs w:val="18"/>
              </w:rPr>
              <w:t xml:space="preserve">Avg payback (yrs)</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2026</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26.4%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1.4</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2027</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w:t>
            </w:r>
          </w:p>
        </w:tc>
      </w:tr>
      <w:tr>
        <w:tc>
          <w:tcPr>
            <w:tcW w:type="dxa" w:w="2500"/>
            <w:tcMar>
              <w:top w:type="dxa" w:w="60"/>
              <w:left w:type="dxa" w:w="100"/>
              <w:bottom w:type="dxa" w:w="60"/>
              <w:right w:type="dxa" w:w="100"/>
            </w:tcMar>
            <w:vAlign w:val="center"/>
          </w:tcPr>
          <w:p>
            <w:pPr>
              <w:jc w:val="left"/>
            </w:pPr>
            <w:r>
              <w:rPr>
                <w:b w:val="false"/>
                <w:bCs w:val="false"/>
                <w:color w:val="000000"/>
                <w:sz w:val="18"/>
                <w:szCs w:val="18"/>
              </w:rPr>
              <w:t xml:space="preserve">2028</w:t>
            </w:r>
          </w:p>
        </w:tc>
        <w:tc>
          <w:tcPr>
            <w:tcW w:type="dxa" w:w="2350"/>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9.8%</w:t>
            </w:r>
          </w:p>
        </w:tc>
        <w:tc>
          <w:tcPr>
            <w:tcW w:type="dxa" w:w="1500"/>
            <w:tcMar>
              <w:top w:type="dxa" w:w="60"/>
              <w:left w:type="dxa" w:w="100"/>
              <w:bottom w:type="dxa" w:w="60"/>
              <w:right w:type="dxa" w:w="100"/>
            </w:tcMar>
            <w:vAlign w:val="center"/>
          </w:tcPr>
          <w:p>
            <w:pPr>
              <w:jc w:val="center"/>
            </w:pPr>
            <w:r>
              <w:rPr>
                <w:b w:val="false"/>
                <w:bCs w:val="false"/>
                <w:color w:val="000000"/>
                <w:sz w:val="18"/>
                <w:szCs w:val="18"/>
              </w:rPr>
              <w:t xml:space="preserve">6.3</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2029</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8.3%</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5.5</w:t>
            </w:r>
          </w:p>
        </w:tc>
      </w:tr>
    </w:tbl>
    <w:p>
      <w:pPr>
        <w:spacing w:after="160"/>
      </w:pPr>
      <w:r>
        <w:rPr>
          <w:i/>
          <w:iCs/>
        </w:rPr>
        <w:t xml:space="preserve">Methodology note: average EBIT margin falls in a clean staircase from the earliest-opening cohort (26.4%) to the latest (8.3%), and the correlation between years-to-mature-by-2032 and EBIT margin across all 16 stores is 0.71. That is a real, quantifiable bias, not noise: stores opening earlier simply have more years baked into their 2032 number. Practical implications — Innsbruck's apparent best-in-roster payback (0.4 years) is partly a vintage effect (it gets a full 6-year ramp) rather than pure proof of site quality; conversely, Oslo and London (3-year ramp) are likely being judged more harshly than their eventual steady-state will show. Copenhagen still holds up as a genuine problem even controlling for this — within its own 2028 cohort (4-year ramp), its peers show 8.4-18.4% EBIT margin against Copenhagen's 1.6%, so this is a site-specific issue, not just an artifact of being young.</w:t>
      </w:r>
    </w:p>
    <w:p>
      <w:pPr>
        <w:pBdr>
          <w:left w:val="single" w:color="C97A1A" w:sz="18"/>
        </w:pBdr>
        <w:shd w:fill="FCEFDC" w:val="clear"/>
        <w:spacing w:after="120" w:before="100"/>
        <w:ind w:left="150" w:right="100"/>
      </w:pPr>
      <w:r>
        <w:rPr>
          <w:b/>
          <w:bCs/>
          <w:color w:val="8A4B00"/>
        </w:rPr>
        <w:t xml:space="preserve">NOT ANSWERABLE FROM DATA — ASK: </w:t>
      </w:r>
      <w:r>
        <w:t xml:space="preserve">Is Innsbruck's standout 2032 projection (35.0% EBIT margin, the best in the roster) a genuinely superior site, or does it carry more optimistic planning assumptions because it is the flagship/first-mover store? Worth a direct gut-check before using it as the benchmark case for the rest of the roll-out. Owner: Retail Expansion lead.</w:t>
      </w:r>
    </w:p>
    <w:p>
      <w:pPr>
        <w:pBdr>
          <w:left w:val="single" w:color="C97A1A" w:sz="18"/>
        </w:pBdr>
        <w:shd w:fill="FCEFDC" w:val="clear"/>
        <w:spacing w:after="120" w:before="100"/>
        <w:ind w:left="150" w:right="100"/>
      </w:pPr>
      <w:r>
        <w:rPr>
          <w:b/>
          <w:bCs/>
          <w:color w:val="8A4B00"/>
        </w:rPr>
        <w:t xml:space="preserve">NOT ANSWERABLE FROM DATA — ASK: </w:t>
      </w:r>
      <w:r>
        <w:t xml:space="preserve">Given Copenhagen's payback holds up even within its own opening-year cohort, should it be re-scoped or re-negotiated (different site, smaller footprint, renegotiated rent) before the 2028 commitment is finalized? Owner: Retail Expansion / Real Estate lead.</w:t>
      </w:r>
    </w:p>
    <w:p>
      <w:pPr>
        <w:pStyle w:val="Heading2"/>
        <w:spacing w:after="120" w:before="240"/>
      </w:pPr>
      <w:r>
        <w:t xml:space="preserve">6.2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650"/>
        <w:gridCol w:w="2000"/>
        <w:gridCol w:w="23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8"/>
                <w:szCs w:val="18"/>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8"/>
                <w:szCs w:val="18"/>
              </w:rPr>
              <w:t xml:space="preserve">New stores</w:t>
            </w:r>
          </w:p>
        </w:tc>
        <w:tc>
          <w:tcPr>
            <w:tcW w:type="dxa" w:w="2650"/>
            <w:shd w:fill="2F2F2F" w:val="clear"/>
            <w:tcMar>
              <w:top w:type="dxa" w:w="60"/>
              <w:left w:type="dxa" w:w="100"/>
              <w:bottom w:type="dxa" w:w="60"/>
              <w:right w:type="dxa" w:w="100"/>
            </w:tcMar>
            <w:vAlign w:val="center"/>
          </w:tcPr>
          <w:p>
            <w:pPr>
              <w:jc w:val="center"/>
            </w:pPr>
            <w:r>
              <w:rPr>
                <w:b/>
                <w:bCs/>
                <w:color w:val="FFFFFF"/>
                <w:sz w:val="18"/>
                <w:szCs w:val="18"/>
              </w:rPr>
              <w:t xml:space="preserve">Wholesale 2025 (growth)</w:t>
            </w:r>
          </w:p>
        </w:tc>
        <w:tc>
          <w:tcPr>
            <w:tcW w:type="dxa" w:w="2000"/>
            <w:shd w:fill="2F2F2F" w:val="clear"/>
            <w:tcMar>
              <w:top w:type="dxa" w:w="60"/>
              <w:left w:type="dxa" w:w="100"/>
              <w:bottom w:type="dxa" w:w="60"/>
              <w:right w:type="dxa" w:w="100"/>
            </w:tcMar>
            <w:vAlign w:val="center"/>
          </w:tcPr>
          <w:p>
            <w:pPr>
              <w:jc w:val="center"/>
            </w:pPr>
            <w:r>
              <w:rPr>
                <w:b/>
                <w:bCs/>
                <w:color w:val="FFFFFF"/>
                <w:sz w:val="18"/>
                <w:szCs w:val="18"/>
              </w:rPr>
              <w:t xml:space="preserve">E-com 2025 (growth)</w:t>
            </w:r>
          </w:p>
        </w:tc>
        <w:tc>
          <w:tcPr>
            <w:tcW w:type="dxa" w:w="23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5</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0 — no accounts</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0.93M (+11.5%)</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4</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141.0M (+12.8%)</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32.9M (+47.5%)</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2</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83.3M (+15.4%) — but -18.2% ex-Zalando</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15.1M (+30.7%)</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3</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13.5M (-27.7%)</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12.5M (+25.1%)</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8"/>
                <w:szCs w:val="18"/>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tcMar>
              <w:top w:type="dxa" w:w="60"/>
              <w:left w:type="dxa" w:w="100"/>
              <w:bottom w:type="dxa" w:w="60"/>
              <w:right w:type="dxa" w:w="100"/>
            </w:tcMar>
            <w:vAlign w:val="center"/>
          </w:tcPr>
          <w:p>
            <w:pPr>
              <w:jc w:val="center"/>
            </w:pPr>
            <w:r>
              <w:rPr>
                <w:b w:val="false"/>
                <w:bCs w:val="false"/>
                <w:color w:val="000000"/>
                <w:sz w:val="18"/>
                <w:szCs w:val="18"/>
              </w:rPr>
              <w:t xml:space="preserve">60.1M (-8.6%)</w:t>
            </w:r>
          </w:p>
        </w:tc>
        <w:tc>
          <w:tcPr>
            <w:tcW w:type="dxa" w:w="2000"/>
            <w:tcMar>
              <w:top w:type="dxa" w:w="60"/>
              <w:left w:type="dxa" w:w="100"/>
              <w:bottom w:type="dxa" w:w="60"/>
              <w:right w:type="dxa" w:w="100"/>
            </w:tcMar>
            <w:vAlign w:val="center"/>
          </w:tcPr>
          <w:p>
            <w:pPr>
              <w:jc w:val="center"/>
            </w:pPr>
            <w:r>
              <w:rPr>
                <w:b w:val="false"/>
                <w:bCs w:val="false"/>
                <w:color w:val="000000"/>
                <w:sz w:val="18"/>
                <w:szCs w:val="18"/>
              </w:rPr>
              <w:t xml:space="preserve">8.4M (+37.9%)</w:t>
            </w:r>
          </w:p>
        </w:tc>
        <w:tc>
          <w:tcPr>
            <w:tcW w:type="dxa" w:w="2300"/>
            <w:tcMar>
              <w:top w:type="dxa" w:w="60"/>
              <w:left w:type="dxa" w:w="100"/>
              <w:bottom w:type="dxa" w:w="60"/>
              <w:right w:type="dxa" w:w="100"/>
            </w:tcMar>
            <w:vAlign w:val="center"/>
          </w:tcPr>
          <w:p>
            <w:pPr>
              <w:jc w:val="center"/>
            </w:pPr>
            <w:r>
              <w:rPr>
                <w:b w:val="false"/>
                <w:bCs w:val="false"/>
                <w:color w:val="000000"/>
                <w:sz w:val="18"/>
                <w:szCs w:val="18"/>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w:t>
            </w:r>
          </w:p>
        </w:tc>
        <w:tc>
          <w:tcPr>
            <w:tcW w:type="dxa" w:w="265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9.2M (-31.0%)</w:t>
            </w:r>
          </w:p>
        </w:tc>
        <w:tc>
          <w:tcPr>
            <w:tcW w:type="dxa" w:w="20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8.9M (+58.7%)</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Same divergence as UK, more extreme</w:t>
            </w:r>
          </w:p>
        </w:tc>
      </w:tr>
    </w:tbl>
    <w:p>
      <w:pPr>
        <w:spacing w:after="160"/>
      </w:pP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Topics 1-2 as structurally different from normal Wholesale demand; reading it as organic Wholesale growth overstates the German full-price case materially.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100"/>
        <w:gridCol w:w="1400"/>
        <w:gridCol w:w="32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8"/>
                <w:szCs w:val="18"/>
              </w:rPr>
              <w:t xml:space="preserve">Germany channel</w:t>
            </w:r>
          </w:p>
        </w:tc>
        <w:tc>
          <w:tcPr>
            <w:tcW w:type="dxa" w:w="2100"/>
            <w:shd w:fill="2F2F2F" w:val="clear"/>
            <w:tcMar>
              <w:top w:type="dxa" w:w="60"/>
              <w:left w:type="dxa" w:w="100"/>
              <w:bottom w:type="dxa" w:w="60"/>
              <w:right w:type="dxa" w:w="100"/>
            </w:tcMar>
            <w:vAlign w:val="center"/>
          </w:tcPr>
          <w:p>
            <w:pPr>
              <w:jc w:val="center"/>
            </w:pPr>
            <w:r>
              <w:rPr>
                <w:b/>
                <w:bCs/>
                <w:color w:val="FFFFFF"/>
                <w:sz w:val="18"/>
                <w:szCs w:val="18"/>
              </w:rPr>
              <w:t xml:space="preserve">Units 2024 → 2025</w:t>
            </w:r>
          </w:p>
        </w:tc>
        <w:tc>
          <w:tcPr>
            <w:tcW w:type="dxa" w:w="1400"/>
            <w:shd w:fill="2F2F2F" w:val="clear"/>
            <w:tcMar>
              <w:top w:type="dxa" w:w="60"/>
              <w:left w:type="dxa" w:w="100"/>
              <w:bottom w:type="dxa" w:w="60"/>
              <w:right w:type="dxa" w:w="100"/>
            </w:tcMar>
            <w:vAlign w:val="center"/>
          </w:tcPr>
          <w:p>
            <w:pPr>
              <w:jc w:val="center"/>
            </w:pPr>
            <w:r>
              <w:rPr>
                <w:b/>
                <w:bCs/>
                <w:color w:val="FFFFFF"/>
                <w:sz w:val="18"/>
                <w:szCs w:val="18"/>
              </w:rPr>
              <w:t xml:space="preserve">Change</w:t>
            </w:r>
          </w:p>
        </w:tc>
        <w:tc>
          <w:tcPr>
            <w:tcW w:type="dxa" w:w="3200"/>
            <w:shd w:fill="2F2F2F" w:val="clear"/>
            <w:tcMar>
              <w:top w:type="dxa" w:w="60"/>
              <w:left w:type="dxa" w:w="100"/>
              <w:bottom w:type="dxa" w:w="60"/>
              <w:right w:type="dxa" w:w="100"/>
            </w:tcMar>
            <w:vAlign w:val="center"/>
          </w:tcPr>
          <w:p>
            <w:pPr>
              <w:jc w:val="center"/>
            </w:pPr>
            <w:r>
              <w:rPr>
                <w:b/>
                <w:bCs/>
                <w:color w:val="FFFFFF"/>
                <w:sz w:val="18"/>
                <w:szCs w:val="18"/>
              </w:rPr>
              <w:t xml:space="preserve">ASP / margin trend</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Zalando (discount)</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73,834 → 101,211</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+37.1%</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+10.8% (468→519 SEK), GM% down 36.0%→30.1%</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Independent Wholesale (ex-Zalando)</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50,482 → 40,899</w:t>
            </w:r>
          </w:p>
        </w:tc>
        <w:tc>
          <w:tcPr>
            <w:tcW w:type="dxa" w:w="14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-19.0%</w:t>
            </w:r>
          </w:p>
        </w:tc>
        <w:tc>
          <w:tcPr>
            <w:tcW w:type="dxa" w:w="3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ASP roughly flat (+0.9%) — a volume story, not a price-cutting story</w:t>
            </w:r>
          </w:p>
        </w:tc>
      </w:tr>
      <w:tr>
        <w:tc>
          <w:tcPr>
            <w:tcW w:type="dxa" w:w="2650"/>
            <w:tcMar>
              <w:top w:type="dxa" w:w="60"/>
              <w:left w:type="dxa" w:w="100"/>
              <w:bottom w:type="dxa" w:w="60"/>
              <w:right w:type="dxa" w:w="100"/>
            </w:tcMar>
            <w:vAlign w:val="center"/>
          </w:tcPr>
          <w:p>
            <w:pPr>
              <w:jc w:val="left"/>
            </w:pPr>
            <w:r>
              <w:rPr>
                <w:b w:val="false"/>
                <w:bCs w:val="false"/>
                <w:color w:val="000000"/>
                <w:sz w:val="18"/>
                <w:szCs w:val="18"/>
              </w:rPr>
              <w:t xml:space="preserve">Haglöfs own E-com</w:t>
            </w:r>
          </w:p>
        </w:tc>
        <w:tc>
          <w:tcPr>
            <w:tcW w:type="dxa" w:w="2100"/>
            <w:tcMar>
              <w:top w:type="dxa" w:w="60"/>
              <w:left w:type="dxa" w:w="100"/>
              <w:bottom w:type="dxa" w:w="60"/>
              <w:right w:type="dxa" w:w="100"/>
            </w:tcMar>
            <w:vAlign w:val="center"/>
          </w:tcPr>
          <w:p>
            <w:pPr>
              <w:jc w:val="center"/>
            </w:pPr>
            <w:r>
              <w:rPr>
                <w:b w:val="false"/>
                <w:bCs w:val="false"/>
                <w:color w:val="000000"/>
                <w:sz w:val="18"/>
                <w:szCs w:val="18"/>
              </w:rPr>
              <w:t xml:space="preserve">8,490 → 11,959</w:t>
            </w:r>
          </w:p>
        </w:tc>
        <w:tc>
          <w:tcPr>
            <w:tcW w:type="dxa" w:w="1400"/>
            <w:tcMar>
              <w:top w:type="dxa" w:w="60"/>
              <w:left w:type="dxa" w:w="100"/>
              <w:bottom w:type="dxa" w:w="60"/>
              <w:right w:type="dxa" w:w="100"/>
            </w:tcMar>
            <w:vAlign w:val="center"/>
          </w:tcPr>
          <w:p>
            <w:pPr>
              <w:jc w:val="center"/>
            </w:pPr>
            <w:r>
              <w:rPr>
                <w:b w:val="false"/>
                <w:bCs w:val="false"/>
                <w:color w:val="000000"/>
                <w:sz w:val="18"/>
                <w:szCs w:val="18"/>
              </w:rPr>
              <w:t xml:space="preserve">+40.9%</w:t>
            </w:r>
          </w:p>
        </w:tc>
        <w:tc>
          <w:tcPr>
            <w:tcW w:type="dxa" w:w="3200"/>
            <w:tcMar>
              <w:top w:type="dxa" w:w="60"/>
              <w:left w:type="dxa" w:w="100"/>
              <w:bottom w:type="dxa" w:w="60"/>
              <w:right w:type="dxa" w:w="100"/>
            </w:tcMar>
            <w:vAlign w:val="center"/>
          </w:tcPr>
          <w:p>
            <w:pPr>
              <w:jc w:val="center"/>
            </w:pPr>
            <w:r>
              <w:rPr>
                <w:b w:val="false"/>
                <w:bCs w:val="false"/>
                <w:color w:val="000000"/>
                <w:sz w:val="18"/>
                <w:szCs w:val="18"/>
              </w:rPr>
              <w:t xml:space="preserve">ASP down 7.2% (1,359→1,261 SEK), GM% down 68.3%→64.1%</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Has the München/Hamburg business case been stress-tested against a 'Zalando-anchored' German consumer, or does it assume the same full-price receptivity as markets like Sweden where Haglöfs' heritage is stronger? Is there any brand-perception or price-expectation research specific to Germany?</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spacing w:after="160"/>
      </w:pPr>
      <w:r>
        <w:rPr>
          <w:b/>
          <w:bCs/>
        </w:rPr>
        <w:t xml:space="preserve">Key articles</w:t>
      </w:r>
    </w:p>
    <w:p>
      <w:pPr>
        <w:spacing w:after="160"/>
      </w:pP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r>
        <w:br w:type="page"/>
      </w:r>
    </w:p>
    <w:p>
      <w:pPr>
        <w:pStyle w:val="Heading1"/>
        <w:spacing w:after="160" w:before="320"/>
      </w:pPr>
      <w:r>
        <w:t xml:space="preserve">7. New Market Expansion</w:t>
      </w:r>
    </w:p>
    <w:p>
      <w:pPr>
        <w:pStyle w:val="Heading2"/>
        <w:spacing w:after="120" w:before="240"/>
      </w:pPr>
      <w:r>
        <w:t xml:space="preserve">7.1 Re-Entry Markets: Germany, Austria, Switzerland</w:t>
      </w:r>
    </w:p>
    <w:p>
      <w:pPr>
        <w:pBdr>
          <w:left w:val="single" w:color="2E8FB5" w:sz="18"/>
        </w:pBdr>
        <w:shd w:fill="E3F1F7" w:val="clear"/>
        <w:spacing w:after="120" w:before="100"/>
        <w:ind w:left="150" w:right="100"/>
      </w:pPr>
      <w:r>
        <w:rPr>
          <w:b/>
          <w:bCs/>
          <w:color w:val="0F5C7A"/>
        </w:rPr>
        <w:t xml:space="preserve">2026 YTD ADDED: </w:t>
      </w:r>
      <w:r>
        <w:t xml:space="preserve">Germany: Zalando's share of Wholesale fell from 63.0% (FY2025) to 56.3% (YTD2026) — the discount-anchoring risk is easing, not worsening, consistent with the active 'clean up the market over 1-2 years' push discussed on 2026-07-28. Independent, ex-Zalando Wholesale is already tracking at or above its FY2025 full-year total on an annualized YTD2026 basis.</w:t>
      </w:r>
    </w:p>
    <w:p>
      <w:pPr>
        <w:pBdr>
          <w:left w:val="single" w:color="3C8A4C" w:sz="18"/>
        </w:pBdr>
        <w:shd w:fill="EAF3EA" w:val="clear"/>
        <w:spacing w:after="120" w:before="100"/>
        <w:ind w:left="150" w:right="100"/>
      </w:pPr>
      <w:r>
        <w:rPr>
          <w:b/>
          <w:bCs/>
          <w:color w:val="1F5C2E"/>
        </w:rPr>
        <w:t xml:space="preserve">DATA SHOWS: </w:t>
      </w:r>
      <w:r>
        <w:t xml:space="preserve">Austria: the zero-Wholesale, zero-Retail footprint has a real explanation, confirmed 2026-07-28 — XXL previously forced other Austrian retailers to drop Haglöfs, then XXL went bankrupt in Austria, leaving a genuine distribution vacuum. Current agent (Martin) is rated well and some residual brand awareness exists. Outlet allocation has since been redirected to Germany, ahead of Austria.</w:t>
      </w:r>
    </w:p>
    <w:p>
      <w:pPr>
        <w:pBdr>
          <w:left w:val="single" w:color="B23A3A" w:sz="18"/>
        </w:pBdr>
        <w:shd w:fill="FBE7E7" w:val="clear"/>
        <w:spacing w:after="120" w:before="100"/>
        <w:ind w:left="150" w:right="100"/>
      </w:pPr>
      <w:r>
        <w:rPr>
          <w:b/>
          <w:bCs/>
          <w:color w:val="7A1F1F"/>
        </w:rPr>
        <w:t xml:space="preserve">METHODOLOGY FLAG: </w:t>
      </w:r>
      <w:r>
        <w:t xml:space="preserve">Switzerland has almost no grounding in this engagement. The sales data shows only a small existing Wholesale presence (4.5M SEK 2024 -&gt; 7.4M SEK 2025), no Retail or E-com at all, and nothing has been analyzed here beyond that. Treat any Switzerland re-entry case as needing fresh work, not an extension of the Germany/Austria analysis.</w:t>
      </w:r>
    </w:p>
    <w:p>
      <w:pPr>
        <w:pStyle w:val="Heading2"/>
        <w:spacing w:after="120" w:before="240"/>
      </w:pPr>
      <w:r>
        <w:t xml:space="preserve">7.2 New (Distributor) Markets: China, Korea, Japan</w:t>
      </w:r>
    </w:p>
    <w:p>
      <w:pPr>
        <w:pBdr>
          <w:left w:val="single" w:color="3C8A4C" w:sz="18"/>
        </w:pBdr>
        <w:shd w:fill="EAF3EA" w:val="clear"/>
        <w:spacing w:after="120" w:before="100"/>
        <w:ind w:left="150" w:right="100"/>
      </w:pPr>
      <w:r>
        <w:rPr>
          <w:b/>
          <w:bCs/>
          <w:color w:val="1F5C2E"/>
        </w:rPr>
        <w:t xml:space="preserve">DATA SHOWS: </w:t>
      </w:r>
      <w:r>
        <w:t xml:space="preserve">Korea: the HAYL account, which opened modestly in FY2025 (6.7M SEK, almost entirely Preorder), has already exceeded that full-year total in YTD2026 (7.9M SEK) — but still with effectively zero Reorder activity in either period, so there is no track record yet on whether this volume repeats.</w:t>
      </w:r>
    </w:p>
    <w:p>
      <w:pPr>
        <w:spacing w:after="160"/>
      </w:pPr>
      <w:r>
        <w:t xml:space="preserve">Sales trend by market and account, FY2024 - YTD2026:</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350"/>
        <w:gridCol w:w="1600"/>
        <w:gridCol w:w="1600"/>
        <w:gridCol w:w="1600"/>
        <w:gridCol w:w="2200"/>
      </w:tblGrid>
      <w:tr>
        <w:trPr>
          <w:tblHeader/>
        </w:trPr>
        <w:tc>
          <w:tcPr>
            <w:tcW w:type="dxa" w:w="2350"/>
            <w:shd w:fill="2F2F2F" w:val="clear"/>
            <w:tcMar>
              <w:top w:type="dxa" w:w="60"/>
              <w:left w:type="dxa" w:w="100"/>
              <w:bottom w:type="dxa" w:w="60"/>
              <w:right w:type="dxa" w:w="100"/>
            </w:tcMar>
            <w:vAlign w:val="center"/>
          </w:tcPr>
          <w:p>
            <w:pPr>
              <w:jc w:val="left"/>
            </w:pPr>
            <w:r>
              <w:rPr>
                <w:b/>
                <w:bCs/>
                <w:color w:val="FFFFFF"/>
                <w:sz w:val="18"/>
                <w:szCs w:val="18"/>
              </w:rPr>
              <w:t xml:space="preserve">Market / Account</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FY2024</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FY2025</w:t>
            </w:r>
          </w:p>
        </w:tc>
        <w:tc>
          <w:tcPr>
            <w:tcW w:type="dxa" w:w="1600"/>
            <w:shd w:fill="2F2F2F" w:val="clear"/>
            <w:tcMar>
              <w:top w:type="dxa" w:w="60"/>
              <w:left w:type="dxa" w:w="100"/>
              <w:bottom w:type="dxa" w:w="60"/>
              <w:right w:type="dxa" w:w="100"/>
            </w:tcMar>
            <w:vAlign w:val="center"/>
          </w:tcPr>
          <w:p>
            <w:pPr>
              <w:jc w:val="center"/>
            </w:pPr>
            <w:r>
              <w:rPr>
                <w:b/>
                <w:bCs/>
                <w:color w:val="FFFFFF"/>
                <w:sz w:val="18"/>
                <w:szCs w:val="18"/>
              </w:rPr>
              <w:t xml:space="preserve">YTD2026</w:t>
            </w:r>
          </w:p>
        </w:tc>
        <w:tc>
          <w:tcPr>
            <w:tcW w:type="dxa" w:w="2200"/>
            <w:shd w:fill="2F2F2F" w:val="clear"/>
            <w:tcMar>
              <w:top w:type="dxa" w:w="60"/>
              <w:left w:type="dxa" w:w="100"/>
              <w:bottom w:type="dxa" w:w="60"/>
              <w:right w:type="dxa" w:w="100"/>
            </w:tcMar>
            <w:vAlign w:val="center"/>
          </w:tcPr>
          <w:p>
            <w:pPr>
              <w:jc w:val="center"/>
            </w:pPr>
            <w:r>
              <w:rPr>
                <w:b/>
                <w:bCs/>
                <w:color w:val="FFFFFF"/>
                <w:sz w:val="18"/>
                <w:szCs w:val="18"/>
              </w:rPr>
              <w:t xml:space="preserve">Read</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China (distributor)</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0.5M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49.0M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17.1M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Transformational FY24→FY25 step-change; YTD2026 annualizes to ~41M, tracking a little behind the FY2025 level but still an order of magnitude above FY2024</w:t>
            </w:r>
          </w:p>
        </w:tc>
      </w:tr>
      <w:tr>
        <w:tc>
          <w:tcPr>
            <w:tcW w:type="dxa" w:w="2350"/>
            <w:shd w:fill="F5F5F5" w:val="clear"/>
            <w:tcMar>
              <w:top w:type="dxa" w:w="60"/>
              <w:left w:type="dxa" w:w="100"/>
              <w:bottom w:type="dxa" w:w="60"/>
              <w:right w:type="dxa" w:w="100"/>
            </w:tcMar>
            <w:vAlign w:val="center"/>
          </w:tcPr>
          <w:p>
            <w:pPr>
              <w:jc w:val="left"/>
            </w:pPr>
            <w:r>
              <w:rPr>
                <w:b w:val="false"/>
                <w:bCs w:val="false"/>
                <w:color w:val="000000"/>
                <w:sz w:val="18"/>
                <w:szCs w:val="18"/>
              </w:rPr>
              <w:t xml:space="preserve">Korea (HAYL)</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0</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6.7M</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7.9M</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8"/>
                <w:szCs w:val="18"/>
              </w:rPr>
              <w:t xml:space="preserve">Already past full-year FY2025 total within YTD2026 — see box above</w:t>
            </w:r>
          </w:p>
        </w:tc>
      </w:tr>
      <w:tr>
        <w:tc>
          <w:tcPr>
            <w:tcW w:type="dxa" w:w="2350"/>
            <w:tcMar>
              <w:top w:type="dxa" w:w="60"/>
              <w:left w:type="dxa" w:w="100"/>
              <w:bottom w:type="dxa" w:w="60"/>
              <w:right w:type="dxa" w:w="100"/>
            </w:tcMar>
            <w:vAlign w:val="center"/>
          </w:tcPr>
          <w:p>
            <w:pPr>
              <w:jc w:val="left"/>
            </w:pPr>
            <w:r>
              <w:rPr>
                <w:b w:val="false"/>
                <w:bCs w:val="false"/>
                <w:color w:val="000000"/>
                <w:sz w:val="18"/>
                <w:szCs w:val="18"/>
              </w:rPr>
              <w:t xml:space="preserve">Japan (RCT Systems)</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12.9M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21.2M</w:t>
            </w:r>
          </w:p>
        </w:tc>
        <w:tc>
          <w:tcPr>
            <w:tcW w:type="dxa" w:w="1600"/>
            <w:tcMar>
              <w:top w:type="dxa" w:w="60"/>
              <w:left w:type="dxa" w:w="100"/>
              <w:bottom w:type="dxa" w:w="60"/>
              <w:right w:type="dxa" w:w="100"/>
            </w:tcMar>
            <w:vAlign w:val="center"/>
          </w:tcPr>
          <w:p>
            <w:pPr>
              <w:jc w:val="center"/>
            </w:pPr>
            <w:r>
              <w:rPr>
                <w:b w:val="false"/>
                <w:bCs w:val="false"/>
                <w:color w:val="000000"/>
                <w:sz w:val="18"/>
                <w:szCs w:val="18"/>
              </w:rPr>
              <w:t xml:space="preserve">2.5M</w:t>
            </w:r>
          </w:p>
        </w:tc>
        <w:tc>
          <w:tcPr>
            <w:tcW w:type="dxa" w:w="2200"/>
            <w:tcMar>
              <w:top w:type="dxa" w:w="60"/>
              <w:left w:type="dxa" w:w="100"/>
              <w:bottom w:type="dxa" w:w="60"/>
              <w:right w:type="dxa" w:w="100"/>
            </w:tcMar>
            <w:vAlign w:val="center"/>
          </w:tcPr>
          <w:p>
            <w:pPr>
              <w:jc w:val="center"/>
            </w:pPr>
            <w:r>
              <w:rPr>
                <w:b w:val="false"/>
                <w:bCs w:val="false"/>
                <w:color w:val="000000"/>
                <w:sz w:val="18"/>
                <w:szCs w:val="18"/>
              </w:rPr>
              <w:t xml:space="preserve">YTD2026 annualizes to well below FY2025 — see data-quality flag below</w:t>
            </w:r>
          </w:p>
        </w:tc>
      </w:tr>
    </w:tbl>
    <w:p>
      <w:pPr>
        <w:pBdr>
          <w:left w:val="single" w:color="B23A3A" w:sz="18"/>
        </w:pBdr>
        <w:shd w:fill="FBE7E7" w:val="clear"/>
        <w:spacing w:after="120" w:before="100"/>
        <w:ind w:left="150" w:right="100"/>
      </w:pPr>
      <w:r>
        <w:rPr>
          <w:b/>
          <w:bCs/>
          <w:color w:val="7A1F1F"/>
        </w:rPr>
        <w:t xml:space="preserve">METHODOLOGY FLAG: </w:t>
      </w:r>
      <w:r>
        <w:t xml:space="preserve">The Japan YTD2026 extract has a second row, 6.2M SEK tagged Customer Group '*MISSING*' under Sales Market Japan — likely unmapped account codes from a system change, not a real new account. If that volume genuinely belongs to RCT Systems, combined Japan YTD2026 is ~8.7M SEK, annualizing close to flat versus FY2025's 21.2M rather than sharply down. This should be reconciled with whoever owns the YTD2026 extract before either reading is presented as fact.</w:t>
      </w:r>
    </w:p>
    <w:p>
      <w:pPr>
        <w:spacing w:after="160"/>
      </w:pPr>
      <w:r>
        <w:t xml:space="preserve">China and Japan already have dedicated coverage elsewhere in this bridge (special-account and Q2 2026 Key Account analysis); 'what do these markets want' is a distributor-relationship question for the team, not something derivable from the sales extract.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787840a79eda1c30aa59686f3f9366c5ee57017.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2026-07-30T19:59:08.040Z</dcterms:created>
  <dcterms:modified xsi:type="dcterms:W3CDTF">2026-07-30T19:59:08.041Z</dcterms:modified>
</cp:coreProperties>
</file>

<file path=docProps/custom.xml><?xml version="1.0" encoding="utf-8"?>
<Properties xmlns="http://schemas.openxmlformats.org/officeDocument/2006/custom-properties" xmlns:vt="http://schemas.openxmlformats.org/officeDocument/2006/docPropsVTypes"/>
</file>