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Section 1-2 — Draft v8</w:t>
      </w:r>
    </w:p>
    <w:p>
      <w:pPr>
        <w:spacing w:after="40"/>
      </w:pPr>
      <w:r>
        <w:rPr>
          <w:i/>
          <w:iCs/>
          <w:color w:val="666666"/>
          <w:sz w:val="22"/>
          <w:szCs w:val="22"/>
        </w:rPr>
        <w:t xml:space="preserve">Working section, built for review before continuing to Section 3 (Opportunities)</w:t>
      </w:r>
    </w:p>
    <w:p>
      <w:pPr>
        <w:spacing w:after="300"/>
      </w:pPr>
      <w:r>
        <w:rPr>
          <w:color w:val="888888"/>
          <w:sz w:val="20"/>
          <w:szCs w:val="20"/>
        </w:rPr>
        <w:t xml:space="preserve">2026-08-04</w:t>
      </w:r>
    </w:p>
    <w:p>
      <w:pPr>
        <w:pStyle w:val="Heading3"/>
        <w:spacing w:after="100" w:before="200"/>
      </w:pPr>
      <w:r>
        <w:t xml:space="preserve">Please note</w:t>
      </w:r>
    </w:p>
    <w:p>
      <w:pPr>
        <w:spacing w:after="160"/>
      </w:pPr>
      <w:r>
        <w:rPr>
          <w:b/>
          <w:bCs/>
        </w:rPr>
        <w:t xml:space="preserve">Source:</w:t>
      </w:r>
    </w:p>
    <w:p>
      <w:pPr>
        <w:pStyle w:val="ListParagraph"/>
        <w:numPr>
          <w:ilvl w:val="0"/>
          <w:numId w:val="2"/>
        </w:numPr>
        <w:spacing w:after="80"/>
      </w:pPr>
      <w:r>
        <w:t xml:space="preserve">FY2024-H1 2026 Financial (P&amp;L)</w:t>
      </w:r>
    </w:p>
    <w:p>
      <w:pPr>
        <w:pStyle w:val="ListParagraph"/>
        <w:numPr>
          <w:ilvl w:val="0"/>
          <w:numId w:val="2"/>
        </w:numPr>
        <w:spacing w:after="80"/>
      </w:pPr>
      <w:r>
        <w:t xml:space="preserve">FY2024-YTD 2026 Sales data (as of 2026-07-28)</w:t>
      </w:r>
    </w:p>
    <w:p>
      <w:pPr>
        <w:pStyle w:val="ListParagraph"/>
        <w:numPr>
          <w:ilvl w:val="0"/>
          <w:numId w:val="2"/>
        </w:numPr>
        <w:spacing w:after="80"/>
      </w:pPr>
      <w:r>
        <w:t xml:space="preserve">FY2029 Mid-Term Plan (MTP) target</w:t>
      </w:r>
    </w:p>
    <w:p>
      <w:pPr>
        <w:pStyle w:val="ListParagraph"/>
        <w:numPr>
          <w:ilvl w:val="0"/>
          <w:numId w:val="2"/>
        </w:numPr>
        <w:spacing w:after="80"/>
      </w:pPr>
      <w:r>
        <w:t xml:space="preserve">Ecom monthly discount sales, FY2024-YTD 2026</w:t>
      </w:r>
    </w:p>
    <w:p>
      <w:pPr>
        <w:spacing w:after="160"/>
      </w:pPr>
      <w:r>
        <w:t xml:space="preserve">All SEK figures are in the currency and units of the source data (no FX adjustment).</w:t>
      </w:r>
    </w:p>
    <w:p>
      <w:pPr>
        <w:spacing w:after="160"/>
      </w:pPr>
      <w:r>
        <w:t xml:space="preserve">Appendix / Backup data: supporting data is prepared separately to back up this analysis -- see the accompanying workbook.</w:t>
      </w:r>
    </w:p>
    <w:p>
      <w:pPr>
        <w:spacing w:after="160"/>
      </w:pPr>
      <w:r>
        <w:rPr>
          <w:b/>
          <w:bCs/>
        </w:rPr>
        <w:t xml:space="preserve">Three standing data gaps:</w:t>
      </w:r>
    </w:p>
    <w:p>
      <w:pPr>
        <w:pStyle w:val="ListParagraph"/>
        <w:numPr>
          <w:ilvl w:val="0"/>
          <w:numId w:val="2"/>
        </w:numPr>
        <w:spacing w:after="80"/>
      </w:pPr>
      <w:r>
        <w:t xml:space="preserve">No month/date field exists for Wholesale/Retail in the sales extract, so within-year discount monitoring like the E-com cut isn't possible today.</w:t>
      </w:r>
    </w:p>
    <w:p>
      <w:pPr>
        <w:pStyle w:val="ListParagraph"/>
        <w:numPr>
          <w:ilvl w:val="0"/>
          <w:numId w:val="2"/>
        </w:numPr>
        <w:spacing w:after="80"/>
      </w:pPr>
      <w:r>
        <w:t xml:space="preserve">Sales data doesn't provide monthly granularity. Therefore YTD2026 sales data cannot be compared to YTD2025 on a matched-period basis. Instead, 2026 Pacing vs. FY2025 (full year) is used throughout to track direction.</w:t>
      </w:r>
    </w:p>
    <w:p>
      <w:pPr>
        <w:pStyle w:val="ListParagraph"/>
        <w:numPr>
          <w:ilvl w:val="0"/>
          <w:numId w:val="2"/>
        </w:numPr>
        <w:spacing w:after="80"/>
      </w:pPr>
      <w:r>
        <w:t xml:space="preserve">Own Retail sales data doesn't provide a breakdown between brand stores and outlet. Therefore Retail Sales and GP throughout this brief are blended across both formats.</w:t>
      </w:r>
    </w:p>
    <w:p>
      <w:r>
        <w:br w:type="page"/>
      </w:r>
    </w:p>
    <w:p>
      <w:pPr>
        <w:pStyle w:val="Heading1"/>
        <w:spacing w:after="160" w:before="320"/>
      </w:pPr>
      <w:r>
        <w:t xml:space="preserve">1. Problem Statement and Workshop Objectives</w:t>
      </w:r>
    </w:p>
    <w:p>
      <w:pPr>
        <w:spacing w:after="160"/>
      </w:pPr>
      <w:r>
        <w:t xml:space="preserve">Through 2029, the target is a +15pt Gross Margin improvement (39.2% FY2025A -&gt; ~54% FY2029E). Channel shift to ~50% DTC is worth up to 5pt of that. That leaves roughly 10pt still to find.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2600"/>
            <w:shd w:fill="2F2F2F" w:val="clear"/>
            <w:tcMar>
              <w:top w:type="dxa" w:w="60"/>
              <w:left w:type="dxa" w:w="100"/>
              <w:bottom w:type="dxa" w:w="60"/>
              <w:right w:type="dxa" w:w="100"/>
            </w:tcMar>
            <w:vAlign w:val="center"/>
          </w:tcPr>
          <w:p>
            <w:pPr>
              <w:jc w:val="center"/>
            </w:pPr>
            <w:r>
              <w:rPr>
                <w:b/>
                <w:bCs/>
                <w:color w:val="FFFFFF"/>
                <w:sz w:val="18"/>
                <w:szCs w:val="18"/>
              </w:rPr>
              <w:t xml:space="preserve">GP% contribution</w:t>
            </w:r>
          </w:p>
        </w:tc>
        <w:tc>
          <w:tcPr>
            <w:tcW w:type="dxa" w:w="2550"/>
            <w:shd w:fill="2F2F2F" w:val="clear"/>
            <w:tcMar>
              <w:top w:type="dxa" w:w="60"/>
              <w:left w:type="dxa" w:w="100"/>
              <w:bottom w:type="dxa" w:w="60"/>
              <w:right w:type="dxa" w:w="100"/>
            </w:tcMar>
            <w:vAlign w:val="center"/>
          </w:tcPr>
          <w:p>
            <w:pPr>
              <w:jc w:val="center"/>
            </w:pPr>
            <w:r>
              <w:rPr>
                <w:b/>
                <w:bCs/>
                <w:color w:val="FFFFFF"/>
                <w:sz w:val="18"/>
                <w:szCs w:val="18"/>
              </w:rPr>
              <w:t xml:space="preserve">Status</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Full target gap</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+15pt (39.2% -&gt; ~54%)</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Fixed reference point</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to DTC (aggressive, ~50% mix)</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up to +5pt</w:t>
            </w:r>
          </w:p>
        </w:tc>
        <w:tc>
          <w:tcPr>
            <w:tcW w:type="dxa" w:w="2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actually-approved 16-store plan alone is only +1.4pt -- see Section 3.7</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Remaining to find</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~10pt</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This is what the opportunity sections in Section 3 are for</w:t>
            </w:r>
          </w:p>
        </w:tc>
      </w:tr>
    </w:tbl>
    <w:p>
      <w:pPr>
        <w:spacing w:after="160"/>
      </w:pPr>
      <w:r>
        <w:t xml:space="preserve">FY 2025 channel-level sales and margin, sales-extract basis, all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658.4M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75.1%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36.6%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61.2%</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71.4%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877.2M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41.0%</w:t>
            </w:r>
          </w:p>
        </w:tc>
      </w:tr>
    </w:tbl>
    <w:p>
      <w:pPr>
        <w:pStyle w:val="Heading3"/>
        <w:spacing w:after="100" w:before="200"/>
      </w:pPr>
      <w:r>
        <w:t xml:space="preserve">Sensitivity 1 — holding each channel's own margin fixed, varying only the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Wholesale share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Blended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Change vs. 2025</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75.1% (current)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70.0%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41.9%</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65.0%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+1.8pt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43.7%</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55.0%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+3.6pt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+4.5pt</w:t>
            </w:r>
          </w:p>
        </w:tc>
      </w:tr>
    </w:tbl>
    <w:p>
      <w:pPr>
        <w:spacing w:after="160"/>
      </w:pPr>
      <w:r>
        <w:t xml:space="preserve">Even an aggressive mix shift — cutting Wholesale's share by a third, from 75% to 50%, far beyond anything currently planned — is only worth +4.5pt. Against a residual in the 9-11pt range, channel mix closes at most half of it under an aggressive scenario, and about an eighth of it under the approved plan.</w:t>
      </w:r>
    </w:p>
    <w:p>
      <w:pPr>
        <w:pBdr>
          <w:left w:val="single" w:color="B23A3A" w:sz="18"/>
        </w:pBdr>
        <w:shd w:fill="FBE7E7" w:val="clear"/>
        <w:spacing w:after="120" w:before="100"/>
        <w:ind w:left="150" w:right="100"/>
      </w:pPr>
      <w:r>
        <w:rPr>
          <w:b/>
          <w:bCs/>
          <w:color w:val="7A1F1F"/>
        </w:rPr>
        <w:t xml:space="preserve">METHODOLOGY FLAG: </w:t>
      </w:r>
      <w:r>
        <w:t xml:space="preserve">Reconciliation reminder, carried from the prior draft: the levers already sized elsewhere in this engagement (portfolio tier-mix optimization, the Problem Child pricing fix) total roughly 2-5.5pt and overlap with several Section 3 opportunities. Each opportunity should get an explicit pt-contribution estimate so 'where do we find 10%' resolves to an actual sum, not an assumed one.</w:t>
      </w:r>
    </w:p>
    <w:p>
      <w:pPr>
        <w:pStyle w:val="Heading3"/>
        <w:spacing w:after="100" w:before="200"/>
      </w:pPr>
      <w:r>
        <w:t xml:space="preserve">Sensitivity Test 2 — Wholesale order type mix</w:t>
      </w:r>
    </w:p>
    <w:p>
      <w:pPr>
        <w:spacing w:after="160"/>
      </w:pPr>
      <w:r>
        <w:t xml:space="preserve">Starting from the current Wholesale Preorder / Reorder / Closeout mix (core, ex-special-account basis), holding each ordertype's own FY2025 margin fixed -- simplified scenario: Closeout fixed at 5%, Reorder stepped through 16% / 20% / 25% / 30%, Preorder as the residual: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Current mix</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72.9%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 (Wholesale, core)</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600"/>
        <w:gridCol w:w="1850"/>
        <w:gridCol w:w="14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Scenario (Closeout fixed at 5%)</w:t>
            </w:r>
          </w:p>
        </w:tc>
        <w:tc>
          <w:tcPr>
            <w:tcW w:type="dxa" w:w="1700"/>
            <w:shd w:fill="2F2F2F" w:val="clear"/>
            <w:tcMar>
              <w:top w:type="dxa" w:w="60"/>
              <w:left w:type="dxa" w:w="100"/>
              <w:bottom w:type="dxa" w:w="60"/>
              <w:right w:type="dxa" w:w="100"/>
            </w:tcMar>
            <w:vAlign w:val="center"/>
          </w:tcPr>
          <w:p>
            <w:pPr>
              <w:jc w:val="center"/>
            </w:pPr>
            <w:r>
              <w:rPr>
                <w:b/>
                <w:bCs/>
                <w:color w:val="FFFFFF"/>
                <w:sz w:val="18"/>
                <w:szCs w:val="18"/>
              </w:rPr>
              <w:t xml:space="preserve">Preorder mix</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Reorder mix</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Closeout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Blended Wholesale GM%</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 vs. current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Reorder 16%</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43.6%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+1.3pt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 20%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Reorder 25%</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70.0%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 30%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+1.1pt</w:t>
            </w:r>
          </w:p>
        </w:tc>
      </w:tr>
    </w:tbl>
    <w:p>
      <w:pPr>
        <w:pBdr>
          <w:left w:val="single" w:color="B23A3A" w:sz="18"/>
        </w:pBdr>
        <w:shd w:fill="FBE7E7" w:val="clear"/>
        <w:spacing w:after="120" w:before="100"/>
        <w:ind w:left="150" w:right="100"/>
      </w:pPr>
      <w:r>
        <w:rPr>
          <w:b/>
          <w:bCs/>
          <w:color w:val="7A1F1F"/>
        </w:rPr>
        <w:t xml:space="preserve">METHODOLOGY FLAG: </w:t>
      </w:r>
      <w:r>
        <w:t xml:space="preserve">Non-obvious finding from this framing: almost all of the gain comes from cutting Closeout to 5% in the first place (current 42.3% -&gt; ~43.6% the moment Closeout drops, before Reorder share even moves). Once Closeout is fixed low, pushing Reorder higher from there (16% -&gt; 30%) actually makes blended margin marginally WORSE, not better (43.6% -&gt; 43.4%), because Reorder's own margin (43.4%) is slightly below Preorder's (44.9%) -- so growing Reorder at Preorder's expense is mildly dilutive on margin alone, even though Section 3.1's whole point is that Reorder is worth growing for volume/stability reasons. This is a Wholesale-only figure; scaled to the whole company at Wholesale's ~75% sales share, the ~1.1-1.3pt range above is roughly +0.8-1.0pt company-wide -- real, but similar in scale to the channel-mix lever above, not a standalone answer to the residual. It also assumes Closeout volume can actually be sold as Reorder at Reorder's margin, which Section 3.1's risk discussion (inventory risk, forecast-based demand) directly cautions against doing indiscriminately.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Workshop goal: find the remaining ~10pt. The two sensitivities above (channel mix, order-type mix) are the cleanest, most mechanical candidates and together cap out well short of it (~5-6pt combined, aggressive case) -- meaning the majority of the 10pt has to come from the opportunities in Section 3, not from remixing what already exists.</w:t>
      </w:r>
    </w:p>
    <w:p>
      <w:r>
        <w:br w:type="page"/>
      </w:r>
    </w:p>
    <w:p>
      <w:pPr>
        <w:pStyle w:val="Heading1"/>
        <w:spacing w:after="160" w:before="320"/>
      </w:pPr>
      <w:r>
        <w:t xml:space="preserve">2. Business Status Overview FY 2025</w:t>
      </w:r>
    </w:p>
    <w:p>
      <w:pPr>
        <w:spacing w:after="160"/>
      </w:pPr>
      <w:r>
        <w:t xml:space="preserve">Total company sales grew, but the growth is concentrated in a small number of special accounts and in new product -- not in the existing, continuing assortment. The like-for-like base (franchises really trading in both years, core accounts only) is where the underlying health of the business shows up, and it is declining.</w:t>
      </w:r>
    </w:p>
    <w:p>
      <w:pPr>
        <w:pStyle w:val="ListParagraph"/>
        <w:numPr>
          <w:ilvl w:val="0"/>
          <w:numId w:val="2"/>
        </w:numPr>
        <w:spacing w:after="80"/>
      </w:pPr>
      <w:r>
        <w:t xml:space="preserve">Like-for-like is not growing in Wholesale -- the core, continuing assortment is shrinking even as total company sales rise. The question is how to grow it, or how much of it is a genuine relevance problem versus a distribution/discounting problem.</w:t>
      </w:r>
    </w:p>
    <w:p>
      <w:pPr>
        <w:pStyle w:val="ListParagraph"/>
        <w:numPr>
          <w:ilvl w:val="0"/>
          <w:numId w:val="2"/>
        </w:numPr>
        <w:spacing w:after="80"/>
      </w:pPr>
      <w:r>
        <w:t xml:space="preserve">New products are commercially significant -- 19% of core sales (123.9M SEK) -- but a large share aren't proving out: only 13% get a Wholesale reorder, and 30 of 197 launches (15%) are flagged on 2+ risk indicators simultaneously. The question is not 'how to sell more of what exists' but 'why isn't more of it converting.' (Full New/Test evidence -- the launch-by-launch risk flags and the reorder-conversion detail -- is Section 3.4's supporting data, not repeated in this overview.)</w:t>
      </w:r>
    </w:p>
    <w:p>
      <w:pPr>
        <w:pStyle w:val="ListParagraph"/>
        <w:numPr>
          <w:ilvl w:val="0"/>
          <w:numId w:val="2"/>
        </w:numPr>
        <w:spacing w:after="80"/>
      </w:pPr>
      <w:r>
        <w:t xml:space="preserve">The decline is not one story across layers: some layers show the classic channel-shift pattern (Wholesale down, DTC up), while Daypacks and Hiking packs decline in every channel at once -- a genuine demand question, not a distribution one. See Section 2.2.1 for the layer-by-layer breakdown and Section 2.3 for the whole-company channel view.</w:t>
      </w:r>
    </w:p>
    <w:p>
      <w:pPr>
        <w:pStyle w:val="Heading2"/>
        <w:spacing w:after="120" w:before="240"/>
      </w:pPr>
      <w:r>
        <w:t xml:space="preserve">2.1 Total company, then special accounts vs.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500"/>
        <w:gridCol w:w="1500"/>
        <w:gridCol w:w="1050"/>
        <w:gridCol w:w="1050"/>
        <w:gridCol w:w="1300"/>
        <w:gridCol w:w="500"/>
      </w:tblGrid>
      <w:tr>
        <w:trPr>
          <w:tblHeader/>
        </w:trPr>
        <w:tc>
          <w:tcPr>
            <w:tcW w:type="dxa" w:w="24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Share of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2026 YTD (SEK)</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Core (all other accounts)</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619,614,345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649,760,108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74.1%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301,154,020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46.3%</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92,582,849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81,913,672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-6,885</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34,919,909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52,597,798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20,854,009</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469,902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49,134,024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+10,266%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17,087,984</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34.8%</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31,899,728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33,735,862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-6,906</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9,555,693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new</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7,595,412</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79.5%</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 MARKETPLACE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3,750,463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456,250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-87.0%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200"/>
      </w:pPr>
      <w:r>
        <w:rPr>
          <w:i/>
          <w:iCs/>
          <w:color w:val="555555"/>
          <w:sz w:val="18"/>
          <w:szCs w:val="18"/>
        </w:rPr>
        <w:t xml:space="preserve">Total company sales: 783.2M (2024) -&gt; 877.2M (2025), +94.0M. China and Zalando are both genuinely growing right now -- this is not simply legacy accounts winding down.</w:t>
      </w:r>
    </w:p>
    <w:p>
      <w:pPr>
        <w:pBdr>
          <w:left w:val="single" w:color="2E8FB5" w:sz="18"/>
        </w:pBdr>
        <w:shd w:fill="E3F1F7" w:val="clear"/>
        <w:spacing w:after="120" w:before="100"/>
        <w:ind w:left="150" w:right="100"/>
      </w:pPr>
      <w:r>
        <w:rPr>
          <w:b/>
          <w:bCs/>
          <w:color w:val="0F5C7A"/>
        </w:rPr>
        <w:t xml:space="preserve">2026 YTD ADDED: </w:t>
      </w:r>
      <w:r>
        <w:t xml:space="preserve">Pacing = YTD2026 sales as a % of the FY2025 full-year total; ~40-44% is roughly 'on pace' given the estimated 40-44%-of-year covered by the YTD2026 extract (no date field exists in any year's data, so this can't be matched to a calendar period more precisely). XXL SE/NO are effectively fully exited (both near-zero, return noise only). China and Zalando are pacing modestly behind the on-pace band (35-40%) but remain large in absolute terms. STADIUM Outlet is running well ahead of pace (79.5%) -- worth a direct check on whether that's a deliberate push or a timing artifact. Core is pacing at 46.3%, slightly ahead of the on-pace band.</w:t>
      </w:r>
    </w:p>
    <w:p>
      <w:pPr>
        <w:pStyle w:val="Heading2"/>
        <w:spacing w:after="120" w:before="240"/>
      </w:pPr>
      <w:r>
        <w:t xml:space="preserve">2.2 Composition of Core (649.8M in 2025) by Product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5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Continuing (like-for-like)</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572,329,079</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510,260,402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-62,068,677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(2024 only)</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36,639,301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7,430,226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-29,209,076</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Genuinely new (2025 only)</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2,241,588</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123,930,153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+121,688,566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both years)</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8,404,377</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8,139,327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-265,050</w:t>
            </w:r>
          </w:p>
        </w:tc>
      </w:tr>
    </w:tbl>
    <w:p>
      <w:pPr>
        <w:spacing w:after="200"/>
      </w:pPr>
      <w:r>
        <w:rPr>
          <w:i/>
          <w:iCs/>
          <w:color w:val="555555"/>
          <w:sz w:val="18"/>
          <w:szCs w:val="18"/>
        </w:rPr>
        <w:t xml:space="preserve">Reconciles exactly to Core's 619.6M -&gt; 649.8M. 'Continuing' is the true like-for-like base referenced throughout this brief.</w:t>
      </w:r>
    </w:p>
    <w:p>
      <w:pPr>
        <w:pBdr>
          <w:left w:val="single" w:color="C97A1A" w:sz="18"/>
        </w:pBdr>
        <w:shd w:fill="FCEFDC" w:val="clear"/>
        <w:spacing w:after="120" w:before="100"/>
        <w:ind w:left="150" w:right="100"/>
      </w:pPr>
      <w:r>
        <w:rPr>
          <w:b/>
          <w:bCs/>
          <w:color w:val="8A4B00"/>
        </w:rPr>
        <w:t xml:space="preserve">NOT ANSWERABLE FROM DATA — ASK: </w:t>
      </w:r>
      <w:r>
        <w:t xml:space="preserve">Why does 'Genuinely new (2025 only)' show 2.24M SEK of 2024 sales at all, if it's new in 2025? Checked directly: it's mostly NOT Preorder -- of that 2.24M, 58% (1.31M) is Retail-channel sales, 31% (0.69M) Reorder, only 6% (0.14M) Preorder, and 5% (0.10M) Closeout. This reads as limited pilot/trial availability in stores below the 100-unit real-trading threshold ahead of the full 2025 launch, not pre-booked Wholesale orders. Owner note: worth confirming with Retail/Merchandising whether soft-launching new styles in select stores ahead of the general range is deliberate practice.</w:t>
      </w:r>
    </w:p>
    <w:p>
      <w:pPr>
        <w:pStyle w:val="Heading3"/>
        <w:spacing w:after="100" w:before="200"/>
      </w:pPr>
      <w:r>
        <w:t xml:space="preserve">The same bucket breakdown, from a 2026 perspective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1800"/>
        <w:gridCol w:w="15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YTD2026 (SEK)</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Continuing (FY2025 &amp; YTD2026 both real)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730</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613,347,870</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245,634,202</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-367,713,668</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(real in FY2025, not yet in YTD2026)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20,842,685</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587,558</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-20,255,127</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Genuinely new (real in YTD2026, not in FY2025)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237</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6,306,722</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52,911,785</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+46,605,063</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in both periods)</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680</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9,262,831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2,020,475</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-7,242,356</w:t>
            </w:r>
          </w:p>
        </w:tc>
      </w:tr>
    </w:tbl>
    <w:p>
      <w:pPr>
        <w:pBdr>
          <w:left w:val="single" w:color="B23A3A" w:sz="18"/>
        </w:pBdr>
        <w:shd w:fill="FBE7E7" w:val="clear"/>
        <w:spacing w:after="120" w:before="100"/>
        <w:ind w:left="150" w:right="100"/>
      </w:pPr>
      <w:r>
        <w:rPr>
          <w:b/>
          <w:bCs/>
          <w:color w:val="7A1F1F"/>
        </w:rPr>
        <w:t xml:space="preserve">METHODOLOGY FLAG: </w:t>
      </w:r>
      <w:r>
        <w:t xml:space="preserve">Read this table as directional, not a like-for-like twin of the table above it: a 'real trading' franchise requires &gt;=100 units in FY2025 but only &gt;=20 units in YTD2026 (scaled for the estimated 40-44%-of-year covered), so the bucket boundaries aren't on equal footing across the two tables -- more franchises qualify as 'Continuing' here (730 vs. 623) simply because the 2026 bar is lower, and 'Genuinely new' picking up 237 franchises worth 52.9M SEK already is partly a reflection of that lower bar, not proof that new-launch productivity has jumped. Reconciles exactly to core's 649.8M (2025) and 301.2M (YTD2026) totals. Net Change compares a full year (2025) to a partial year (YTD2026) -- the large negative figures for Continuing/Discontinued are a coverage-period artifact, not a real collapse; do not read this column the same way as the FY-to-FY table above it.</w:t>
      </w:r>
    </w:p>
    <w:p>
      <w:pPr>
        <w:pBdr>
          <w:left w:val="single" w:color="C97A1A" w:sz="18"/>
        </w:pBdr>
        <w:shd w:fill="FCEFDC" w:val="clear"/>
        <w:spacing w:after="120" w:before="100"/>
        <w:ind w:left="150" w:right="100"/>
      </w:pPr>
      <w:r>
        <w:rPr>
          <w:b/>
          <w:bCs/>
          <w:color w:val="8A4B00"/>
        </w:rPr>
        <w:t xml:space="preserve">NOT ANSWERABLE FROM DATA — ASK: </w:t>
      </w:r>
      <w:r>
        <w:t xml:space="preserve">Same question as above, 2026-perspective version: 'Genuinely new' shows 6.31M SEK of 2025 sales despite being 'new' in YTD2026. Checked directly: again mostly NOT Preorder -- 53% (3.34M) is Retail-channel, 22% (1.36M) Preorder, 17% (1.08M) Reorder, 8% (0.52M) Closeout. Preorder is a somewhat larger share here than in the FY24-25 view, but still second to Retail-channel trial sales as the main explanation.</w:t>
      </w:r>
    </w:p>
    <w:p>
      <w:pPr>
        <w:pStyle w:val="Heading3"/>
        <w:spacing w:after="100" w:before="200"/>
      </w:pPr>
      <w:r>
        <w:t xml:space="preserve">2.2.1 Continuing franchises (like-for-like): growers vs. decliners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7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Group</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Net</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Growing</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241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220,656,775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287,402,685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+66,745,909</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Declining / flat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351,672,304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222,857,717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-128,814,586</w:t>
            </w:r>
          </w:p>
        </w:tc>
      </w:tr>
    </w:tbl>
    <w:p>
      <w:pPr>
        <w:pStyle w:val="Heading3"/>
        <w:spacing w:after="100" w:before="200"/>
      </w:pPr>
      <w:r>
        <w:t xml:space="preserve">Continuing (like-for-like) by layer, with channel YoY%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150"/>
        <w:gridCol w:w="1150"/>
        <w:gridCol w:w="800"/>
        <w:gridCol w:w="1050"/>
        <w:gridCol w:w="900"/>
        <w:gridCol w:w="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Wholesale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214,275,779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199,235,426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107,974,483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97,918,454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56,062,367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50,160,935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55,113,590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39,782,571</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32,195,729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29,867,845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27,654,094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20,925,559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16,866,646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14,013,200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9,476,373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6,710,669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8,911,878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6,366,769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Other layers (Sleepingbags, Base layer, Mountain packs, Trekking shoes/packs, Bags, Accessories, Casual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flat to +30%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Legwear, Tops, Hiking packs and Daypacks are the sharpest like-for-like decliners; Shell and Insulation dominate in absolute SEK given their size. Wholesale/Retail/Ecom columns are each channel's own 2024-&gt;2025 YoY% within that layer's continuing (LFL) franchise set -- not a share of sales.</w:t>
      </w:r>
    </w:p>
    <w:p>
      <w:pPr>
        <w:pBdr>
          <w:left w:val="single" w:color="3C8A4C" w:sz="18"/>
        </w:pBdr>
        <w:shd w:fill="EAF3EA" w:val="clear"/>
        <w:spacing w:after="120" w:before="100"/>
        <w:ind w:left="150" w:right="100"/>
      </w:pPr>
      <w:r>
        <w:rPr>
          <w:b/>
          <w:bCs/>
          <w:color w:val="1F5C2E"/>
        </w:rPr>
        <w:t xml:space="preserve">DATA SHOWS: </w:t>
      </w:r>
      <w:r>
        <w:t xml:space="preserve">This splits the open question from Section 2.3 (genuine demand contraction vs. channel shift to DTC) by layer, and the answer is different in each case. Shell, Insulation, Soft shell and 'Other layers' show the classic channel-shift signature -- Wholesale down sharply (-17% to -31%) while Retail and Ecom both grow, often strongly (Shell's Ecom +75% is the most extreme). Legwear and Tops are messier: Wholesale collapses hardest of all (-45% / -39%), Retail also declines (-15% / -21%), and only Ecom is picking up real volume (+40% / +29%) -- DTC is not fully absorbing what Wholesale is losing here.</w:t>
      </w:r>
    </w:p>
    <w:p>
      <w:pPr>
        <w:pBdr>
          <w:left w:val="single" w:color="B23A3A" w:sz="18"/>
        </w:pBdr>
        <w:shd w:fill="FBE7E7" w:val="clear"/>
        <w:spacing w:after="120" w:before="100"/>
        <w:ind w:left="150" w:right="100"/>
      </w:pPr>
      <w:r>
        <w:rPr>
          <w:b/>
          <w:bCs/>
          <w:color w:val="7A1F1F"/>
        </w:rPr>
        <w:t xml:space="preserve">METHODOLOGY FLAG: </w:t>
      </w:r>
      <w:r>
        <w:t xml:space="preserve">Daypacks and Hiking packs are the two layers where ALL THREE channels declined together (Daypacks: -25%/-20%/-15%; Hiking packs: -30%/-14%/-38%) -- the clearest evidence anywhere in this brief of genuine demand contraction rather than channel shift. There is nowhere for this volume to be migrating to; it is a real product/relevance question for Product and Merchandising, not a distribution question. Worth naming this distinction explicitly at the workshop: 'shrinking vs. shifting' is not one company-wide answer, it is layer-specific, and Daypacks/Hiking packs are where the 'shrinking' case is strongest.</w:t>
      </w:r>
    </w:p>
    <w:p>
      <w:pPr>
        <w:pBdr>
          <w:left w:val="single" w:color="B23A3A" w:sz="18"/>
        </w:pBdr>
        <w:shd w:fill="FBE7E7" w:val="clear"/>
        <w:spacing w:after="120" w:before="100"/>
        <w:ind w:left="150" w:right="100"/>
      </w:pPr>
      <w:r>
        <w:rPr>
          <w:b/>
          <w:bCs/>
          <w:color w:val="7A1F1F"/>
        </w:rPr>
        <w:t xml:space="preserve">METHODOLOGY FLAG: </w:t>
      </w:r>
      <w:r>
        <w:t xml:space="preserve">Still not extended to 2026 at the franchise-matched level: this growers/decliners split and the by-layer YoY trend (both above) remain FY2024-vs-FY2025 only, as does the four-quadrant/Losing-list detail in Section 2.5. Both depend on the same franchise-level, article-matched methodology used for the FY24-25 cut, re-run against a partial year -- a real, separate piece of work (matching ~1,800 franchises, not just re-reading a total). The 2026-perspective bucket table above and the Layer x Ordertype pacing in Section 2.4.2 below are useful proxies for layer-level 2026 direction in the meantime. Let me know if you want the full franchise-matched re-run for this section as the next piece of work, or want to move on to Section 3 first.</w:t>
      </w:r>
    </w:p>
    <w:p>
      <w:r>
        <w:br w:type="page"/>
      </w:r>
    </w:p>
    <w:p>
      <w:pPr>
        <w:pStyle w:val="Heading3"/>
        <w:spacing w:after="100" w:before="200"/>
      </w:pPr>
      <w:r>
        <w:t xml:space="preserve">2.2.2 Discontinued (2024 only)</w:t>
      </w:r>
    </w:p>
    <w:p>
      <w:pPr>
        <w:spacing w:after="160"/>
      </w:pPr>
      <w:r>
        <w:t xml:space="preserve">176 franchises, worth 36.6M SEK in 2024, collapsed to 7.4M SEK in 2025 (-29.2M SEK) -- these are franchises that were still real (&gt;=100 units) in 2024 but fell below the trading threshold in 2025. Part of this is the deliberate efficiency-driven long-tail cut discussed with the CEO (Section 2, opening); part of it overlaps with the FW27 confirm-or-exit work in Item 3. Not a large enough bucket in absolute SEK terms (7.4M SEK remaining) to warrant its own workshop discussion beyond confirming these exits were deliberate, not accidental.</w:t>
      </w:r>
    </w:p>
    <w:p>
      <w:pPr>
        <w:pStyle w:val="Heading3"/>
        <w:spacing w:after="100" w:before="200"/>
      </w:pPr>
      <w:r>
        <w:t xml:space="preserve">2.2.3 Genuinely new (2025 only): the New/Test evidence</w:t>
      </w:r>
    </w:p>
    <w:p>
      <w:pPr>
        <w:spacing w:after="160"/>
      </w:pPr>
      <w:r>
        <w:t xml:space="preserve">197 launches, 123.9M SEK -- 19% of core 2025 sales. This is the single most important qualifying fact in this whole section: new product is not a marginal contributor, it is already a fifth of the core business. But the quality signal underneath that headline is weak, and this is worth bringing to the workshop as a primary finding, not a footnote.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bl>
    <w:p>
      <w:pPr>
        <w:pStyle w:val="Heading3"/>
        <w:spacing w:after="100" w:before="200"/>
      </w:pPr>
      <w:r>
        <w:t xml:space="preserve">2.2.4 Thin (below threshold both years): who is actually buying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2025 Sales (Thin tier)</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4,794,325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58.9%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2,614,129</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671,740</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59,133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bl>
    <w:p>
      <w:pPr>
        <w:pBdr>
          <w:left w:val="single" w:color="3C8A4C" w:sz="18"/>
        </w:pBdr>
        <w:shd w:fill="EAF3EA" w:val="clear"/>
        <w:spacing w:after="120" w:before="100"/>
        <w:ind w:left="150" w:right="100"/>
      </w:pPr>
      <w:r>
        <w:rPr>
          <w:b/>
          <w:bCs/>
          <w:color w:val="1F5C2E"/>
        </w:rPr>
        <w:t xml:space="preserve">DATA SHOWS: </w:t>
      </w:r>
      <w:r>
        <w:t xml:space="preserve">Thin-tier sales are majority RETAIL (59%), not Wholesale -- the opposite of what the 'long-tail SKU clutter' framing usually assumes. This looks like in-store clearance/odd-size activity rather than a Wholesale buying-discipline problem specifically, which changes who should own cleaning it up.</w:t>
      </w:r>
    </w:p>
    <w:p>
      <w:pPr>
        <w:spacing w:after="160"/>
      </w:pPr>
      <w:r>
        <w:t xml:space="preserve">Within the Wholesale portion (2.6M SEK), 79 distinct accounts bought at least some Thin-tier product; the top 10 accounts account for 68.3% of that Wholesale-Thin total. HAYL (Korea), Altitude Sports and RCT Systems Japan lead the list -- a moderately concentrated pattern, not one or two accounts explaining everything, but not maximally fragmented either.</w:t>
      </w:r>
    </w:p>
    <w:p>
      <w:pPr>
        <w:pBdr>
          <w:left w:val="single" w:color="C97A1A" w:sz="18"/>
        </w:pBdr>
        <w:shd w:fill="FCEFDC" w:val="clear"/>
        <w:spacing w:after="120" w:before="100"/>
        <w:ind w:left="150" w:right="100"/>
      </w:pPr>
      <w:r>
        <w:rPr>
          <w:b/>
          <w:bCs/>
          <w:color w:val="8A4B00"/>
        </w:rPr>
        <w:t xml:space="preserve">NOT ANSWERABLE FROM DATA — ASK: </w:t>
      </w:r>
      <w:r>
        <w:t xml:space="preserve">Is the Retail-channel Thin-tier volume genuine odds-and-ends clearance (fine to leave as-is operationally) or does it indicate a store-level assortment-hygiene gap worth fixing? This is a merchandising/store-operations judgment call, not something the sales data alone resolves. Owner: Retail Operations.</w:t>
      </w:r>
    </w:p>
    <w:p>
      <w:r>
        <w:br w:type="page"/>
      </w:r>
    </w:p>
    <w:p>
      <w:pPr>
        <w:pStyle w:val="Heading2"/>
        <w:spacing w:after="120" w:before="240"/>
      </w:pPr>
      <w:r>
        <w:t xml:space="preserve">2.3 Channel divergence: this is not one 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350"/>
        <w:gridCol w:w="1350"/>
        <w:gridCol w:w="1900"/>
        <w:gridCol w:w="1150"/>
        <w:gridCol w:w="700"/>
      </w:tblGrid>
      <w:tr>
        <w:trPr>
          <w:tblHeader/>
        </w:trPr>
        <w:tc>
          <w:tcPr>
            <w:tcW w:type="dxa" w:w="15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2024</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429.8M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431.5M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200.0M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68.0M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43.5%</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 continuing base — dying channel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160"/>
      </w:pPr>
      <w:r>
        <w:t xml:space="preserve">Wholesale looks flat at the headline level (+0.4%) but that hides a −16.3% like-for-like collapse, papered over by an enormous injection of new listings (Genuinely New product in Wholesale: 1.5M → 107.8M SEK) replacing discontinued lines (45.9M → 2.95M). Wholesale is not stable — it is on a treadmill.</w:t>
      </w:r>
    </w:p>
    <w:p>
      <w:pPr>
        <w:spacing w:after="160"/>
      </w:pPr>
      <w:r>
        <w:t xml:space="preserve">Ecom, by contrast, is growing on both fronts at once — existing product genuinely selling +61.8% more, and new product landing well (+18.6M) — a healthier pattern than Wholesale's.</w:t>
      </w:r>
    </w:p>
    <w:p>
      <w:pPr>
        <w:pBdr>
          <w:left w:val="single" w:color="2E8FB5" w:sz="18"/>
        </w:pBdr>
        <w:shd w:fill="E3F1F7" w:val="clear"/>
        <w:spacing w:after="120" w:before="100"/>
        <w:ind w:left="150" w:right="100"/>
      </w:pPr>
      <w:r>
        <w:rPr>
          <w:b/>
          <w:bCs/>
          <w:color w:val="0F5C7A"/>
        </w:rPr>
        <w:t xml:space="preserve">2026 YTD ADDED: </w:t>
      </w:r>
      <w:r>
        <w:t xml:space="preserve">Retail is pacing exactly on the 40-44% band's upper edge (49.0% is a touch ahead); E-com is pacing squarely on-pace (43.5%); Wholesale is pacing slightly ahead (46.4%) of the on-pace band on a total-sales basis. None of these total-sales pacing figures can confirm whether the -16.3% Wholesale like-for-like collapse specifically is continuing, reversing, or stable in 2026 -- that requires the same franchise-matched like-for-like cut as Section 2.2.1, run against the partial year (see the flag at the end of that section).</w:t>
      </w:r>
    </w:p>
    <w:p>
      <w:pPr>
        <w:spacing w:after="160"/>
      </w:pPr>
      <w:r>
        <w:t xml:space="preserve">Open strategic question for the workshop: is Wholesale demand shrinking outright, or is it structurally shifting to DTC/Ecom for the same underlying consumer? This data cannot distinguish the two — it would need consumer/end-channel visibility this dataset doesn't contain.</w:t>
      </w:r>
    </w:p>
    <w:p>
      <w:pPr>
        <w:pStyle w:val="Heading2"/>
        <w:spacing w:after="120" w:before="240"/>
      </w:pPr>
      <w:r>
        <w:t xml:space="preserve">2.4 Inside Wholesale: Preorder vs. 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600"/>
        <w:gridCol w:w="1600"/>
        <w:gridCol w:w="1650"/>
        <w:gridCol w:w="1150"/>
        <w:gridCol w:w="7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290.1M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314.7M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138.6M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89.1M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68.9M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50.6M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47.9M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-29.0%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44.3%</w:t>
            </w:r>
          </w:p>
        </w:tc>
      </w:tr>
    </w:tbl>
    <w:p>
      <w:pPr>
        <w:spacing w:after="160"/>
      </w:pPr>
      <w:r>
        <w:t xml:space="preserve">Preorder's headline +8.5% is another version of the same illusion as Wholesale overall: like-for-like demand for existing styles is actually down –8.4%, masked by new listings (Genuinely New Preorder: 0.3M → 88.3M, ~28% of the 2025 Preorder book).</w:t>
      </w:r>
    </w:p>
    <w:p>
      <w:pPr>
        <w:spacing w:after="160"/>
      </w:pPr>
      <w:r>
        <w:t xml:space="preserve">Reorder is the more acute problem — a –27.3% like-for-like collapse in mid-season replenishment, which is now understood to be a bigger revenue problem than the previously-identified Reorder COGS/unit inflation (≈ 6.4M SEK avoidable cost — small next to a −16.8M like-for-like Reorder revenue decline).</w:t>
      </w:r>
    </w:p>
    <w:p>
      <w:pPr>
        <w:pBdr>
          <w:left w:val="single" w:color="2E8FB5" w:sz="18"/>
        </w:pBdr>
        <w:shd w:fill="E3F1F7" w:val="clear"/>
        <w:spacing w:after="120" w:before="100"/>
        <w:ind w:left="150" w:right="100"/>
      </w:pPr>
      <w:r>
        <w:rPr>
          <w:b/>
          <w:bCs/>
          <w:color w:val="0F5C7A"/>
        </w:rPr>
        <w:t xml:space="preserve">2026 YTD ADDED: </w:t>
      </w:r>
      <w:r>
        <w:t xml:space="preserve">Reorder is the standout here: it's pacing at 58.3% of its FY2025 total, well ahead of the 40-44% on-pace band and ahead of both Preorder (44.1%) and Closeout (44.3%). Combined with the margin finding already in Section 3.1 (Reorder GM% has also improved YTD2026), this is a genuinely encouraging signal on Reorder specifically -- both volume pace AND margin are running ahead of FY2025's pattern, though it's one partial year and could still reflect timing rather than a real reversal of the -27.3% like-for-like decline. Section 2.4.1 below breaks this down by account -- it turns out to be concentrated in exactly the two accounts that drove the original decline.</w:t>
      </w:r>
    </w:p>
    <w:p>
      <w:pPr>
        <w:pStyle w:val="Heading3"/>
        <w:spacing w:after="100" w:before="200"/>
      </w:pPr>
      <w:r>
        <w:t xml:space="preserve">2.4.1 By account: Preorder is account-specific, Reorder is systemic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1000"/>
        <w:gridCol w:w="1000"/>
        <w:gridCol w:w="900"/>
        <w:gridCol w:w="750"/>
        <w:gridCol w:w="1250"/>
        <w:gridCol w:w="14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2025 Total</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Preorder LFL %</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Reorder LFL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2026 YTD (WS)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Pacing (Preorder)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Pacing (Reorder)</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-28.3%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42.0%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92.3%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 AB</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9.8M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36.6%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-6.4% (net returns)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174.8% (tiny base)</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37.9%</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 S.A</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Scandinavian Outdoor</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8.8M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62.6%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67.3%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Hill Rock Limited</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Sport 24</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Bergfreunde GmbH</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81.5%</w:t>
            </w:r>
          </w:p>
        </w:tc>
      </w:tr>
    </w:tbl>
    <w:p>
      <w:pPr>
        <w:spacing w:after="160"/>
      </w:pPr>
      <w:r>
        <w:t xml:space="preserve">Preorder: your biggest accounts (Intersport, Outnorth, Eventyr, RCT Japan, SGN) are flat-to-growing. The overall –8.4% is driven by a small number of specific accounts — above all Hill Rock (−62.3%) and Scandinavian Outdoor (−25.7%). This is a relationship/account-management conversation with two named accounts.</w:t>
      </w:r>
    </w:p>
    <w:p>
      <w:pPr>
        <w:spacing w:after="160"/>
      </w:pPr>
      <w:r>
        <w:t xml:space="preserve">Reorder: of the 7 accounts with a real Reorder base, 6 are declining — including your two largest, Intersport and Outnorth. Only Mega Sport is growing. This is systemic, not account-specific — it points to a structural/process cause (sell-through visibility, in-season replenishment friction, or broad retailer destocking behaviour) rather than individual relationships.</w:t>
      </w:r>
    </w:p>
    <w:p>
      <w:pPr>
        <w:pBdr>
          <w:left w:val="single" w:color="3C8A4C" w:sz="18"/>
        </w:pBdr>
        <w:shd w:fill="EAF3EA" w:val="clear"/>
        <w:spacing w:after="120" w:before="100"/>
        <w:ind w:left="150" w:right="100"/>
      </w:pPr>
      <w:r>
        <w:rPr>
          <w:b/>
          <w:bCs/>
          <w:color w:val="1F5C2E"/>
        </w:rPr>
        <w:t xml:space="preserve">DATA SHOWS: </w:t>
      </w:r>
      <w:r>
        <w:t xml:space="preserve">The split-out Preorder/Reorder pacing resolves exactly who is driving the company-wide Reorder pace reversal (58.3%, Section 2.4): Intersport is pacing at 92.3% of its full FY2025 Reorder total, and Outnorth AB has already exceeded its FY2025 Reorder total (108.4%) -- these are the same two accounts that drove the -28.3% and -41.6% Reorder like-for-like collapse. If this holds for the rest of the year, it's a genuine reversal at the two accounts that mattered most, not a broad-based or diffuse improvement. Eventyr Sport is the one account showing net Reorder RETURNS exceeding sales YTD2026 (-6.4% pace, i.e. negative) -- worth a direct check, similar to the single-transaction anomalies found elsewhere in this engagement (e.g. Bow Windstopper Glove in Item 6).</w:t>
      </w:r>
    </w:p>
    <w:p>
      <w:pPr>
        <w:pBdr>
          <w:left w:val="single" w:color="2E8FB5" w:sz="18"/>
        </w:pBdr>
        <w:shd w:fill="E3F1F7" w:val="clear"/>
        <w:spacing w:after="120" w:before="100"/>
        <w:ind w:left="150" w:right="100"/>
      </w:pPr>
      <w:r>
        <w:rPr>
          <w:b/>
          <w:bCs/>
          <w:color w:val="0F5C7A"/>
        </w:rPr>
        <w:t xml:space="preserve">2026 YTD ADDED: </w:t>
      </w:r>
      <w:r>
        <w:t xml:space="preserve">Two further outliers worth a direct check before the workshop: RCT Systems Japan is pacing at only 11.9% overall (11.5% Preorder specifically) -- far behind even a badly-timed partial year -- consistent with the Q2 2026 KA report's flag that Japan/China 'over budget' performance is shipment-timing pull-forward rather than confirmed demand, and now visible as a real slowdown risk, not just a caution. (Its 174.8% Reorder pace is on a tiny base -- 62K to 109K SEK -- and not material.) Bergfreunde GmbH is pacing at 111.7% overall -- already exceeding its full FY2025 total -- worth understanding whether that's account growth or a one-off large order.</w:t>
      </w:r>
    </w:p>
    <w:p>
      <w:pPr>
        <w:pStyle w:val="Heading3"/>
        <w:spacing w:after="100" w:before="200"/>
      </w:pPr>
      <w:r>
        <w:t xml:space="preserve">2.4.2 Wholesale: Layer × ordertype: product signal vs. account idiosyncrasy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Preorder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Preorder pacing</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Reorder pacing</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52.9%</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45.7%</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97.8%</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80.3%</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-67.7%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84.9%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203.0% (small base)</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bl>
    <w:p>
      <w:pPr>
        <w:spacing w:after="160"/>
      </w:pPr>
      <w:r>
        <w:t xml:space="preserve">Legwear and Tops are weak in both Preorder and Reorder — a genuine aggregate product signal, for Product/Merchandising to own. Shell is a different pattern: only mildly soft in Preorder (−8.8%) but collapses in Reorder (−44.6%) — retailers still buy it upfront, they just don't come back mid-season, which points to sell-through/in-season dynamics rather than the range itself.</w:t>
      </w:r>
    </w:p>
    <w:p>
      <w:pPr>
        <w:spacing w:after="160"/>
      </w:pPr>
      <w:r>
        <w:t xml:space="preserve">At the account × layer level, however, no single layer fails identically at every account — e.g. Shell Reorder ranges from −58.5% (Scandinavian Outdoor) to +37.0% (Mega Sport) depending on the account. The conclusion is genuinely both: a real aggregate product issue in Legwear/Tops and Shell's Reorder-specific pattern, layered with real account-specific idiosyncrasy that needs an account-by-account read, not one company-wide fix. (Full account × layer matrices for both order types are in the backup workbook.)</w:t>
      </w:r>
    </w:p>
    <w:p>
      <w:pPr>
        <w:pBdr>
          <w:left w:val="single" w:color="3C8A4C" w:sz="18"/>
        </w:pBdr>
        <w:shd w:fill="EAF3EA" w:val="clear"/>
        <w:spacing w:after="120" w:before="100"/>
        <w:ind w:left="150" w:right="100"/>
      </w:pPr>
      <w:r>
        <w:rPr>
          <w:b/>
          <w:bCs/>
          <w:color w:val="1F5C2E"/>
        </w:rPr>
        <w:t xml:space="preserve">DATA SHOWS: </w:t>
      </w:r>
      <w:r>
        <w:t xml:space="preserve">The biggest surprise in this brief so far: Legwear is pacing AHEAD of every other layer in 2026 -- 74.0% Preorder, 97.8% Reorder (essentially already at its full FY2025 Reorder total) -- despite being the single worst FY24-25 like-for-like decliner in the whole layer table (-28% overall, -25.0%/-55.7% Preorder/Reorder). If this holds, Legwear may be the standout recovery story of this brief, not the standout problem -- worth verifying directly rather than continuing to treat it as a write-off, and worth checking against Section 3.1's Legwear discussion.</w:t>
      </w:r>
    </w:p>
    <w:p>
      <w:r>
        <w:br w:type="page"/>
      </w:r>
    </w:p>
    <w:p>
      <w:pPr>
        <w:pStyle w:val="Heading2"/>
        <w:spacing w:after="120" w:before="240"/>
      </w:pPr>
      <w:r>
        <w:t xml:space="preserve">2.5 Wholesale: Article-level findings: winners, losers, and the noise in between</w:t>
      </w:r>
    </w:p>
    <w:p>
      <w:pPr>
        <w:pStyle w:val="Heading3"/>
        <w:spacing w:after="100" w:before="200"/>
      </w:pPr>
      <w:r>
        <w:t xml:space="preserve">2.5.1 The four quadrants (Preorder trend × Reorder trend, 96 articles with a real base in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8"/>
                <w:szCs w:val="18"/>
              </w:rPr>
              <w:t xml:space="preserve">Quadrant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850"/>
            <w:shd w:fill="2F2F2F" w:val="clear"/>
            <w:tcMar>
              <w:top w:type="dxa" w:w="60"/>
              <w:left w:type="dxa" w:w="100"/>
              <w:bottom w:type="dxa" w:w="60"/>
              <w:right w:type="dxa" w:w="100"/>
            </w:tcMar>
            <w:vAlign w:val="center"/>
          </w:tcPr>
          <w:p>
            <w:pPr>
              <w:jc w:val="center"/>
            </w:pPr>
            <w:r>
              <w:rPr>
                <w:b/>
                <w:bCs/>
                <w:color w:val="FFFFFF"/>
                <w:sz w:val="18"/>
                <w:szCs w:val="18"/>
              </w:rPr>
              <w:t xml:space="preserve">What it means</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Winning (both up)</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Genuine hits — retailers buying more upfront and replenishing more.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Losing (both down)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Largest bucket — diagnosed further below; much of it is not real decline.</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Overbought (Preorder up, Reorder down)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Dominated by styles already known to be transitioning versions — retailers self-managing end-of-life risk.</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Underbought (Preorder down, Reorder up)</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Retailers under-committed upfront, then had to replenish — a missed-demand signal for next season's buy plan.</w:t>
            </w:r>
          </w:p>
        </w:tc>
      </w:tr>
    </w:tbl>
    <w:p>
      <w:pPr>
        <w:pStyle w:val="Heading3"/>
        <w:spacing w:after="100" w:before="200"/>
      </w:pPr>
      <w:r>
        <w:t xml:space="preserve">2.5.2 Winning list — the 15 articles, with Ecom/Retail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250"/>
        <w:gridCol w:w="1150"/>
        <w:gridCol w:w="1150"/>
        <w:gridCol w:w="1100"/>
        <w:gridCol w:w="11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Article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 Total (WS)</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YoY%</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+647%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+334%</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Moonlite +7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0.46M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Beanie</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0.36M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Lite +8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+144%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+53%</w:t>
            </w:r>
          </w:p>
        </w:tc>
      </w:tr>
    </w:tbl>
    <w:p>
      <w:pPr>
        <w:pBdr>
          <w:left w:val="single" w:color="3C8A4C" w:sz="18"/>
        </w:pBdr>
        <w:shd w:fill="EAF3EA" w:val="clear"/>
        <w:spacing w:after="120" w:before="100"/>
        <w:ind w:left="150" w:right="100"/>
      </w:pPr>
      <w:r>
        <w:rPr>
          <w:b/>
          <w:bCs/>
          <w:color w:val="1F5C2E"/>
        </w:rPr>
        <w:t xml:space="preserve">DATA SHOWS: </w:t>
      </w:r>
      <w:r>
        <w:t xml:space="preserve">The Winning list is dominated by Shell, Sleepingbags and the Korp/ROC/Rosson/Tarius sub-lines -- all showing Wholesale Preorder AND Reorder growing together, which is the cleanest possible commercial signal (retailers buying more upfront, then coming back for more mid-season). Most of these also show triple-digit Ecom and/or Retail growth on the same article -- e.g. Kaise GTX Jacket Men (+1525% Retail, off a small 2024 base) and ROC Flash Down Hood (+647% / +359% Ecom) -- meaning the demand signal is channel-agnostic, not a Wholesale-only phenomenon. The few negative Ecom/Retail cells (Korp Proof Jacket Women, Morän Softshell Pant, Husk Jacket Women) are worth a specific look, since they're winning in Wholesale while softening in DTC for the same product -- worth checking whether that's a listing/assortment issue in DTC rather than weak demand.</w:t>
      </w:r>
    </w:p>
    <w:p>
      <w:pPr>
        <w:spacing w:after="200"/>
      </w:pPr>
      <w:r>
        <w:rPr>
          <w:i/>
          <w:iCs/>
          <w:color w:val="555555"/>
          <w:sz w:val="18"/>
          <w:szCs w:val="18"/>
        </w:rPr>
        <w:t xml:space="preserve">'n/a' = zero base in that channel in 2024, so a percentage change isn't meaningful. Full underlying detail (2024/2025 SEK and units by channel) is in preorder_reorder_article_analysis.xlsx.</w:t>
      </w:r>
    </w:p>
    <w:p>
      <w:pPr>
        <w:pStyle w:val="Heading3"/>
        <w:spacing w:after="100" w:before="200"/>
      </w:pPr>
      <w:r>
        <w:t xml:space="preserve">2.5.3 The 'losing' list, diagnosed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40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8"/>
                <w:szCs w:val="18"/>
              </w:rPr>
              <w:t xml:space="preserve">Diagnosis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Real decline (down company-wide too)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The genuine exit/rationalization shortlist.</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(Ecom growing for the same article)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product failure — losing the channel fight to your own Ecom.</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Wholesale-specific (flat company-wide)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Order-type timing/volatility within Wholesale, not real decline.</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Version transition (successor already active)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Expected — the old code winding down as planned.</w:t>
            </w:r>
          </w:p>
        </w:tc>
      </w:tr>
    </w:tbl>
    <w:p>
      <w:pPr>
        <w:spacing w:after="160"/>
      </w:pPr>
      <w:r>
        <w:t xml:space="preserve">Real, company-wide-confirmed decline shortlist: Mid Standard Pant Men, Mimic Alert Hood Men/Women, Haglöfs L.I.M FH GTX Low/Mid, Vide 20/25, Risberg Jacket Women, Tight Pro Large/X-small, Aze Beanie, Ridge Tee Men, Mimic Silver Pant Men/Women, L.I.M Tech Tee Men, Moonlite -1.</w:t>
      </w:r>
    </w:p>
    <w:p>
      <w:pPr>
        <w:pBdr>
          <w:left w:val="single" w:color="C97A1A" w:sz="18"/>
        </w:pBdr>
        <w:shd w:fill="FCEFDC" w:val="clear"/>
        <w:spacing w:after="120" w:before="100"/>
        <w:ind w:left="150" w:right="100"/>
      </w:pPr>
      <w:r>
        <w:rPr>
          <w:b/>
          <w:bCs/>
          <w:color w:val="8A4B00"/>
        </w:rPr>
        <w:t xml:space="preserve">NOT ANSWERABLE FROM DATA — ASK: </w:t>
      </w:r>
      <w:r>
        <w:t xml:space="preserve">Per-article investigation of why each of these 14 is genuinely declining is a merchandising/product judgment call (fit, fashion, competitive substitution), not something the sales data alone can diagnose beyond confirming the decline is real. Owner: Merchandising Director / Product team.</w:t>
      </w:r>
    </w:p>
    <w:p>
      <w:pPr>
        <w:pStyle w:val="Heading3"/>
        <w:spacing w:after="100" w:before="200"/>
      </w:pPr>
      <w:r>
        <w:t xml:space="preserve">2.5.4 Overbought case: version transitions retailers are already de-risking</w:t>
      </w:r>
    </w:p>
    <w:p>
      <w:pPr>
        <w:spacing w:after="160"/>
      </w:pPr>
      <w:r>
        <w:t xml:space="preserve">The Overbought quadrant is dominated by Särna Mimic Hood Men/Women and Buteo Mid Jacket Men/Women — both confirmed on the FW27 version-transition list (successors: Särna Mimic II, Buteo Mid II). Retailers are still honoring Preorder commitments (+8% to +32%) but pulling back Reorder (−22% to −35%) ahead of the version change.</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apply the same conservatism to Haglöfs' own FW27 buy for these styles — retailers are already protecting themselves against this risk; Haglöfs should too.</w:t>
      </w:r>
    </w:p>
    <w:p>
      <w:pPr>
        <w:pStyle w:val="Heading3"/>
        <w:spacing w:after="100" w:before="200"/>
      </w:pPr>
      <w:r>
        <w:t xml:space="preserve">2.5.5 Underbought case study: the Rosson family</w:t>
      </w:r>
    </w:p>
    <w:p>
      <w:pPr>
        <w:spacing w:after="160"/>
      </w:pPr>
      <w:r>
        <w:t xml:space="preserve">Rosson is a genuinely strong, growing sub-line — several styles (Down Parka, Proof Jacket, Softshell Hood, all genders) launched from near-zero in 2024 to 0.7–2.9M SEK each in 2025, a working example of the new-product engine succeeding.</w:t>
      </w:r>
    </w:p>
    <w:p>
      <w:pPr>
        <w:spacing w:after="160"/>
      </w:pPr>
      <w:r>
        <w:t xml:space="preserve">Within the established styles, a precise pattern: Rosson Down Hood and Rosson Mid Hood (both genders) show Wholesale Preorder falling while Reorder, Ecom, and Retail are all growing strongly for the same products (Ecom roughly doubling, Retail roughly tripling, Reorder up 170–280%). In the same Rosson Mid family, the Jacket silhouette shows the opposite — buyers already confident, both Preorder and Reorder growing (consistent with Rosson Mid Jacket's place on the Winning list above, Section 2.5.2).</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raise Wholesale Preorder confidence specifically on Rosson Hood styles next cycle. The Reorder and DTC data already prove the underlying demand exists — the initial buy plan is underestimating it.</w:t>
      </w:r>
    </w:p>
    <w:p>
      <w:r>
        <w:br w:type="page"/>
      </w:r>
    </w:p>
    <w:p>
      <w:pPr>
        <w:pStyle w:val="Heading2"/>
        <w:spacing w:after="120" w:before="240"/>
      </w:pPr>
      <w:r>
        <w:t xml:space="preserve">2.6 Further analysis and open questions</w:t>
      </w:r>
    </w:p>
    <w:p>
      <w:pPr>
        <w:pStyle w:val="Heading3"/>
        <w:spacing w:after="100" w:before="200"/>
      </w:pPr>
      <w:r>
        <w:t xml:space="preserve">Data &amp; methodology follow-ups</w:t>
      </w:r>
    </w:p>
    <w:p>
      <w:pPr>
        <w:pStyle w:val="ListParagraph"/>
        <w:numPr>
          <w:ilvl w:val="0"/>
          <w:numId w:val="2"/>
        </w:numPr>
        <w:spacing w:after="80"/>
      </w:pPr>
      <w:r>
        <w:t xml:space="preserve">H1 2026 forecast-vs-actual review: verify the points raised throughout this section against a formal H1 close, not just the YTD2026 partial-year extract used here.</w:t>
      </w:r>
    </w:p>
    <w:p>
      <w:pPr>
        <w:pStyle w:val="ListParagraph"/>
        <w:numPr>
          <w:ilvl w:val="0"/>
          <w:numId w:val="2"/>
        </w:numPr>
        <w:spacing w:after="80"/>
      </w:pPr>
      <w:r>
        <w:t xml:space="preserve">Sell-out data study (available for Sweden) to verify the Reorder trend directly against consumer-level sell-through, rather than relying on sell-in alone.</w:t>
      </w:r>
    </w:p>
    <w:p>
      <w:pPr>
        <w:pStyle w:val="Heading3"/>
        <w:spacing w:after="100" w:before="200"/>
      </w:pPr>
      <w:r>
        <w:t xml:space="preserve">Wholesale demand: shrinking or shifting?</w:t>
      </w:r>
    </w:p>
    <w:p>
      <w:pPr>
        <w:pStyle w:val="ListParagraph"/>
        <w:numPr>
          <w:ilvl w:val="0"/>
          <w:numId w:val="2"/>
        </w:numPr>
        <w:spacing w:after="80"/>
      </w:pPr>
      <w:r>
        <w:t xml:space="preserve">Is the Wholesale like-for-like decline (−16.3%) a genuine demand contraction, or a structural shift of the same demand to DTC/Ecom? This dataset cannot answer it — does anyone have sell-through or consumer-level visibility that could?</w:t>
      </w:r>
    </w:p>
    <w:p>
      <w:pPr>
        <w:pStyle w:val="Heading3"/>
        <w:spacing w:after="100" w:before="200"/>
      </w:pPr>
      <w:r>
        <w:t xml:space="preserve">Reorder: trend, follow-through, and buy-plan implications</w:t>
      </w:r>
    </w:p>
    <w:p>
      <w:pPr>
        <w:pStyle w:val="ListParagraph"/>
        <w:numPr>
          <w:ilvl w:val="0"/>
          <w:numId w:val="2"/>
        </w:numPr>
        <w:spacing w:after="80"/>
      </w:pPr>
      <w:r>
        <w:t xml:space="preserve">What is driving the near-universal Reorder collapse (−27.3% like-for-like FY24-25), and does the YTD2026 pacing reversal (Section 2.4, Reorder at 58.3% pace, concentrated in Intersport and Outnorth per Section 2.4.1) mean it's genuinely turning around, or is it too early/too partial-year to call?</w:t>
      </w:r>
    </w:p>
    <w:p>
      <w:pPr>
        <w:pStyle w:val="ListParagraph"/>
        <w:numPr>
          <w:ilvl w:val="0"/>
          <w:numId w:val="2"/>
        </w:numPr>
        <w:spacing w:after="80"/>
      </w:pPr>
      <w:r>
        <w:t xml:space="preserve">What is driving Eventyr Sport's negative YTD2026 Reorder (net returns exceeding sales, Section 2.4.1)? Worth a quick transaction-level check, similar to the single-transaction anomaly found in Item 6's Bow Windstopper Glove analysis.</w:t>
      </w:r>
    </w:p>
    <w:p>
      <w:pPr>
        <w:pStyle w:val="ListParagraph"/>
        <w:numPr>
          <w:ilvl w:val="0"/>
          <w:numId w:val="2"/>
        </w:numPr>
        <w:spacing w:after="80"/>
      </w:pPr>
      <w:r>
        <w:t xml:space="preserve">Should Wholesale Preorder guidance for the Rosson Hood styles be raised for next cycle, given the Reorder/DTC evidence of underestimated demand?</w:t>
      </w:r>
    </w:p>
    <w:p>
      <w:pPr>
        <w:pStyle w:val="ListParagraph"/>
        <w:numPr>
          <w:ilvl w:val="0"/>
          <w:numId w:val="2"/>
        </w:numPr>
        <w:spacing w:after="80"/>
      </w:pPr>
      <w:r>
        <w:t xml:space="preserve">Can the FW27 buy plan apply the same version-transition conservatism to Preorder that retailers are already applying to Reorder (Section 2.5.4), rather than leaving Haglöfs more exposed than its own customers?</w:t>
      </w:r>
    </w:p>
    <w:p>
      <w:pPr>
        <w:pStyle w:val="Heading3"/>
        <w:spacing w:after="100" w:before="200"/>
      </w:pPr>
      <w:r>
        <w:t xml:space="preserve">Account-specific questions</w:t>
      </w:r>
    </w:p>
    <w:p>
      <w:pPr>
        <w:pStyle w:val="ListParagraph"/>
        <w:numPr>
          <w:ilvl w:val="0"/>
          <w:numId w:val="2"/>
        </w:numPr>
        <w:spacing w:after="80"/>
      </w:pPr>
      <w:r>
        <w:t xml:space="preserve">What changed specifically at Hill Rock Limited and Scandinavian Outdoor (Preorder –62.3% / –25.7%)? This looks like an account-relationship question with a concrete, nameable owner.</w:t>
      </w:r>
    </w:p>
    <w:p>
      <w:pPr>
        <w:pStyle w:val="ListParagraph"/>
        <w:numPr>
          <w:ilvl w:val="0"/>
          <w:numId w:val="2"/>
        </w:numPr>
        <w:spacing w:after="80"/>
      </w:pPr>
      <w:r>
        <w:t xml:space="preserve">What is driving RCT Systems Japan's very slow YTD2026 pace (11.9%, Section 2.4.1) and Bergfreunde GmbH's very fast one (111.7%)? Both look like genuine account-specific questions worth a direct check before the workshop.</w:t>
      </w:r>
    </w:p>
    <w:p>
      <w:pPr>
        <w:pStyle w:val="Heading3"/>
        <w:spacing w:after="100" w:before="200"/>
      </w:pPr>
      <w:r>
        <w:t xml:space="preserve">Layer-specific questions</w:t>
      </w:r>
    </w:p>
    <w:p>
      <w:pPr>
        <w:pStyle w:val="ListParagraph"/>
        <w:numPr>
          <w:ilvl w:val="0"/>
          <w:numId w:val="2"/>
        </w:numPr>
        <w:spacing w:after="80"/>
      </w:pPr>
      <w:r>
        <w:t xml:space="preserve">Is Legwear's strong YTD2026 pace (74-98%, Section 2.4.2) a genuine recovery from the worst-declining layer in the FY24-25 cut, or a timing artifact? Given how much attention Legwear's decline has already drawn (Sections 2.2.1, 2.4.2), this needs a direct, early check rather than waiting for a full-year close.</w:t>
      </w:r>
    </w:p>
    <w:p>
      <w:pPr>
        <w:pStyle w:val="ListParagraph"/>
        <w:numPr>
          <w:ilvl w:val="0"/>
          <w:numId w:val="2"/>
        </w:numPr>
        <w:spacing w:after="80"/>
      </w:pPr>
      <w:r>
        <w:t xml:space="preserve">Is Insulation's weak YTD2026 Preorder pace (22.7%, Section 2.4.2) a genuine softening in a layer the CEO has flagged as a growth priority, or a 2026-specific buy-plan/timing artifact? Worth resolving before the workshop given the priority already placed on this layer.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2026-07-29T15:23:38.945Z</dcterms:created>
  <dcterms:modified xsi:type="dcterms:W3CDTF">2026-07-29T15:23:38.958Z</dcterms:modified>
</cp:coreProperties>
</file>

<file path=docProps/custom.xml><?xml version="1.0" encoding="utf-8"?>
<Properties xmlns="http://schemas.openxmlformats.org/officeDocument/2006/custom-properties" xmlns:vt="http://schemas.openxmlformats.org/officeDocument/2006/docPropsVTypes"/>
</file>