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F3864"/>
          <w:sz w:val="44"/>
          <w:szCs w:val="44"/>
        </w:rPr>
        <w:t xml:space="preserve">Project Bob — 2025→2029 Sales &amp; GM Bridge</w:t>
      </w:r>
    </w:p>
    <w:p>
      <w:pPr>
        <w:spacing w:after="60"/>
      </w:pPr>
      <w:r>
        <w:rPr>
          <w:color w:val="2E5395"/>
          <w:sz w:val="30"/>
          <w:szCs w:val="30"/>
        </w:rPr>
        <w:t xml:space="preserve">The Consolidated Margin Bridge — a Reconciliation, Not a Finished Answer</w:t>
      </w:r>
    </w:p>
    <w:p>
      <w:pPr>
        <w:spacing w:after="40"/>
      </w:pPr>
      <w:r>
        <w:rPr>
          <w:i/>
          <w:iCs/>
          <w:color w:val="666666"/>
          <w:sz w:val="22"/>
          <w:szCs w:val="22"/>
        </w:rPr>
        <w:t xml:space="preserve">Pre-read — workshop preparation working paper</w:t>
      </w:r>
    </w:p>
    <w:p>
      <w:pPr>
        <w:spacing w:after="300"/>
      </w:pPr>
      <w:r>
        <w:rPr>
          <w:color w:val="888888"/>
          <w:sz w:val="20"/>
          <w:szCs w:val="20"/>
        </w:rPr>
        <w:t xml:space="preserve">Prepared for CEO / CPO / investor review, 2026-07</w:t>
      </w:r>
    </w:p>
    <w:p>
      <w:pPr>
        <w:pBdr>
          <w:top w:val="single" w:color="999999" w:sz="6"/>
          <w:bottom w:val="single" w:color="999999" w:sz="6"/>
          <w:left w:val="single" w:color="999999" w:sz="6"/>
          <w:right w:val="single" w:color="999999" w:sz="6"/>
        </w:pBdr>
        <w:shd w:fill="EFEFEF" w:val="clear"/>
        <w:spacing w:after="240" w:before="160"/>
        <w:ind w:left="100" w:right="100"/>
      </w:pPr>
      <w:r>
        <w:rPr>
          <w:b/>
          <w:bCs/>
          <w:sz w:val="22"/>
          <w:szCs w:val="22"/>
        </w:rPr>
        <w:t xml:space="preserve">UPDATED this round with two newly-sized levers: channel mix shift (Wholesale -&gt; DTC) and portfolio tier-mix optimization. Together they add roughly 3 more points, bringing the total quantified upside from ~2.8pt to ~5.1pt. The headline conclusion is unchanged in kind, improved in degree: of the +14.3pt Gross Margin target (39.2% FY2025A -&gt; 53.5% FY2029E), roughly 5.1pt is now backed by sized levers -- still only about a third of the target. ~9.2pt (64% of the gap) remains unexplained by anything sized in this engagement. This note exists to make that residual visible, not to paper over it.</w:t>
      </w:r>
    </w:p>
    <w:p>
      <w:pPr>
        <w:pStyle w:val="Heading1"/>
        <w:spacing w:after="160" w:before="320"/>
      </w:pPr>
      <w:r>
        <w:t xml:space="preserve">1. Purpose and method</w:t>
      </w:r>
    </w:p>
    <w:p>
      <w:pPr>
        <w:spacing w:after="160"/>
      </w:pPr>
      <w:r>
        <w:t xml:space="preserve">Items 1-6 were built as separate, sales-and-channel-focused workstreams; margin was a running thread through most of them but was never assembled into one waterfall. This note does that assembly: every margin-relevant finding across the six items is restated here in a common unit — points of FY2025A company Net Sales (846.3M SEK, per the P&amp;L) — so they can be summed and compared honestly against the stated target. Where a lever's SEK basis does not obviously convert to a company-wide margin point without an assumption, that assumption is stated explicitly rather than hidden in a formula.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Per your direction this turn: COGS/sourcing is noted here as a verification item, not re-analyzed. Item 2 found the Wholesale FW27 cost variance is essentially on-target in aggregate (-0.3%), with two named exceptions (Legwear +15.4%, Sleeping Bags +11.9%) that are real cost overruns, not explained by the general price-realization story. Whether those two exceptions are genuine landed-cost overruns or an FX effect has never been verified against transaction-level data (none exists in the files available) — this remains open, flagged in Section 5.</w:t>
      </w:r>
    </w:p>
    <w:p>
      <w:pPr>
        <w:pStyle w:val="Heading1"/>
        <w:spacing w:after="160" w:before="320"/>
      </w:pPr>
      <w:r>
        <w:t xml:space="preserve">2. The headline reconciliation (updated)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4000"/>
      </w:tblGrid>
      <w:tr>
        <w:trPr>
          <w:tblHeader/>
        </w:trPr>
        <w:tc>
          <w:tcPr>
            <w:tcW w:type="dxa" w:w="5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0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Target: FY2025A -&gt; FY2029E Gross Margin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 -&gt; 53.5% (+14.3pt)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General mix-adjusted price erosion (Item 2), if reversed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+1.89pt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Portfolio tier-mix, moderate scenario (Sec. 5) -- supersedes the old floor-fix-only figure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Reorder margin gap (Item 5), if closed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+0.19pt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 mix shift, grounded to the approved Item 4 store plan (Sec. 4)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+1.36pt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quantified total (grounded/moderate reading)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~5.1pt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UPDATED RESIDUAL — still unexplained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~9.2pt (64% of the target)</w:t>
            </w:r>
          </w:p>
        </w:tc>
      </w:tr>
    </w:tbl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Outer-bound context, not additive with the above (alternative aggressive scenarios of overlapping populations): channel mix pushed to 50% Wholesale share would be worth +4.47pt; the entire core portfolio performing at Hero-tier margin would be worth +5.49pt. Neither is a real plan.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Progress, but the majority of the margin bridge is still not backed by named, sized levers. This is not a criticism of Items 1-6 — each was scoped deliberately to answer a specific question, not to build the full bridge — it is the direct, honest result of assembling them and then actively searching for the largest remaining candidates. The workshop should treat the 53.5% target as still substantially unsubstantiated by bottom-up analysis until the ~9.2pt residual is addressed.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3. Every margin lever found so far, in one place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00"/>
        <w:gridCol w:w="1900"/>
        <w:gridCol w:w="900"/>
        <w:gridCol w:w="1200"/>
        <w:gridCol w:w="2150"/>
      </w:tblGrid>
      <w:tr>
        <w:trPr>
          <w:tblHeader/>
        </w:trPr>
        <w:tc>
          <w:tcPr>
            <w:tcW w:type="dxa" w:w="25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Lever</w:t>
            </w:r>
          </w:p>
        </w:tc>
        <w:tc>
          <w:tcPr>
            <w:tcW w:type="dxa" w:w="7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  <w:tc>
          <w:tcPr>
            <w:tcW w:type="dxa" w:w="1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SEK basis</w:t>
            </w:r>
          </w:p>
        </w:tc>
        <w:tc>
          <w:tcPr>
            <w:tcW w:type="dxa" w:w="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Rate gap</w:t>
            </w:r>
          </w:p>
        </w:tc>
        <w:tc>
          <w:tcPr>
            <w:tcW w:type="dxa" w:w="12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 of company sales</w:t>
            </w:r>
          </w:p>
        </w:tc>
        <w:tc>
          <w:tcPr>
            <w:tcW w:type="dxa" w:w="21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FW27 price-realization gap, if fully closed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171.9M (matched carry-over styles)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14.4pt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+2.92pt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GAP SIZE, not achieved. Overlaps with the line below.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General mix-adjusted price erosion, all channels, if reversed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16.0M SEK/yr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+1.89pt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Opportunity. Likely double-counts the Wholesale portion of the row above.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Problem Child 'Core Pricing Fix', brought to 40% GM floor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3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88.5M (129 franchises, 33.4% GM)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6.6pt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+0.69pt (superseded, see Sec. 5)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Conservative floor-only estimate -- kept for reference, replaced by Sec. 5's moderate scenario in the running total.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 Reorder margin brought up to Preorder level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5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71.2M (2025 Reorder sales)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2.2pt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+0.19pt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Small; same underlying Wholesale discounting problem as the two rows above, viewed a third way.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Special-account mix shift, FY24-&gt;FY25 actual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−0.43pt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ALREADY HAPPENED. Mix got worse, not better — a warning sign, not an opportunity, if it continues.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Channel mix shift (Wholesale -&gt; DTC)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note, Sec. 4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4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4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+1.36pt (grounded) to +4.47pt (aggressive)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this round. Real but smaller than hoped -- see Sec. 4.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Portfolio tier-mix optimization (Problem Child + Thin)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This note, Sec. 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5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see Sec. 5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 (moderate) to +5.49pt (ceiling)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this round. Moderate reading now used in Section 2's running total.</w:t>
            </w:r>
          </w:p>
        </w:tc>
      </w:tr>
      <w:tr>
        <w:tc>
          <w:tcPr>
            <w:tcW w:type="dxa" w:w="2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New retail store start-up losses, 2026-2029</w:t>
            </w:r>
          </w:p>
        </w:tc>
        <w:tc>
          <w:tcPr>
            <w:tcW w:type="dxa" w:w="7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4</w:t>
            </w:r>
          </w:p>
        </w:tc>
        <w:tc>
          <w:tcPr>
            <w:tcW w:type="dxa" w:w="1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 — EBIT effect, not GM</w:t>
            </w:r>
          </w:p>
        </w:tc>
        <w:tc>
          <w:tcPr>
            <w:tcW w:type="dxa" w:w="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unsized</w:t>
            </w:r>
          </w:p>
        </w:tc>
        <w:tc>
          <w:tcPr>
            <w:tcW w:type="dxa" w:w="2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Negative drag on the bridge period. Cannot be expressed in GM-point terms without opex allocation data.</w:t>
            </w:r>
          </w:p>
        </w:tc>
      </w:tr>
      <w:tr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COGS / sourcing: true overrun vs. FX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Item 2 / this direction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Legwear +15.4%, Sleeping Bags +11.9% cost overrun</w:t>
            </w:r>
          </w:p>
        </w:tc>
        <w:tc>
          <w:tcPr>
            <w:tcW w:type="dxa" w:w="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n/a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unsized</w:t>
            </w:r>
          </w:p>
        </w:tc>
        <w:tc>
          <w:tcPr>
            <w:tcW w:type="dxa" w:w="2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Flagged for verification only, not sized here, per direction.</w:t>
            </w:r>
          </w:p>
        </w:tc>
      </w:tr>
    </w:tbl>
    <w:p>
      <w:pPr>
        <w:spacing w:after="200"/>
      </w:pPr>
      <w:r>
        <w:rPr>
          <w:i/>
          <w:iCs/>
          <w:color w:val="555555"/>
          <w:sz w:val="18"/>
          <w:szCs w:val="18"/>
        </w:rPr>
        <w:t xml:space="preserve">Full detail, including the exact formulas used for each conversion, is in the backup workbook, sheet 'Lever Detail'.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Reading the table honestly: the FW27 gap, the general price-erosion line, and the Reorder-margin line are three different lenses on the SAME underlying problem — Wholesale is discounting more than planned. They should not simply be added together; Section 2 uses the general erosion line as the primary Wholesale-pricing figure to avoid double-counting.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Channel mix shift (Wholesale → DTC) — sized this round</w:t>
      </w:r>
    </w:p>
    <w:p>
      <w:pPr>
        <w:spacing w:after="160"/>
      </w:pPr>
      <w:r>
        <w:t xml:space="preserve">Requested as the first candidate to close the residual. Current (2025) channel-level sales and margin, sales-extract basis, all accounts: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2350"/>
        <w:gridCol w:w="2350"/>
        <w:gridCol w:w="2300"/>
      </w:tblGrid>
      <w:tr>
        <w:trPr>
          <w:tblHeader/>
        </w:trPr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Channel</w:t>
            </w:r>
          </w:p>
        </w:tc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Sales 2025</w:t>
            </w:r>
          </w:p>
        </w:tc>
        <w:tc>
          <w:tcPr>
            <w:tcW w:type="dxa" w:w="2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Share</w:t>
            </w:r>
          </w:p>
        </w:tc>
        <w:tc>
          <w:tcPr>
            <w:tcW w:type="dxa" w:w="23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GM%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Wholesale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658.4M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75.1%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36.6%</w:t>
            </w:r>
          </w:p>
        </w:tc>
      </w:tr>
      <w:tr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Retail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123.0M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14.0%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49.0%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E-com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94.1M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10.7%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61.2%</w:t>
            </w:r>
          </w:p>
        </w:tc>
      </w:tr>
      <w:tr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Marketplace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1.6M</w:t>
            </w:r>
          </w:p>
        </w:tc>
        <w:tc>
          <w:tcPr>
            <w:tcW w:type="dxa" w:w="2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0.2%</w:t>
            </w:r>
          </w:p>
        </w:tc>
        <w:tc>
          <w:tcPr>
            <w:tcW w:type="dxa" w:w="2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71.4%</w:t>
            </w:r>
          </w:p>
        </w:tc>
      </w:tr>
      <w:tr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Blended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877.2M</w:t>
            </w:r>
          </w:p>
        </w:tc>
        <w:tc>
          <w:tcPr>
            <w:tcW w:type="dxa" w:w="2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</w:tr>
    </w:tbl>
    <w:p>
      <w:pPr>
        <w:pStyle w:val="Heading2"/>
        <w:spacing w:after="120" w:before="240"/>
      </w:pPr>
      <w:r>
        <w:t xml:space="preserve">4.1 Pure sensitivity — holding each channel's own margin fixed, varying only the mix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3100"/>
        <w:gridCol w:w="3150"/>
      </w:tblGrid>
      <w:tr>
        <w:trPr>
          <w:tblHeader/>
        </w:trPr>
        <w:tc>
          <w:tcPr>
            <w:tcW w:type="dxa" w:w="31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Wholesale share</w:t>
            </w:r>
          </w:p>
        </w:tc>
        <w:tc>
          <w:tcPr>
            <w:tcW w:type="dxa" w:w="31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Blended GM%</w:t>
            </w:r>
          </w:p>
        </w:tc>
        <w:tc>
          <w:tcPr>
            <w:tcW w:type="dxa" w:w="31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Change vs. 2025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75.1% (current)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41.9%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+0.9pt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65.0%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42.8%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+1.8pt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43.7%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+2.7pt</w:t>
            </w:r>
          </w:p>
        </w:tc>
      </w:tr>
      <w:tr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55.0%</w:t>
            </w:r>
          </w:p>
        </w:tc>
        <w:tc>
          <w:tcPr>
            <w:tcW w:type="dxa" w:w="3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44.6%</w:t>
            </w:r>
          </w:p>
        </w:tc>
        <w:tc>
          <w:tcPr>
            <w:tcW w:type="dxa" w:w="31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+3.6pt</w:t>
            </w:r>
          </w:p>
        </w:tc>
      </w:tr>
      <w:tr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50.0%</w:t>
            </w:r>
          </w:p>
        </w:tc>
        <w:tc>
          <w:tcPr>
            <w:tcW w:type="dxa" w:w="31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45.5%</w:t>
            </w:r>
          </w:p>
        </w:tc>
        <w:tc>
          <w:tcPr>
            <w:tcW w:type="dxa" w:w="31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+4.5pt</w:t>
            </w:r>
          </w:p>
        </w:tc>
      </w:tr>
    </w:tbl>
    <w:p>
      <w:pPr>
        <w:pStyle w:val="Heading2"/>
        <w:spacing w:after="120" w:before="240"/>
      </w:pPr>
      <w:r>
        <w:t xml:space="preserve">4.2 Grounded scenario — the actual, already-approved plan</w:t>
      </w:r>
    </w:p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Adding the Item 4 new-store run-rate (181.8M SEK, full ramp ~2029, per the MTP slide) on top of an otherwise-unchanged 2025 base, at existing-Retail-level margin (49.0%): Wholesale share falls from 75.1% to 62.2%, and blended margin rises from 41.0% to 42.4% -- worth +1.36pt.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Honest verdict: this lever is real but not the answer. Even a genuinely aggressive mix shift -- cutting Wholesale's share by a third, from 75% to 50%, far beyond anything currently planned -- is only worth +4.5pt. The plan that's actually been approved (the 16 new stores) is worth +1.4pt. Against a residual in the 9-11pt range, channel mix closes at most half of it under an aggressive scenario, and about an eighth of it under the approved plan.</w:t>
      </w:r>
    </w:p>
    <w:p>
      <w:pPr>
        <w:pStyle w:val="Heading1"/>
        <w:spacing w:after="160" w:before="320"/>
      </w:pPr>
      <w:r>
        <w:t xml:space="preserve">5. Portfolio tier-mix optimization — sized this round</w:t>
      </w:r>
    </w:p>
    <w:p>
      <w:pPr>
        <w:spacing w:after="160"/>
      </w:pPr>
      <w:r>
        <w:t xml:space="preserve">The original margin bridge sized only a conservative 'floor fix' for Problem Child (bring the 129-franchise, 88.5M SEK 'Core Pricing Fix' bucket from 33.4% up to the 40% GM floor used to define the tier). This section asks a bigger question: what if the fix is a genuine turnaround, not just clearing a floor -- and what if the Thin tier's exited volume is replaced by equivalent-value product rather than simply deleted?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1650"/>
        <w:gridCol w:w="2900"/>
      </w:tblGrid>
      <w:tr>
        <w:trPr>
          <w:tblHeader/>
        </w:trPr>
        <w:tc>
          <w:tcPr>
            <w:tcW w:type="dxa" w:w="33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Scenario</w:t>
            </w:r>
          </w:p>
        </w:tc>
        <w:tc>
          <w:tcPr>
            <w:tcW w:type="dxa" w:w="15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SEK impact</w:t>
            </w:r>
          </w:p>
        </w:tc>
        <w:tc>
          <w:tcPr>
            <w:tcW w:type="dxa" w:w="16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Pt of company sales</w:t>
            </w:r>
          </w:p>
        </w:tc>
        <w:tc>
          <w:tcPr>
            <w:tcW w:type="dxa" w:w="29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A: Problem Child -&gt; 40% GM floor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5.8M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+0.69pt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Conservative — floor only (original bridge figure)</w:t>
            </w:r>
          </w:p>
        </w:tc>
      </w:tr>
      <w:tr>
        <w:tc>
          <w:tcPr>
            <w:tcW w:type="dxa" w:w="3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B1: Problem Child -&gt; Workhorse-level margin (47.5%)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12.4M</w:t>
            </w:r>
          </w:p>
        </w:tc>
        <w:tc>
          <w:tcPr>
            <w:tcW w:type="dxa" w:w="16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+1.47pt</w:t>
            </w:r>
          </w:p>
        </w:tc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Moderate — genuine turnaround, not just floor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B2: Thin tier (8.1M) replaced at Workhorse-level margin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1.6M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+0.18pt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Moderate — assumes exited volume is replaced by equivalent product, not just deleted</w:t>
            </w:r>
          </w:p>
        </w:tc>
      </w:tr>
      <w:tr>
        <w:tc>
          <w:tcPr>
            <w:tcW w:type="dxa" w:w="33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 total (B1+B2) — used in Section 2's running total</w:t>
            </w:r>
          </w:p>
        </w:tc>
        <w:tc>
          <w:tcPr>
            <w:tcW w:type="dxa" w:w="15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14.0M</w:t>
            </w:r>
          </w:p>
        </w:tc>
        <w:tc>
          <w:tcPr>
            <w:tcW w:type="dxa" w:w="16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+1.65pt</w:t>
            </w:r>
          </w:p>
        </w:tc>
        <w:tc>
          <w:tcPr>
            <w:tcW w:type="dxa" w:w="29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Recommended working assumption</w:t>
            </w:r>
          </w:p>
        </w:tc>
      </w:tr>
      <w:tr>
        <w:tc>
          <w:tcPr>
            <w:tcW w:type="dxa" w:w="33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C: ENTIRE core portfolio (649.8M) -&gt; Hero-level margin (53.5%)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46.5M</w:t>
            </w:r>
          </w:p>
        </w:tc>
        <w:tc>
          <w:tcPr>
            <w:tcW w:type="dxa" w:w="16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+5.49pt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Theoretical ceiling only — would require all 1,860 franchises, incl. Harvest/Thin/Exited, to perform like the best 34</w:t>
            </w:r>
          </w:p>
        </w:tc>
      </w:tr>
    </w:tbl>
    <w:p>
      <w:pPr>
        <w:pBdr>
          <w:left w:val="single" w:color="3C8A4C" w:sz="18"/>
        </w:pBdr>
        <w:shd w:fill="EAF3EA" w:val="clear"/>
        <w:spacing w:after="120" w:before="100"/>
        <w:ind w:left="150" w:right="100"/>
      </w:pPr>
      <w:r>
        <w:rPr>
          <w:b/>
          <w:bCs/>
          <w:color w:val="1F5C2E"/>
        </w:rPr>
        <w:t xml:space="preserve">DATA SHOWS: </w:t>
      </w:r>
      <w:r>
        <w:t xml:space="preserve">Harvest is deliberately excluded from this exercise: at 50.6% GM it already runs a healthier margin than Workhorse (47.5%) or Hero (53.5%) is only slightly better — Harvest's problem (Item 3) is volume decline, not margin, so 'fixing' its margin would be solving a problem it doesn't have.</w:t>
      </w:r>
    </w:p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Scenario C's +5.49pt ceiling looks tempting next to the 9.2pt residual, but it is explicitly not achievable — it requires the entire portfolio, including the 864-franchise Thin tier and the declining-but-already-profitable Harvest tier, to perform like the top 34 Hero/Near-Hero franchises. The moderate, defensible reading (B, +1.65pt) is what's carried into Section 2.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A third, more basic problem: the starting point itself doesn't reconcile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0"/>
        <w:gridCol w:w="4000"/>
      </w:tblGrid>
      <w:tr>
        <w:trPr>
          <w:tblHeader/>
        </w:trPr>
        <w:tc>
          <w:tcPr>
            <w:tcW w:type="dxa" w:w="535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Metric</w:t>
            </w:r>
          </w:p>
        </w:tc>
        <w:tc>
          <w:tcPr>
            <w:tcW w:type="dxa" w:w="4000"/>
            <w:shd w:fill="2F2F2F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Value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Gross Margin, FY2025A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39.2%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Net Sales, FY2025A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846.3M SEK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P&amp;L Gross Profit, FY2025A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331.4M SEK</w:t>
            </w:r>
          </w:p>
        </w:tc>
      </w:tr>
      <w:tr>
        <w:tc>
          <w:tcPr>
            <w:tcW w:type="dxa" w:w="535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Sales-extract blended margin, FY2025 (all channels+accounts, same year)</w:t>
            </w:r>
          </w:p>
        </w:tc>
        <w:tc>
          <w:tcPr>
            <w:tcW w:type="dxa" w:w="4000"/>
            <w:shd w:fill="F5F5F5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41.0%</w:t>
            </w:r>
          </w:p>
        </w:tc>
      </w:tr>
      <w:tr>
        <w:tc>
          <w:tcPr>
            <w:tcW w:type="dxa" w:w="535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Gap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1.8pt — unreconciled</w:t>
            </w:r>
          </w:p>
        </w:tc>
      </w:tr>
    </w:tbl>
    <w:p>
      <w:pPr>
        <w:pBdr>
          <w:left w:val="single" w:color="B23A3A" w:sz="18"/>
        </w:pBdr>
        <w:shd w:fill="FBE7E7" w:val="clear"/>
        <w:spacing w:after="120" w:before="100"/>
        <w:ind w:left="150" w:right="100"/>
      </w:pPr>
      <w:r>
        <w:rPr>
          <w:b/>
          <w:bCs/>
          <w:color w:val="7A1F1F"/>
        </w:rPr>
        <w:t xml:space="preserve">UNEXPLAINED GAP: </w:t>
      </w:r>
      <w:r>
        <w:t xml:space="preserve">Every article-level, account-level and channel-level analysis in Items 1-6 was built on the sales extract (Garp SEK Margin), because that is the only data with the granularity needed for franchise/account/article work. But that extract's own blended margin (41.0%) does not match the P&amp;L's official Gross Margin (39.2%) for the identical year. A 1.8-point gap exists before a single lever is even discussed. Plausible causes — different cost inclusions (e.g. logistics/freight allocated in the P&amp;L's Cost of Sales but not in the Garp-level COGS field), different revenue scope, or a consolidation/timing difference — have not been verified. Until this is resolved, every granular finding in this engagement is measured on a base that is subtly different from the number the 53.5% target is actually stated against.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Can Finance reconcile the sales-extract margin (Garp SEK Margin basis) to the official P&amp;L Gross Margin line, and identify exactly what the 1.8pt difference consists of? This affects how literally every SEK figure in Items 1-6 should be read against the 53.5% target. Owner: CFO / Finance data owner.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7. What's genuinely missing — the honest punch list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residual: ~9.2pt of the +14.3pt target still has no named source anywhere in this engagement, even after sizing channel mix and tier-mix this round. Either there are large levers not yet identified (e.g., a cost/sourcing program, an SG&amp;A leverage story), or the 53.5% target itself needs to be re-examined against what bottom-up analysis actually supports.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SG&amp;A / overhead leverage sits below Gross Profit in the P&amp;L structure, so it mechanically CANNOT move a Gross Margin figure — worth confirming the 53.5% target is genuinely a Gross Margin number and not being conflated with an EBIT-margin ambition, since the two would need very different levers.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COGS/sourcing was ruled out early for negotiating leverage at current volumes (confirmed with CEO) — but per this turn's direction, the open question of whether the Legwear/Sleeping Bags cost overruns (Item 2) are true overruns or an FX artifact has never been verified, and no transaction-level FX data exists to check it directly.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New-store start-up losses (Item 4) are a real, negative drag on the 2026-2029 window specifically — they work against the bridge in the near term even though the underlying stores may be a 2029+/2032 growth story. This note could not size the drag in Gross Margin terms because the MTP slide reports it as an EBIT figure (which includes store opex), not a Gross Margin figure.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The special-account mix effect moved the WRONG way in the one year of history available (−0.43pt, FY24-&gt;FY25). If XXL's continued wind-down (Item 5: XXL Wholesale sell-in was −100% in Q2 2026) is replaced by other special-account growth (China, Zalando) rather than core-channel growth, this could remain a headwind through 2029, not a tailwind.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No FY2029E sales, channel-mix, or account-mix target breakdown was available to this engagement — only the single headline GM% figure. Without it, the ~9.2pt residual can't be tested against a real target composition, only against what's currently identified (which isn't enough on its own).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Whether the FW27 target-margin-gap methodology (Item 2) could be extended beyond its current 172M-SEK Wholesale-only matched sample to Retail/E-com and a fuller style-match set remains untested — the true addressable base for 'get to the plan's own target margins' may be larger than what's counted in Section 2.</w:t>
      </w:r>
    </w:p>
    <w:p>
      <w:pPr>
        <w:pStyle w:val="Heading1"/>
        <w:spacing w:after="160" w:before="320"/>
      </w:pPr>
      <w:r>
        <w:t xml:space="preserve">8. Recommended next step</w:t>
      </w:r>
    </w:p>
    <w:p>
      <w:pPr>
        <w:spacing w:after="160"/>
      </w:pPr>
      <w:r>
        <w:t xml:space="preserve">This note is a reconciliation, not a finished bridge — consistent with what was asked. Three things would do the most to close the remaining gap: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Get the FY2029E target's underlying assumptions (sales, channel mix, account mix) from whoever built the MTP, so the ~9.2pt residual can be tested against a real target composition rather than a single headline percentage.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Resolve the 1.8pt sales-extract-vs-P&amp;L basis mismatch with Finance before the workshop — otherwise every lever in this note is being measured against a base that may not be the one the 53.5% target is actually stated 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Check whether FY2025 is a depressed base year (heavy one-off COVID-era inventory clearance, per the CEO's own early framing) rather than a normal one — the P&amp;L's Inventory Provision and Defectives lines have never been examined in this engagement, and if part of the 39.2% starting point is one-time, part of the 'gap to close' isn't a lever to pull at all.</w:t>
      </w:r>
    </w:p>
    <w:p>
      <w:pPr>
        <w:pBdr>
          <w:left w:val="single" w:color="C97A1A" w:sz="18"/>
        </w:pBdr>
        <w:shd w:fill="FCEFDC" w:val="clear"/>
        <w:spacing w:after="120" w:before="100"/>
        <w:ind w:left="150" w:right="100"/>
      </w:pPr>
      <w:r>
        <w:rPr>
          <w:b/>
          <w:bCs/>
          <w:color w:val="8A4B00"/>
        </w:rPr>
        <w:t xml:space="preserve">NOT ANSWERABLE FROM DATA — ASK: </w:t>
      </w:r>
      <w:r>
        <w:t xml:space="preserve">Is there a cost, sourcing, or overhead-leverage workstream already underway elsewhere in the business that is expected to contribute to the +14.3pt target but simply falls outside this engagement's sales-data-driven scope? If so, this note's residual may be smaller than it appears — but that needs to be confirmed explicitly, not assumed. Owner: CFO.</w:t>
      </w:r>
    </w:p>
    <w:p>
      <w:pPr>
        <w:pStyle w:val="Heading1"/>
        <w:spacing w:after="160" w:before="320"/>
      </w:pPr>
      <w:r>
        <w:t xml:space="preserve">9. Backup data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bob_marginbridge_backup.xlsx — the reconciliation summary, full lever detail with formulas, channel-mix current/sensitivity data, portfolio tier-mix scenarios, the basis-mismatch check, and the fresh special-account mix/rate decomposition.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Source items: item2_fullprice_recovery_backup.xlsx (Sections 3, 7, 8), bob_item3_portfolio_backup.xlsx (Problem Child detail), item5_wholesale_account_preorder_reorder.xlsx (Reorder margin detail), Bridge_Item4_New_Retail_PreRead.docx (new-store EBIT shape).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bob_financialdata_2025.xlsx — source for the P&amp;L Gross Margin, Net Sales and Gross Profit figures used in Section 4.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All underlying analysis is reproducible from analysis.py / config.py / load_data.py in the project_bob repository, branch claude/project-bob-data-load-uywk15.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40" w:before="280"/>
    </w:pPr>
    <w:rPr>
      <w:b/>
      <w:bCs/>
      <w:color w:val="2E539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b/>
      <w:bCs/>
      <w:color w:val="444444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2026-07-26T14:02:24.544Z</dcterms:created>
  <dcterms:modified xsi:type="dcterms:W3CDTF">2026-07-26T14:02:24.567Z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