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The Consolidated Margin Bridge — a Reconciliation, Not a Finished Answer</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This note was requested to see what a single, consolidated margin bridge looks like once everything already found across Items 1-6 is pulled together — and, honestly, what's still missing. The answer: of the +14.3pt Gross Margin target (39.2% FY2025A -&gt; 53.5% FY2029E), only roughly 3-4pt is backed by anything sized in this engagement so far. Over 70% of the target gap — 10.5 to 11.5 points — has no named, quantified source. This note exists to make that gap visible, not to paper over it, and to separate what is genuinely known from what still needs work before the workshop can responsibly commit to the 53.5% number.</w:t>
      </w:r>
    </w:p>
    <w:p>
      <w:pPr>
        <w:pStyle w:val="Heading1"/>
        <w:spacing w:after="160" w:before="320"/>
      </w:pPr>
      <w:r>
        <w:t xml:space="preserve">1. Purpose and method</w:t>
      </w:r>
    </w:p>
    <w:p>
      <w:pPr>
        <w:spacing w:after="160"/>
      </w:pPr>
      <w:r>
        <w:t xml:space="preserve">Items 1-6 were built as separate, sales-and-channel-focused workstreams; margin was a running thread through most of them but was never assembled into one waterfall. This note does that assembly: every margin-relevant finding across the six items is restated here in a common unit — points of FY2025A company Net Sales (846.3M SEK, per the P&amp;L) — so they can be summed and compared honestly against the stated target. Where a lever's SEK basis does not obviously convert to a company-wide margin point without an assumption, that assumption is stated explicitly rather than hidden in a formula.</w:t>
      </w:r>
    </w:p>
    <w:p>
      <w:pPr>
        <w:pBdr>
          <w:left w:val="single" w:color="3C8A4C" w:sz="18"/>
        </w:pBdr>
        <w:shd w:fill="EAF3EA" w:val="clear"/>
        <w:spacing w:after="120" w:before="100"/>
        <w:ind w:left="150" w:right="100"/>
      </w:pPr>
      <w:r>
        <w:rPr>
          <w:b/>
          <w:bCs/>
          <w:color w:val="1F5C2E"/>
        </w:rPr>
        <w:t xml:space="preserve">DATA SHOWS: </w:t>
      </w:r>
      <w:r>
        <w:t xml:space="preserve">Per your direction this turn: COGS/sourcing is noted here as a verification item, not re-analyzed. Item 2 found the Wholesale FW27 cost variance is essentially on-target in aggregate (-0.3%), with two named exceptions (Legwear +15.4%, Sleeping Bags +11.9%) that are real cost overruns, not explained by the general price-realization story. Whether those two exceptions are genuine landed-cost overruns or an FX effect has never been verified against transaction-level data (none exists in the files available) — this remains open, flagged in Section 5.</w:t>
      </w:r>
    </w:p>
    <w:p>
      <w:pPr>
        <w:pStyle w:val="Heading1"/>
        <w:spacing w:after="160" w:before="320"/>
      </w:pPr>
      <w:r>
        <w:t xml:space="preserve">2. The headline reconciliation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Target: FY2025A -&gt; FY2029E Gross Margin</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39.2% -&gt; 53.5% (+14.3pt)</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Quantified upside, conservative reading (avoids double-counting)</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~2.8pt</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Quantified upside, generous reading</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~3.8pt</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RESIDUAL — unexplained by anything sized in Items 1-6</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~10.5 to 11.5pt (73-80% of the target)</w:t>
            </w:r>
          </w:p>
        </w:tc>
      </w:tr>
    </w:tbl>
    <w:p>
      <w:pPr>
        <w:pBdr>
          <w:left w:val="single" w:color="B23A3A" w:sz="18"/>
        </w:pBdr>
        <w:shd w:fill="FBE7E7" w:val="clear"/>
        <w:spacing w:after="120" w:before="100"/>
        <w:ind w:left="150" w:right="100"/>
      </w:pPr>
      <w:r>
        <w:rPr>
          <w:b/>
          <w:bCs/>
          <w:color w:val="7A1F1F"/>
        </w:rPr>
        <w:t xml:space="preserve">UNEXPLAINED GAP: </w:t>
      </w:r>
      <w:r>
        <w:t xml:space="preserve">The great majority of the margin bridge is not yet backed by named, sized levers. This is not a criticism of Items 1-6 — each was scoped deliberately to answer a specific question, not to build the full bridge — it is the direct, honest result of assembling them for the first time. The workshop should treat the 53.5% target as still substantially unsubstantiated by bottom-up analysis until this residual is addressed.</w:t>
      </w:r>
    </w:p>
    <w:p>
      <w:r>
        <w:br w:type="page"/>
      </w:r>
    </w:p>
    <w:p>
      <w:pPr>
        <w:pStyle w:val="Heading1"/>
        <w:spacing w:after="160" w:before="320"/>
      </w:pPr>
      <w:r>
        <w:t xml:space="preserve">3. Every margin lever found so far, in one place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1900"/>
        <w:gridCol w:w="900"/>
        <w:gridCol w:w="1200"/>
        <w:gridCol w:w="21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9"/>
                <w:szCs w:val="19"/>
              </w:rPr>
              <w:t xml:space="preserve">Lever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Source</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SEK basis</w:t>
            </w:r>
          </w:p>
        </w:tc>
        <w:tc>
          <w:tcPr>
            <w:tcW w:type="dxa" w:w="900"/>
            <w:shd w:fill="2F2F2F" w:val="clear"/>
            <w:tcMar>
              <w:top w:type="dxa" w:w="60"/>
              <w:left w:type="dxa" w:w="100"/>
              <w:bottom w:type="dxa" w:w="60"/>
              <w:right w:type="dxa" w:w="100"/>
            </w:tcMar>
            <w:vAlign w:val="center"/>
          </w:tcPr>
          <w:p>
            <w:pPr>
              <w:jc w:val="center"/>
            </w:pPr>
            <w:r>
              <w:rPr>
                <w:b/>
                <w:bCs/>
                <w:color w:val="FFFFFF"/>
                <w:sz w:val="19"/>
                <w:szCs w:val="19"/>
              </w:rPr>
              <w:t xml:space="preserve">Rate gap</w:t>
            </w:r>
          </w:p>
        </w:tc>
        <w:tc>
          <w:tcPr>
            <w:tcW w:type="dxa" w:w="1200"/>
            <w:shd w:fill="2F2F2F" w:val="clear"/>
            <w:tcMar>
              <w:top w:type="dxa" w:w="60"/>
              <w:left w:type="dxa" w:w="100"/>
              <w:bottom w:type="dxa" w:w="60"/>
              <w:right w:type="dxa" w:w="100"/>
            </w:tcMar>
            <w:vAlign w:val="center"/>
          </w:tcPr>
          <w:p>
            <w:pPr>
              <w:jc w:val="center"/>
            </w:pPr>
            <w:r>
              <w:rPr>
                <w:b/>
                <w:bCs/>
                <w:color w:val="FFFFFF"/>
                <w:sz w:val="19"/>
                <w:szCs w:val="19"/>
              </w:rPr>
              <w:t xml:space="preserve">Pt of company sales</w:t>
            </w:r>
          </w:p>
        </w:tc>
        <w:tc>
          <w:tcPr>
            <w:tcW w:type="dxa" w:w="2150"/>
            <w:shd w:fill="2F2F2F" w:val="clear"/>
            <w:tcMar>
              <w:top w:type="dxa" w:w="60"/>
              <w:left w:type="dxa" w:w="100"/>
              <w:bottom w:type="dxa" w:w="60"/>
              <w:right w:type="dxa" w:w="100"/>
            </w:tcMar>
            <w:vAlign w:val="center"/>
          </w:tcPr>
          <w:p>
            <w:pPr>
              <w:jc w:val="center"/>
            </w:pPr>
            <w:r>
              <w:rPr>
                <w:b/>
                <w:bCs/>
                <w:color w:val="FFFFFF"/>
                <w:sz w:val="19"/>
                <w:szCs w:val="19"/>
              </w:rPr>
              <w:t xml:space="preserve">Status</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Wholesale FW27 price-realization gap, if fully closed</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Item 2</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171.9M (matched carry-over styles)</w:t>
            </w:r>
          </w:p>
        </w:tc>
        <w:tc>
          <w:tcPr>
            <w:tcW w:type="dxa" w:w="900"/>
            <w:tcMar>
              <w:top w:type="dxa" w:w="60"/>
              <w:left w:type="dxa" w:w="100"/>
              <w:bottom w:type="dxa" w:w="60"/>
              <w:right w:type="dxa" w:w="100"/>
            </w:tcMar>
            <w:vAlign w:val="center"/>
          </w:tcPr>
          <w:p>
            <w:pPr>
              <w:jc w:val="center"/>
            </w:pPr>
            <w:r>
              <w:rPr>
                <w:b w:val="false"/>
                <w:bCs w:val="false"/>
                <w:color w:val="000000"/>
                <w:sz w:val="19"/>
                <w:szCs w:val="19"/>
              </w:rPr>
              <w:t xml:space="preserve">14.4pt</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+2.92pt</w:t>
            </w:r>
          </w:p>
        </w:tc>
        <w:tc>
          <w:tcPr>
            <w:tcW w:type="dxa" w:w="2150"/>
            <w:tcMar>
              <w:top w:type="dxa" w:w="60"/>
              <w:left w:type="dxa" w:w="100"/>
              <w:bottom w:type="dxa" w:w="60"/>
              <w:right w:type="dxa" w:w="100"/>
            </w:tcMar>
            <w:vAlign w:val="center"/>
          </w:tcPr>
          <w:p>
            <w:pPr>
              <w:jc w:val="center"/>
            </w:pPr>
            <w:r>
              <w:rPr>
                <w:b w:val="false"/>
                <w:bCs w:val="false"/>
                <w:color w:val="000000"/>
                <w:sz w:val="19"/>
                <w:szCs w:val="19"/>
              </w:rPr>
              <w:t xml:space="preserve">GAP SIZE, not achieved. Overlaps with the line below.</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General mix-adjusted price erosion, all channels, if reversed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16.0M SEK/yr</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+1.89pt</w:t>
            </w:r>
          </w:p>
        </w:tc>
        <w:tc>
          <w:tcPr>
            <w:tcW w:type="dxa" w:w="2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Opportunity. Likely double-counts the Wholesale portion of the row above.</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Problem Child 'Core Pricing Fix', brought to 40% GM floor</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Item 3</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88.5M (129 franchises, 33.4% GM)</w:t>
            </w:r>
          </w:p>
        </w:tc>
        <w:tc>
          <w:tcPr>
            <w:tcW w:type="dxa" w:w="900"/>
            <w:tcMar>
              <w:top w:type="dxa" w:w="60"/>
              <w:left w:type="dxa" w:w="100"/>
              <w:bottom w:type="dxa" w:w="60"/>
              <w:right w:type="dxa" w:w="100"/>
            </w:tcMar>
            <w:vAlign w:val="center"/>
          </w:tcPr>
          <w:p>
            <w:pPr>
              <w:jc w:val="center"/>
            </w:pPr>
            <w:r>
              <w:rPr>
                <w:b w:val="false"/>
                <w:bCs w:val="false"/>
                <w:color w:val="000000"/>
                <w:sz w:val="19"/>
                <w:szCs w:val="19"/>
              </w:rPr>
              <w:t xml:space="preserve">6.6pt</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+0.69pt</w:t>
            </w:r>
          </w:p>
        </w:tc>
        <w:tc>
          <w:tcPr>
            <w:tcW w:type="dxa" w:w="2150"/>
            <w:tcMar>
              <w:top w:type="dxa" w:w="60"/>
              <w:left w:type="dxa" w:w="100"/>
              <w:bottom w:type="dxa" w:w="60"/>
              <w:right w:type="dxa" w:w="100"/>
            </w:tcMar>
            <w:vAlign w:val="center"/>
          </w:tcPr>
          <w:p>
            <w:pPr>
              <w:jc w:val="center"/>
            </w:pPr>
            <w:r>
              <w:rPr>
                <w:b w:val="false"/>
                <w:bCs w:val="false"/>
                <w:color w:val="000000"/>
                <w:sz w:val="19"/>
                <w:szCs w:val="19"/>
              </w:rPr>
              <w:t xml:space="preserve">Opportunity, conservative floor-only estimate.</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Wholesale Reorder margin brought up to Preorder level</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71.2M (2025 Reorder sales)</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2.2pt</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+0.19pt</w:t>
            </w:r>
          </w:p>
        </w:tc>
        <w:tc>
          <w:tcPr>
            <w:tcW w:type="dxa" w:w="2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Small; same underlying Wholesale discounting problem as the two rows above, viewed a third way.</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Special-account mix shift, FY24-&gt;FY25 actual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This note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900"/>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−0.43pt</w:t>
            </w:r>
          </w:p>
        </w:tc>
        <w:tc>
          <w:tcPr>
            <w:tcW w:type="dxa" w:w="2150"/>
            <w:tcMar>
              <w:top w:type="dxa" w:w="60"/>
              <w:left w:type="dxa" w:w="100"/>
              <w:bottom w:type="dxa" w:w="60"/>
              <w:right w:type="dxa" w:w="100"/>
            </w:tcMar>
            <w:vAlign w:val="center"/>
          </w:tcPr>
          <w:p>
            <w:pPr>
              <w:jc w:val="center"/>
            </w:pPr>
            <w:r>
              <w:rPr>
                <w:b w:val="false"/>
                <w:bCs w:val="false"/>
                <w:color w:val="000000"/>
                <w:sz w:val="19"/>
                <w:szCs w:val="19"/>
              </w:rPr>
              <w:t xml:space="preserve">ALREADY HAPPENED. Mix got worse, not better — a warning sign, not an opportunity, if it continues.</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 retail store start-up losses, 2026-2029</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Item 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 — EBIT effect, not GM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unsized</w:t>
            </w:r>
          </w:p>
        </w:tc>
        <w:tc>
          <w:tcPr>
            <w:tcW w:type="dxa" w:w="2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Negative drag on the bridge period. Cannot be expressed in GM-point terms without opex allocation data.</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COGS / sourcing: true overrun vs. FX</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Item 2 / this direction</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Legwear +15.4%, Sleeping Bags +11.9% cost overrun</w:t>
            </w:r>
          </w:p>
        </w:tc>
        <w:tc>
          <w:tcPr>
            <w:tcW w:type="dxa" w:w="900"/>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unsized</w:t>
            </w:r>
          </w:p>
        </w:tc>
        <w:tc>
          <w:tcPr>
            <w:tcW w:type="dxa" w:w="2150"/>
            <w:tcMar>
              <w:top w:type="dxa" w:w="60"/>
              <w:left w:type="dxa" w:w="100"/>
              <w:bottom w:type="dxa" w:w="60"/>
              <w:right w:type="dxa" w:w="100"/>
            </w:tcMar>
            <w:vAlign w:val="center"/>
          </w:tcPr>
          <w:p>
            <w:pPr>
              <w:jc w:val="center"/>
            </w:pPr>
            <w:r>
              <w:rPr>
                <w:b w:val="false"/>
                <w:bCs w:val="false"/>
                <w:color w:val="000000"/>
                <w:sz w:val="19"/>
                <w:szCs w:val="19"/>
              </w:rPr>
              <w:t xml:space="preserve">Flagged for verification only, not sized here, per direction.</w:t>
            </w:r>
          </w:p>
        </w:tc>
      </w:tr>
    </w:tbl>
    <w:p>
      <w:pPr>
        <w:spacing w:after="200"/>
      </w:pPr>
      <w:r>
        <w:rPr>
          <w:i/>
          <w:iCs/>
          <w:color w:val="555555"/>
          <w:sz w:val="18"/>
          <w:szCs w:val="18"/>
        </w:rPr>
        <w:t xml:space="preserve">Full detail, including the exact formulas used for each conversion, is in the backup workbook, sheet 'Lever Detail'.</w:t>
      </w:r>
    </w:p>
    <w:p>
      <w:pPr>
        <w:pBdr>
          <w:left w:val="single" w:color="3C8A4C" w:sz="18"/>
        </w:pBdr>
        <w:shd w:fill="EAF3EA" w:val="clear"/>
        <w:spacing w:after="120" w:before="100"/>
        <w:ind w:left="150" w:right="100"/>
      </w:pPr>
      <w:r>
        <w:rPr>
          <w:b/>
          <w:bCs/>
          <w:color w:val="1F5C2E"/>
        </w:rPr>
        <w:t xml:space="preserve">DATA SHOWS: </w:t>
      </w:r>
      <w:r>
        <w:t xml:space="preserve">Reading the table honestly: rows 1, 2 and 4 are three different lenses on the SAME underlying problem — Wholesale is discounting more than planned. They should not simply be added together. The conservative reconciliation in Section 2 uses row 2 (the broadest, most directly-measured figure) plus rows 3 and 4; the generous reading substitutes row 1 (the FW27-specific gap) for row 2. Either way, the total stays in the 2.8-3.8pt range — nowhere close to the 14.3pt needed.</w:t>
      </w:r>
    </w:p>
    <w:p>
      <w:pPr>
        <w:pStyle w:val="Heading1"/>
        <w:spacing w:after="160" w:before="320"/>
      </w:pPr>
      <w:r>
        <w:t xml:space="preserve">4. A second, more basic problem: the starting point itself doesn't reconcile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P&amp;L Gross Margin, FY2025A</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39.2%</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P&amp;L Net Sales, FY2025A</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846.3M SEK</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P&amp;L Gross Profit, FY2025A</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331.4M SEK</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Sales-extract blended margin, FY2025 (all channels+accounts, same year)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41.0%</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1.8pt — unreconciled</w:t>
            </w:r>
          </w:p>
        </w:tc>
      </w:tr>
    </w:tbl>
    <w:p>
      <w:pPr>
        <w:pBdr>
          <w:left w:val="single" w:color="B23A3A" w:sz="18"/>
        </w:pBdr>
        <w:shd w:fill="FBE7E7" w:val="clear"/>
        <w:spacing w:after="120" w:before="100"/>
        <w:ind w:left="150" w:right="100"/>
      </w:pPr>
      <w:r>
        <w:rPr>
          <w:b/>
          <w:bCs/>
          <w:color w:val="7A1F1F"/>
        </w:rPr>
        <w:t xml:space="preserve">UNEXPLAINED GAP: </w:t>
      </w:r>
      <w:r>
        <w:t xml:space="preserve">Every article-level, account-level and channel-level analysis in Items 1-6 was built on the sales extract (Garp SEK Margin), because that is the only data with the granularity needed for franchise/account/article work. But that extract's own blended margin (41.0%) does not match the P&amp;L's official Gross Margin (39.2%) for the identical year. A 1.8-point gap exists before a single lever is even discussed. Plausible causes — different cost inclusions (e.g. logistics/freight allocated in the P&amp;L's Cost of Sales but not in the Garp-level COGS field), different revenue scope, or a consolidation/timing difference — have not been verified. Until this is resolved, every granular finding in this engagement is measured on a base that is subtly different from the number the 53.5% target is actually stated against.</w:t>
      </w:r>
    </w:p>
    <w:p>
      <w:pPr>
        <w:pBdr>
          <w:left w:val="single" w:color="C97A1A" w:sz="18"/>
        </w:pBdr>
        <w:shd w:fill="FCEFDC" w:val="clear"/>
        <w:spacing w:after="120" w:before="100"/>
        <w:ind w:left="150" w:right="100"/>
      </w:pPr>
      <w:r>
        <w:rPr>
          <w:b/>
          <w:bCs/>
          <w:color w:val="8A4B00"/>
        </w:rPr>
        <w:t xml:space="preserve">NOT ANSWERABLE FROM DATA — ASK: </w:t>
      </w:r>
      <w:r>
        <w:t xml:space="preserve">Can Finance reconcile the sales-extract margin (Garp SEK Margin basis) to the official P&amp;L Gross Margin line, and identify exactly what the 1.8pt difference consists of? This affects how literally every SEK figure in Items 1-6 should be read against the 53.5% target. Owner: CFO / Finance data owner.</w:t>
      </w:r>
    </w:p>
    <w:p>
      <w:r>
        <w:br w:type="page"/>
      </w:r>
    </w:p>
    <w:p>
      <w:pPr>
        <w:pStyle w:val="Heading1"/>
        <w:spacing w:after="160" w:before="320"/>
      </w:pPr>
      <w:r>
        <w:t xml:space="preserve">5. What's genuinely missing — the honest punch list</w:t>
      </w:r>
    </w:p>
    <w:p>
      <w:pPr>
        <w:pStyle w:val="ListParagraph"/>
        <w:numPr>
          <w:ilvl w:val="0"/>
          <w:numId w:val="2"/>
        </w:numPr>
        <w:spacing w:after="80"/>
      </w:pPr>
      <w:r>
        <w:t xml:space="preserve">The residual: ~10.5-11.5pt of the +14.3pt target has no named source anywhere in this engagement. This is the single most important fact in this note. Either there are large levers not yet identified (e.g., a cost/sourcing program, an SG&amp;A leverage story, a sales-mix shift toward higher-margin product at a scale not yet sized), or the 53.5% target itself needs to be re-examined against what bottom-up analysis actually supports.</w:t>
      </w:r>
    </w:p>
    <w:p>
      <w:pPr>
        <w:pStyle w:val="ListParagraph"/>
        <w:numPr>
          <w:ilvl w:val="0"/>
          <w:numId w:val="2"/>
        </w:numPr>
        <w:spacing w:after="80"/>
      </w:pPr>
      <w:r>
        <w:t xml:space="preserve">SG&amp;A / overhead leverage as the company scales toward 2029 has not been analyzed anywhere in Items 1-6. If the 2029 target assumes operating leverage (fixed costs spread over more sales), that is a real, sizeable, entirely separate lever from anything in this bridge and needs its own workstream.</w:t>
      </w:r>
    </w:p>
    <w:p>
      <w:pPr>
        <w:pStyle w:val="ListParagraph"/>
        <w:numPr>
          <w:ilvl w:val="0"/>
          <w:numId w:val="2"/>
        </w:numPr>
        <w:spacing w:after="80"/>
      </w:pPr>
      <w:r>
        <w:t xml:space="preserve">COGS/sourcing was ruled out early for negotiating leverage at current volumes (confirmed with CEO) — but per this turn's direction, the open question of whether the Legwear/Sleeping Bags cost overruns (Item 2) are true overruns or an FX artifact has never been verified, and no transaction-level FX data exists to check it directly.</w:t>
      </w:r>
    </w:p>
    <w:p>
      <w:pPr>
        <w:pStyle w:val="ListParagraph"/>
        <w:numPr>
          <w:ilvl w:val="0"/>
          <w:numId w:val="2"/>
        </w:numPr>
        <w:spacing w:after="80"/>
      </w:pPr>
      <w:r>
        <w:t xml:space="preserve">New-store start-up losses (Item 4) are a real, negative drag on the 2026-2029 window specifically — they work against the bridge in the near term even though the underlying stores may be a 2029+/2032 growth story. This note could not size the drag in Gross Margin terms because the MTP slide reports it as an EBIT figure (which includes store opex), not a Gross Margin figure — reconciling the two would need the store-level P&amp;L detail, which does not exist in the files provided.</w:t>
      </w:r>
    </w:p>
    <w:p>
      <w:pPr>
        <w:pStyle w:val="ListParagraph"/>
        <w:numPr>
          <w:ilvl w:val="0"/>
          <w:numId w:val="2"/>
        </w:numPr>
        <w:spacing w:after="80"/>
      </w:pPr>
      <w:r>
        <w:t xml:space="preserve">The special-account mix effect moved the WRONG way in the one year of history available (−0.43pt, FY24-&gt;FY25). If XXL's continued wind-down (Item 5: XXL Wholesale sell-in was −100% in Q2 2026) is replaced by other special-account growth (China, Zalando) rather than core-channel growth, this could remain a headwind through 2029, not a tailwind — worth checking directly against whatever mix assumption the 2029 target embeds.</w:t>
      </w:r>
    </w:p>
    <w:p>
      <w:pPr>
        <w:pStyle w:val="ListParagraph"/>
        <w:numPr>
          <w:ilvl w:val="0"/>
          <w:numId w:val="2"/>
        </w:numPr>
        <w:spacing w:after="80"/>
      </w:pPr>
      <w:r>
        <w:t xml:space="preserve">No FY2029E sales, channel-mix, or account-mix target breakdown was available to this engagement — only the single headline GM% figure. Without knowing what mix of channels/accounts/products the 53.5% target assumes, it is not possible to check whether the target is internally consistent with the trends found in Items 1-6, only whether currently-identified levers are large enough to close the gap in isolation (they are not).</w:t>
      </w:r>
    </w:p>
    <w:p>
      <w:pPr>
        <w:pStyle w:val="Heading1"/>
        <w:spacing w:after="160" w:before="320"/>
      </w:pPr>
      <w:r>
        <w:t xml:space="preserve">6. Recommended next step</w:t>
      </w:r>
    </w:p>
    <w:p>
      <w:pPr>
        <w:spacing w:after="160"/>
      </w:pPr>
      <w:r>
        <w:t xml:space="preserve">This note is a reconciliation, not a finished bridge — consistent with what was asked. Two things would do the most to close the gap between what's sized and what's needed:</w:t>
      </w:r>
    </w:p>
    <w:p>
      <w:pPr>
        <w:pStyle w:val="ListParagraph"/>
        <w:numPr>
          <w:ilvl w:val="0"/>
          <w:numId w:val="2"/>
        </w:numPr>
        <w:spacing w:after="80"/>
      </w:pPr>
      <w:r>
        <w:t xml:space="preserve">Get the FY2029E target's underlying assumptions (sales, channel mix, account mix, and whether SG&amp;A leverage is embedded) from whoever built the MTP, so the ~10.5-11.5pt residual can be tested against a real target composition rather than a single headline percentage.</w:t>
      </w:r>
    </w:p>
    <w:p>
      <w:pPr>
        <w:pStyle w:val="ListParagraph"/>
        <w:numPr>
          <w:ilvl w:val="0"/>
          <w:numId w:val="2"/>
        </w:numPr>
        <w:spacing w:after="80"/>
      </w:pPr>
      <w:r>
        <w:t xml:space="preserve">Resolve the 1.8pt sales-extract-vs-P&amp;L basis mismatch with Finance before the workshop — otherwise every lever in Section 3 is being measured against a base that may not be the one the 53.5% target is actually stated on.</w:t>
      </w:r>
    </w:p>
    <w:p>
      <w:pPr>
        <w:pBdr>
          <w:left w:val="single" w:color="C97A1A" w:sz="18"/>
        </w:pBdr>
        <w:shd w:fill="FCEFDC" w:val="clear"/>
        <w:spacing w:after="120" w:before="100"/>
        <w:ind w:left="150" w:right="100"/>
      </w:pPr>
      <w:r>
        <w:rPr>
          <w:b/>
          <w:bCs/>
          <w:color w:val="8A4B00"/>
        </w:rPr>
        <w:t xml:space="preserve">NOT ANSWERABLE FROM DATA — ASK: </w:t>
      </w:r>
      <w:r>
        <w:t xml:space="preserve">Is there a cost, sourcing, or overhead-leverage workstream already underway elsewhere in the business that is expected to contribute to the +14.3pt target but simply falls outside this engagement's sales-data-driven scope? If so, this note's residual may be smaller than it appears — but that needs to be confirmed explicitly, not assumed. Owner: CFO.</w:t>
      </w:r>
    </w:p>
    <w:p>
      <w:pPr>
        <w:pStyle w:val="Heading1"/>
        <w:spacing w:after="160" w:before="320"/>
      </w:pPr>
      <w:r>
        <w:t xml:space="preserve">7. Backup data</w:t>
      </w:r>
    </w:p>
    <w:p>
      <w:pPr>
        <w:pStyle w:val="ListParagraph"/>
        <w:numPr>
          <w:ilvl w:val="0"/>
          <w:numId w:val="2"/>
        </w:numPr>
        <w:spacing w:after="80"/>
      </w:pPr>
      <w:r>
        <w:t xml:space="preserve">bob_marginbridge_backup.xlsx — the reconciliation summary, full lever detail with formulas, the basis-mismatch check, and the fresh special-account mix/rate decomposition.</w:t>
      </w:r>
    </w:p>
    <w:p>
      <w:pPr>
        <w:pStyle w:val="ListParagraph"/>
        <w:numPr>
          <w:ilvl w:val="0"/>
          <w:numId w:val="2"/>
        </w:numPr>
        <w:spacing w:after="80"/>
      </w:pPr>
      <w:r>
        <w:t xml:space="preserve">Source items: item2_fullprice_recovery_backup.xlsx (Sections 3, 7, 8), bob_item3_portfolio_backup.xlsx (Problem Child detail), item5_wholesale_account_preorder_reorder.xlsx (Reorder margin detail), Bridge_Item4_New_Retail_PreRead.docx (new-store EBIT shape).</w:t>
      </w:r>
    </w:p>
    <w:p>
      <w:pPr>
        <w:pStyle w:val="ListParagraph"/>
        <w:numPr>
          <w:ilvl w:val="0"/>
          <w:numId w:val="2"/>
        </w:numPr>
        <w:spacing w:after="80"/>
      </w:pPr>
      <w:r>
        <w:t xml:space="preserve">bob_financialdata_2025.xlsx — source for the P&amp;L Gross Margin, Net Sales and Gross Profit figures used in Section 4.</w:t>
      </w:r>
    </w:p>
    <w:p>
      <w:pPr>
        <w:pStyle w:val="ListParagraph"/>
        <w:numPr>
          <w:ilvl w:val="0"/>
          <w:numId w:val="2"/>
        </w:numPr>
        <w:spacing w:after="80"/>
      </w:pPr>
      <w:r>
        <w:t xml:space="preserve">All underlying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2026-07-26T13:41:33.216Z</dcterms:created>
  <dcterms:modified xsi:type="dcterms:W3CDTF">2026-07-26T13:41:33.216Z</dcterms:modified>
</cp:coreProperties>
</file>

<file path=docProps/custom.xml><?xml version="1.0" encoding="utf-8"?>
<Properties xmlns="http://schemas.openxmlformats.org/officeDocument/2006/custom-properties" xmlns:vt="http://schemas.openxmlformats.org/officeDocument/2006/docPropsVTypes"/>
</file>