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Project Bob — 2025→2029 Sales Bridge</w:t>
      </w:r>
    </w:p>
    <w:p>
      <w:pPr>
        <w:spacing w:after="60"/>
      </w:pPr>
      <w:r>
        <w:rPr>
          <w:color w:val="2E5395"/>
          <w:sz w:val="30"/>
          <w:szCs w:val="30"/>
        </w:rPr>
        <w:t xml:space="preserve">Bridge Item 1: Core Assortment Like-for-Like Growth</w:t>
      </w:r>
    </w:p>
    <w:p>
      <w:pPr>
        <w:spacing w:after="40"/>
      </w:pPr>
      <w:r>
        <w:rPr>
          <w:i/>
          <w:iCs/>
          <w:color w:val="666666"/>
          <w:sz w:val="22"/>
          <w:szCs w:val="22"/>
        </w:rPr>
        <w:t xml:space="preserve">Pre-read — workshop preparation working paper</w:t>
      </w:r>
    </w:p>
    <w:p>
      <w:pPr>
        <w:spacing w:after="400"/>
      </w:pPr>
      <w:r>
        <w:rPr>
          <w:color w:val="888888"/>
          <w:sz w:val="20"/>
          <w:szCs w:val="20"/>
        </w:rPr>
        <w:t xml:space="preserve">Prepared for CEO / CPO / investor review, 2026-07</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Headline: the existing (“like-for-like”) product assortment is shrinking roughly 11% a year in the core business. Nearly all reported core-business growth in 2025 came from new franchise introductions, not from the base selling more. The decline is not company-wide — it is concentrated in Wholesale (-16.3%), while DTC Retail (+3.1%) and Ecom (+61.8%) are both growing like-for-like on the very same products.</w:t>
      </w:r>
    </w:p>
    <w:p>
      <w:pPr>
        <w:pStyle w:val="Heading1"/>
        <w:spacing w:after="160" w:before="320"/>
      </w:pPr>
      <w:r>
        <w:t xml:space="preserve">1. Purpose and scope</w:t>
      </w:r>
    </w:p>
    <w:p>
      <w:pPr>
        <w:spacing w:after="160"/>
      </w:pPr>
      <w:r>
        <w:t xml:space="preserve">This note documents the first item of the Sales &amp; Gross Margin bridge from FY2025 actuals to the FY2029 Mid-Term Plan (MTP) target: “Core assortment like-for-like growth potential.” It is intended as pre-read material — to be tested with the CPO and an investor before the leadership workshop, and to give the CFO a chance to review the underlying method before it is shown to the wider group.</w:t>
      </w:r>
    </w:p>
    <w:p>
      <w:pPr>
        <w:spacing w:after="160"/>
      </w:pPr>
      <w:r>
        <w:t xml:space="preserve">All figures are FY2024 vs. FY2025 actuals from the granular sales extract (bob_salesdata_2024/2025.xlsx). Special accounts under structurally different commercial terms — XXL SE, XXL NO, ZALANDO, ZALANDO MARKETPLACE, China, and STADIUM Outlet — are excluded from the “core” figures throughout, since their mix/rate effects are a separate bridge item. All SEK figures are in the currency and units of the source data (no FX adjustment — see Methodology note).</w:t>
      </w:r>
    </w:p>
    <w:p>
      <w:pPr>
        <w:pStyle w:val="Heading1"/>
        <w:spacing w:after="160" w:before="320"/>
      </w:pPr>
      <w:r>
        <w:t xml:space="preserve">2. Executive summary</w:t>
      </w:r>
    </w:p>
    <w:p>
      <w:pPr>
        <w:pStyle w:val="ListParagraph"/>
        <w:numPr>
          <w:ilvl w:val="0"/>
          <w:numId w:val="2"/>
        </w:numPr>
        <w:spacing w:after="80"/>
      </w:pPr>
      <w:r>
        <w:t xml:space="preserve">Total company sales grew +94.0M SEK (783.2M → 877.2M, +12.0%) in FY2025, but this growth is concentrated in a small number of special accounts (China alone: +48.7M) and in genuinely new product — not in the existing, continuing assortment.</w:t>
      </w:r>
    </w:p>
    <w:p>
      <w:pPr>
        <w:pStyle w:val="ListParagraph"/>
        <w:numPr>
          <w:ilvl w:val="0"/>
          <w:numId w:val="2"/>
        </w:numPr>
        <w:spacing w:after="80"/>
      </w:pPr>
      <w:r>
        <w:t xml:space="preserve">Within core accounts (i.e. excluding XXL/Zalando/China/Stadium), the like-for-like base — franchises that were really trading in both years — declined –10.8% (572.3M → 510.3M SEK, –62.1M net), after correcting an initial, overstated –24.2% estimate (see Methodology note).</w:t>
      </w:r>
    </w:p>
    <w:p>
      <w:pPr>
        <w:pStyle w:val="ListParagraph"/>
        <w:numPr>
          <w:ilvl w:val="0"/>
          <w:numId w:val="2"/>
        </w:numPr>
        <w:spacing w:after="80"/>
      </w:pPr>
      <w:r>
        <w:t xml:space="preserve">This decline is not broad-based across channels: Wholesale like-for-like is –16.3%, while Retail (DTC) is +3.1% and Ecom is +61.8%, on the same underlying products.</w:t>
      </w:r>
    </w:p>
    <w:p>
      <w:pPr>
        <w:pStyle w:val="ListParagraph"/>
        <w:numPr>
          <w:ilvl w:val="0"/>
          <w:numId w:val="2"/>
        </w:numPr>
        <w:spacing w:after="80"/>
      </w:pPr>
      <w:r>
        <w:t xml:space="preserve">Within Wholesale, Preorder (forward commitment) is down a moderate –8.4% like-for-like, while Reorder (in-season replenishment) is down a much sharper –27.3%.</w:t>
      </w:r>
    </w:p>
    <w:p>
      <w:pPr>
        <w:pStyle w:val="ListParagraph"/>
        <w:numPr>
          <w:ilvl w:val="0"/>
          <w:numId w:val="2"/>
        </w:numPr>
        <w:spacing w:after="80"/>
      </w:pPr>
      <w:r>
        <w:t xml:space="preserve">Preorder softness is concentrated in specific accounts (notably Hill Rock Limited –62.3%, Scandinavian Outdoor –25.7%) while your largest accounts (Intersport, Outnorth, Eventyr, SGN) are flat-to-growing — an account-management question.</w:t>
      </w:r>
    </w:p>
    <w:p>
      <w:pPr>
        <w:pStyle w:val="ListParagraph"/>
        <w:numPr>
          <w:ilvl w:val="0"/>
          <w:numId w:val="2"/>
        </w:numPr>
        <w:spacing w:after="80"/>
      </w:pPr>
      <w:r>
        <w:t xml:space="preserve">Reorder softness is broad and systemic — 6 of the 7 Wholesale accounts with a real Reorder base are declining, including your two largest (Intersport –28.3%, Outnorth –41.6%) — a structural/process question, not a relationship question.</w:t>
      </w:r>
    </w:p>
    <w:p>
      <w:pPr>
        <w:pStyle w:val="ListParagraph"/>
        <w:numPr>
          <w:ilvl w:val="0"/>
          <w:numId w:val="2"/>
        </w:numPr>
        <w:spacing w:after="80"/>
      </w:pPr>
      <w:r>
        <w:t xml:space="preserve">At the article level, roughly a third of the apparent “loss” list is not real decline — it is version-transition accounting (successor style already active) or channel-shift to Ecom for the same product.</w:t>
      </w:r>
    </w:p>
    <w:p>
      <w:pPr>
        <w:pStyle w:val="Heading1"/>
        <w:spacing w:after="160" w:before="320"/>
      </w:pPr>
      <w:r>
        <w:t xml:space="preserve">3. Methodology note</w:t>
      </w:r>
    </w:p>
    <w:p>
      <w:pPr>
        <w:spacing w:after="160"/>
      </w:pPr>
      <w:r>
        <w:t xml:space="preserve">Two corrections were made during this analysis, both now fixed in the shared analysis code (analysis.py / config.py) so future cuts inherit them automatically:</w:t>
      </w:r>
    </w:p>
    <w:p>
      <w:pPr>
        <w:pStyle w:val="ListParagraph"/>
        <w:numPr>
          <w:ilvl w:val="0"/>
          <w:numId w:val="2"/>
        </w:numPr>
        <w:spacing w:after="80"/>
      </w:pPr>
      <w:r>
        <w:t xml:space="preserve">Version-transition double-counting: an initial cut compared raw article names year over year, which meant a style transitioning versions (e.g. “Astral GTX Jacket Men” → “Astral GTX II Jacket Men”) was counted as both a large decline (old code) and a large new-product gain (new code) — overstating the like-for-like decline (initial estimate: –24.2%). Franchises are now grouped by a base-name heuristic that strips gender and version tokens (II, III, 2.0) before comparing years.</w:t>
      </w:r>
    </w:p>
    <w:p>
      <w:pPr>
        <w:pStyle w:val="ListParagraph"/>
        <w:numPr>
          <w:ilvl w:val="0"/>
          <w:numId w:val="2"/>
        </w:numPr>
        <w:spacing w:after="80"/>
      </w:pPr>
      <w:r>
        <w:t xml:space="preserve">A data formatting bug: some article names are missing a space before the trailing gender word (e.g. “ROC Flash Down HoodMen”), which broke the grouping logic above for those rows. Fixed by normalizing spacing before matching.</w:t>
      </w:r>
    </w:p>
    <w:p>
      <w:pPr>
        <w:pStyle w:val="ListParagraph"/>
        <w:numPr>
          <w:ilvl w:val="0"/>
          <w:numId w:val="2"/>
        </w:numPr>
        <w:spacing w:after="80"/>
      </w:pPr>
      <w:r>
        <w:t xml:space="preserve">Account-context bug: config.py listed the Zalando Lounge account as “Zalando”, but the raw data uses “ZALANDO” (all caps) — the mismatch meant Zalando was silently excluded from every “special account” view prior to this note. Fixed.</w:t>
      </w:r>
    </w:p>
    <w:p>
      <w:pPr>
        <w:spacing w:after="160"/>
      </w:pPr>
      <w:r>
        <w:t xml:space="preserve">“Real trading” threshold: a franchise/article is treated as genuinely trading in a year only if it sold ≥100 units that year (existing project convention, config.MIN_UNITS_FOR_REAL_TRADING_YEAR) — this avoids a handful of return/sample transactions distorting growth rates on thin bases.</w:t>
      </w:r>
    </w:p>
    <w:p>
      <w:pPr>
        <w:spacing w:after="160"/>
      </w:pPr>
      <w:r>
        <w:t xml:space="preserve">FX: COGS is understood to be substantially USD-denominated while sales book in SEK. FX was deliberately NOT adjusted for in this analysis (agreed with CEO) — partly because the sales data has no transaction-level date/currency detail to do it properly, and partly because the cross-channel comparisons in this note (e.g. Wholesale Reorder vs. Ecom Reorder on the same product, same season) are structured so a pure currency effect would move both sides equally and therefore cannot explain the divergences shown here.</w:t>
      </w:r>
    </w:p>
    <w:p>
      <w:r>
        <w:br w:type="page"/>
      </w:r>
    </w:p>
    <w:p>
      <w:pPr>
        <w:pStyle w:val="Heading1"/>
        <w:spacing w:after="160" w:before="320"/>
      </w:pPr>
      <w:r>
        <w:t xml:space="preserve">4. The cascade: total → core → like-for-like</w:t>
      </w:r>
    </w:p>
    <w:p>
      <w:pPr>
        <w:pStyle w:val="Heading2"/>
        <w:spacing w:after="120" w:before="240"/>
      </w:pPr>
      <w:r>
        <w:t xml:space="preserve">4.1 Total company, then special accounts vs. 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750"/>
        <w:gridCol w:w="1750"/>
        <w:gridCol w:w="1400"/>
        <w:gridCol w:w="18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9"/>
                <w:szCs w:val="19"/>
              </w:rPr>
              <w:t xml:space="preserve">Account</w:t>
            </w:r>
          </w:p>
        </w:tc>
        <w:tc>
          <w:tcPr>
            <w:tcW w:type="dxa" w:w="1750"/>
            <w:shd w:fill="2F2F2F" w:val="clear"/>
            <w:tcMar>
              <w:top w:type="dxa" w:w="60"/>
              <w:left w:type="dxa" w:w="100"/>
              <w:bottom w:type="dxa" w:w="60"/>
              <w:right w:type="dxa" w:w="100"/>
            </w:tcMar>
            <w:vAlign w:val="center"/>
          </w:tcPr>
          <w:p>
            <w:pPr>
              <w:jc w:val="center"/>
            </w:pPr>
            <w:r>
              <w:rPr>
                <w:b/>
                <w:bCs/>
                <w:color w:val="FFFFFF"/>
                <w:sz w:val="19"/>
                <w:szCs w:val="19"/>
              </w:rPr>
              <w:t xml:space="preserve">2024 (SEK)</w:t>
            </w:r>
          </w:p>
        </w:tc>
        <w:tc>
          <w:tcPr>
            <w:tcW w:type="dxa" w:w="1750"/>
            <w:shd w:fill="2F2F2F" w:val="clear"/>
            <w:tcMar>
              <w:top w:type="dxa" w:w="60"/>
              <w:left w:type="dxa" w:w="100"/>
              <w:bottom w:type="dxa" w:w="60"/>
              <w:right w:type="dxa" w:w="100"/>
            </w:tcMar>
            <w:vAlign w:val="center"/>
          </w:tcPr>
          <w:p>
            <w:pPr>
              <w:jc w:val="center"/>
            </w:pPr>
            <w:r>
              <w:rPr>
                <w:b/>
                <w:bCs/>
                <w:color w:val="FFFFFF"/>
                <w:sz w:val="19"/>
                <w:szCs w:val="19"/>
              </w:rPr>
              <w:t xml:space="preserve">2025 (SEK)</w:t>
            </w:r>
          </w:p>
        </w:tc>
        <w:tc>
          <w:tcPr>
            <w:tcW w:type="dxa" w:w="1400"/>
            <w:shd w:fill="2F2F2F" w:val="clear"/>
            <w:tcMar>
              <w:top w:type="dxa" w:w="60"/>
              <w:left w:type="dxa" w:w="100"/>
              <w:bottom w:type="dxa" w:w="60"/>
              <w:right w:type="dxa" w:w="100"/>
            </w:tcMar>
            <w:vAlign w:val="center"/>
          </w:tcPr>
          <w:p>
            <w:pPr>
              <w:jc w:val="center"/>
            </w:pPr>
            <w:r>
              <w:rPr>
                <w:b/>
                <w:bCs/>
                <w:color w:val="FFFFFF"/>
                <w:sz w:val="19"/>
                <w:szCs w:val="19"/>
              </w:rPr>
              <w:t xml:space="preserve">YoY %</w:t>
            </w:r>
          </w:p>
        </w:tc>
        <w:tc>
          <w:tcPr>
            <w:tcW w:type="dxa" w:w="1850"/>
            <w:shd w:fill="2F2F2F" w:val="clear"/>
            <w:tcMar>
              <w:top w:type="dxa" w:w="60"/>
              <w:left w:type="dxa" w:w="100"/>
              <w:bottom w:type="dxa" w:w="60"/>
              <w:right w:type="dxa" w:w="100"/>
            </w:tcMar>
            <w:vAlign w:val="center"/>
          </w:tcPr>
          <w:p>
            <w:pPr>
              <w:jc w:val="center"/>
            </w:pPr>
            <w:r>
              <w:rPr>
                <w:b/>
                <w:bCs/>
                <w:color w:val="FFFFFF"/>
                <w:sz w:val="19"/>
                <w:szCs w:val="19"/>
              </w:rPr>
              <w:t xml:space="preserve">Share of 2025</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Core (all other accounts)</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619,614,345</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649,760,108</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+4.9%</w:t>
            </w:r>
          </w:p>
        </w:tc>
        <w:tc>
          <w:tcPr>
            <w:tcW w:type="dxa" w:w="1850"/>
            <w:tcMar>
              <w:top w:type="dxa" w:w="60"/>
              <w:left w:type="dxa" w:w="100"/>
              <w:bottom w:type="dxa" w:w="60"/>
              <w:right w:type="dxa" w:w="100"/>
            </w:tcMar>
            <w:vAlign w:val="center"/>
          </w:tcPr>
          <w:p>
            <w:pPr>
              <w:jc w:val="center"/>
            </w:pPr>
            <w:r>
              <w:rPr>
                <w:b w:val="false"/>
                <w:bCs w:val="false"/>
                <w:color w:val="000000"/>
                <w:sz w:val="19"/>
                <w:szCs w:val="19"/>
              </w:rPr>
              <w:t xml:space="preserve">74.1%</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XXL SE</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92,582,849</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81,913,672</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−11.5%</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9.3%</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ZALANDO</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34,919,909</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52,597,798</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+50.6%</w:t>
            </w:r>
          </w:p>
        </w:tc>
        <w:tc>
          <w:tcPr>
            <w:tcW w:type="dxa" w:w="1850"/>
            <w:tcMar>
              <w:top w:type="dxa" w:w="60"/>
              <w:left w:type="dxa" w:w="100"/>
              <w:bottom w:type="dxa" w:w="60"/>
              <w:right w:type="dxa" w:w="100"/>
            </w:tcMar>
            <w:vAlign w:val="center"/>
          </w:tcPr>
          <w:p>
            <w:pPr>
              <w:jc w:val="center"/>
            </w:pPr>
            <w:r>
              <w:rPr>
                <w:b w:val="false"/>
                <w:bCs w:val="false"/>
                <w:color w:val="000000"/>
                <w:sz w:val="19"/>
                <w:szCs w:val="19"/>
              </w:rPr>
              <w:t xml:space="preserve">6.0%</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China</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469,902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49,134,024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+10,266%</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5.6%</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XXL NO</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31,899,728</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33,735,862</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+5.8%</w:t>
            </w:r>
          </w:p>
        </w:tc>
        <w:tc>
          <w:tcPr>
            <w:tcW w:type="dxa" w:w="1850"/>
            <w:tcMar>
              <w:top w:type="dxa" w:w="60"/>
              <w:left w:type="dxa" w:w="100"/>
              <w:bottom w:type="dxa" w:w="60"/>
              <w:right w:type="dxa" w:w="100"/>
            </w:tcMar>
            <w:vAlign w:val="center"/>
          </w:tcPr>
          <w:p>
            <w:pPr>
              <w:jc w:val="center"/>
            </w:pPr>
            <w:r>
              <w:rPr>
                <w:b w:val="false"/>
                <w:bCs w:val="false"/>
                <w:color w:val="000000"/>
                <w:sz w:val="19"/>
                <w:szCs w:val="19"/>
              </w:rPr>
              <w:t xml:space="preserve">3.8%</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STADIUM Outlet</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9,555,693</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new</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ZALANDO MARKETPLACE</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3,750,463</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456,250</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−87.0%</w:t>
            </w:r>
          </w:p>
        </w:tc>
        <w:tc>
          <w:tcPr>
            <w:tcW w:type="dxa" w:w="1850"/>
            <w:tcMar>
              <w:top w:type="dxa" w:w="60"/>
              <w:left w:type="dxa" w:w="100"/>
              <w:bottom w:type="dxa" w:w="60"/>
              <w:right w:type="dxa" w:w="100"/>
            </w:tcMar>
            <w:vAlign w:val="center"/>
          </w:tcPr>
          <w:p>
            <w:pPr>
              <w:jc w:val="center"/>
            </w:pPr>
            <w:r>
              <w:rPr>
                <w:b w:val="false"/>
                <w:bCs w:val="false"/>
                <w:color w:val="000000"/>
                <w:sz w:val="19"/>
                <w:szCs w:val="19"/>
              </w:rPr>
              <w:t xml:space="preserve">0.1%</w:t>
            </w:r>
          </w:p>
        </w:tc>
      </w:tr>
    </w:tbl>
    <w:p>
      <w:pPr>
        <w:spacing w:after="200"/>
      </w:pPr>
      <w:r>
        <w:rPr>
          <w:i/>
          <w:iCs/>
          <w:color w:val="555555"/>
          <w:sz w:val="18"/>
          <w:szCs w:val="18"/>
        </w:rPr>
        <w:t xml:space="preserve">Total company sales: 783.2M (2024) → 877.2M (2025), +94.0M. China and Zalando are both growing fast right now — this is not simply “legacy accounts being wound down.” XXL SE is already shrinking ahead of its formal exit.</w:t>
      </w:r>
    </w:p>
    <w:p>
      <w:pPr>
        <w:pStyle w:val="Heading2"/>
        <w:spacing w:after="120" w:before="240"/>
      </w:pPr>
      <w:r>
        <w:t xml:space="preserve">4.2 Composition of Core (649.8M in 2025)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1800"/>
        <w:gridCol w:w="1450"/>
        <w:gridCol w:w="140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9"/>
                <w:szCs w:val="19"/>
              </w:rPr>
              <w:t xml:space="preserve">Bucket</w:t>
            </w:r>
          </w:p>
        </w:tc>
        <w:tc>
          <w:tcPr>
            <w:tcW w:type="dxa" w:w="1800"/>
            <w:shd w:fill="2F2F2F" w:val="clear"/>
            <w:tcMar>
              <w:top w:type="dxa" w:w="60"/>
              <w:left w:type="dxa" w:w="100"/>
              <w:bottom w:type="dxa" w:w="60"/>
              <w:right w:type="dxa" w:w="100"/>
            </w:tcMar>
            <w:vAlign w:val="center"/>
          </w:tcPr>
          <w:p>
            <w:pPr>
              <w:jc w:val="center"/>
            </w:pPr>
            <w:r>
              <w:rPr>
                <w:b/>
                <w:bCs/>
                <w:color w:val="FFFFFF"/>
                <w:sz w:val="19"/>
                <w:szCs w:val="19"/>
              </w:rPr>
              <w:t xml:space="preserve">2024 (SEK)</w:t>
            </w:r>
          </w:p>
        </w:tc>
        <w:tc>
          <w:tcPr>
            <w:tcW w:type="dxa" w:w="1800"/>
            <w:shd w:fill="2F2F2F" w:val="clear"/>
            <w:tcMar>
              <w:top w:type="dxa" w:w="60"/>
              <w:left w:type="dxa" w:w="100"/>
              <w:bottom w:type="dxa" w:w="60"/>
              <w:right w:type="dxa" w:w="100"/>
            </w:tcMar>
            <w:vAlign w:val="center"/>
          </w:tcPr>
          <w:p>
            <w:pPr>
              <w:jc w:val="center"/>
            </w:pPr>
            <w:r>
              <w:rPr>
                <w:b/>
                <w:bCs/>
                <w:color w:val="FFFFFF"/>
                <w:sz w:val="19"/>
                <w:szCs w:val="19"/>
              </w:rPr>
              <w:t xml:space="preserve">2025 (SEK)</w:t>
            </w:r>
          </w:p>
        </w:tc>
        <w:tc>
          <w:tcPr>
            <w:tcW w:type="dxa" w:w="1450"/>
            <w:shd w:fill="2F2F2F" w:val="clear"/>
            <w:tcMar>
              <w:top w:type="dxa" w:w="60"/>
              <w:left w:type="dxa" w:w="100"/>
              <w:bottom w:type="dxa" w:w="60"/>
              <w:right w:type="dxa" w:w="100"/>
            </w:tcMar>
            <w:vAlign w:val="center"/>
          </w:tcPr>
          <w:p>
            <w:pPr>
              <w:jc w:val="center"/>
            </w:pPr>
            <w:r>
              <w:rPr>
                <w:b/>
                <w:bCs/>
                <w:color w:val="FFFFFF"/>
                <w:sz w:val="19"/>
                <w:szCs w:val="19"/>
              </w:rPr>
              <w:t xml:space="preserve"># Franchises</w:t>
            </w:r>
          </w:p>
        </w:tc>
        <w:tc>
          <w:tcPr>
            <w:tcW w:type="dxa" w:w="1400"/>
            <w:shd w:fill="2F2F2F" w:val="clear"/>
            <w:tcMar>
              <w:top w:type="dxa" w:w="60"/>
              <w:left w:type="dxa" w:w="100"/>
              <w:bottom w:type="dxa" w:w="60"/>
              <w:right w:type="dxa" w:w="100"/>
            </w:tcMar>
            <w:vAlign w:val="center"/>
          </w:tcPr>
          <w:p>
            <w:pPr>
              <w:jc w:val="center"/>
            </w:pPr>
            <w:r>
              <w:rPr>
                <w:b/>
                <w:bCs/>
                <w:color w:val="FFFFFF"/>
                <w:sz w:val="19"/>
                <w:szCs w:val="19"/>
              </w:rPr>
              <w:t xml:space="preserve">Net change</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Continuing (like-for-like)</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572,329,079</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510,260,402</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623</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−62,068,677</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Discontinued (2024 only)</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36,639,301</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7,430,226</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176</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−29,209,076</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Genuinely New (2025 only)</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2,241,588</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123,930,153</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197</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+121,688,566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Thin (below threshold both years)</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8,404,377</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8,139,327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864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−265,050</w:t>
            </w:r>
          </w:p>
        </w:tc>
      </w:tr>
    </w:tbl>
    <w:p>
      <w:pPr>
        <w:spacing w:after="200"/>
      </w:pPr>
      <w:r>
        <w:rPr>
          <w:i/>
          <w:iCs/>
          <w:color w:val="555555"/>
          <w:sz w:val="18"/>
          <w:szCs w:val="18"/>
        </w:rPr>
        <w:t xml:space="preserve">Reconciles exactly to Core’s 619.6M → 649.8M. “Continuing” is the true like-for-like base.</w:t>
      </w:r>
    </w:p>
    <w:p>
      <w:pPr>
        <w:pStyle w:val="Heading2"/>
        <w:spacing w:after="120" w:before="240"/>
      </w:pPr>
      <w:r>
        <w:t xml:space="preserve">4.3 Continuing franchises: growers vs. decliners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900"/>
        <w:gridCol w:w="1900"/>
        <w:gridCol w:w="1750"/>
      </w:tblGrid>
      <w:tr>
        <w:trPr>
          <w:tblHeader/>
        </w:trPr>
        <w:tc>
          <w:tcPr>
            <w:tcW w:type="dxa" w:w="2200"/>
            <w:shd w:fill="2F2F2F" w:val="clear"/>
            <w:tcMar>
              <w:top w:type="dxa" w:w="60"/>
              <w:left w:type="dxa" w:w="100"/>
              <w:bottom w:type="dxa" w:w="60"/>
              <w:right w:type="dxa" w:w="100"/>
            </w:tcMar>
            <w:vAlign w:val="center"/>
          </w:tcPr>
          <w:p>
            <w:pPr>
              <w:jc w:val="left"/>
            </w:pPr>
            <w:r>
              <w:rPr>
                <w:b/>
                <w:bCs/>
                <w:color w:val="FFFFFF"/>
                <w:sz w:val="19"/>
                <w:szCs w:val="19"/>
              </w:rPr>
              <w:t xml:space="preserve">Group</w:t>
            </w:r>
          </w:p>
        </w:tc>
        <w:tc>
          <w:tcPr>
            <w:tcW w:type="dxa" w:w="1600"/>
            <w:shd w:fill="2F2F2F" w:val="clear"/>
            <w:tcMar>
              <w:top w:type="dxa" w:w="60"/>
              <w:left w:type="dxa" w:w="100"/>
              <w:bottom w:type="dxa" w:w="60"/>
              <w:right w:type="dxa" w:w="100"/>
            </w:tcMar>
            <w:vAlign w:val="center"/>
          </w:tcPr>
          <w:p>
            <w:pPr>
              <w:jc w:val="center"/>
            </w:pPr>
            <w:r>
              <w:rPr>
                <w:b/>
                <w:bCs/>
                <w:color w:val="FFFFFF"/>
                <w:sz w:val="19"/>
                <w:szCs w:val="19"/>
              </w:rPr>
              <w:t xml:space="preserve"># Franchises</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2024 (SEK)</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2025 (SEK)</w:t>
            </w:r>
          </w:p>
        </w:tc>
        <w:tc>
          <w:tcPr>
            <w:tcW w:type="dxa" w:w="1750"/>
            <w:shd w:fill="2F2F2F" w:val="clear"/>
            <w:tcMar>
              <w:top w:type="dxa" w:w="60"/>
              <w:left w:type="dxa" w:w="100"/>
              <w:bottom w:type="dxa" w:w="60"/>
              <w:right w:type="dxa" w:w="100"/>
            </w:tcMar>
            <w:vAlign w:val="center"/>
          </w:tcPr>
          <w:p>
            <w:pPr>
              <w:jc w:val="center"/>
            </w:pPr>
            <w:r>
              <w:rPr>
                <w:b/>
                <w:bCs/>
                <w:color w:val="FFFFFF"/>
                <w:sz w:val="19"/>
                <w:szCs w:val="19"/>
              </w:rPr>
              <w:t xml:space="preserve">Net</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Growing</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241</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220,656,775</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287,402,685</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+66,745,909</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Declining / flat</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382</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351,672,304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222,857,717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−128,814,586</w:t>
            </w:r>
          </w:p>
        </w:tc>
      </w:tr>
    </w:tbl>
    <w:p>
      <w:pPr>
        <w:pStyle w:val="Heading2"/>
        <w:spacing w:after="120" w:before="240"/>
      </w:pPr>
      <w:r>
        <w:t xml:space="preserve">4.4 Continuing (like-for-like) by layer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800"/>
        <w:gridCol w:w="1700"/>
        <w:gridCol w:w="1700"/>
        <w:gridCol w:w="1150"/>
      </w:tblGrid>
      <w:tr>
        <w:trPr>
          <w:tblHeader/>
        </w:trPr>
        <w:tc>
          <w:tcPr>
            <w:tcW w:type="dxa" w:w="4800"/>
            <w:shd w:fill="2F2F2F"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2024 (SEK)</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2025 (SEK)</w:t>
            </w:r>
          </w:p>
        </w:tc>
        <w:tc>
          <w:tcPr>
            <w:tcW w:type="dxa" w:w="1150"/>
            <w:shd w:fill="2F2F2F" w:val="clear"/>
            <w:tcMar>
              <w:top w:type="dxa" w:w="60"/>
              <w:left w:type="dxa" w:w="100"/>
              <w:bottom w:type="dxa" w:w="60"/>
              <w:right w:type="dxa" w:w="100"/>
            </w:tcMar>
            <w:vAlign w:val="center"/>
          </w:tcPr>
          <w:p>
            <w:pPr>
              <w:jc w:val="center"/>
            </w:pPr>
            <w:r>
              <w:rPr>
                <w:b/>
                <w:bCs/>
                <w:color w:val="FFFFFF"/>
                <w:sz w:val="19"/>
                <w:szCs w:val="19"/>
              </w:rPr>
              <w:t xml:space="preserve">YoY %</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Shell</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214,275,779</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199,235,426</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−7%</w:t>
            </w:r>
          </w:p>
        </w:tc>
      </w:tr>
      <w:tr>
        <w:tc>
          <w:tcPr>
            <w:tcW w:type="dxa" w:w="48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Insulation</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107,974,483</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97,918,454</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Mid layer</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56,062,367</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50,160,935</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−11%</w:t>
            </w:r>
          </w:p>
        </w:tc>
      </w:tr>
      <w:tr>
        <w:tc>
          <w:tcPr>
            <w:tcW w:type="dxa" w:w="48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Legwear</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55,113,590</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39,782,571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−28%</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Hiking shoes</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32,195,729</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29,867,845</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−7%</w:t>
            </w:r>
          </w:p>
        </w:tc>
      </w:tr>
      <w:tr>
        <w:tc>
          <w:tcPr>
            <w:tcW w:type="dxa" w:w="48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Daypacks</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27,654,094</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20,925,559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−24%</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Soft shell</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16,866,646</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14,013,200</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−17%</w:t>
            </w:r>
          </w:p>
        </w:tc>
      </w:tr>
      <w:tr>
        <w:tc>
          <w:tcPr>
            <w:tcW w:type="dxa" w:w="48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Tops</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9,476,373</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6,710,669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−29%</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Hiking packs</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8,911,878</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6,366,769</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−29%</w:t>
            </w:r>
          </w:p>
        </w:tc>
      </w:tr>
      <w:tr>
        <w:tc>
          <w:tcPr>
            <w:tcW w:type="dxa" w:w="48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Other layers (Sleepingbags, Base layer, Mountain packs, Trekking shoes/packs, Bags, Accessories, Casual shoes)</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 11M each</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 11M each</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flat to +30%</w:t>
            </w:r>
          </w:p>
        </w:tc>
      </w:tr>
    </w:tbl>
    <w:p>
      <w:pPr>
        <w:spacing w:after="200"/>
      </w:pPr>
      <w:r>
        <w:rPr>
          <w:i/>
          <w:iCs/>
          <w:color w:val="555555"/>
          <w:sz w:val="18"/>
          <w:szCs w:val="18"/>
        </w:rPr>
        <w:t xml:space="preserve">Legwear, Tops, Hiking packs and Daypacks are the sharpest like-for-like decliners; Shell and Insulation dominate in absolute SEK given their size.</w:t>
      </w:r>
    </w:p>
    <w:p>
      <w:r>
        <w:br w:type="page"/>
      </w:r>
    </w:p>
    <w:p>
      <w:pPr>
        <w:pStyle w:val="Heading1"/>
        <w:spacing w:after="160" w:before="320"/>
      </w:pPr>
      <w:r>
        <w:t xml:space="preserve">5. Channel divergence: this is not one 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950"/>
        <w:gridCol w:w="19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9"/>
                <w:szCs w:val="19"/>
              </w:rPr>
              <w:t xml:space="preserve">Channel</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Core sales 2024</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Core sales 2025</w:t>
            </w:r>
          </w:p>
        </w:tc>
        <w:tc>
          <w:tcPr>
            <w:tcW w:type="dxa" w:w="1950"/>
            <w:shd w:fill="2F2F2F" w:val="clear"/>
            <w:tcMar>
              <w:top w:type="dxa" w:w="60"/>
              <w:left w:type="dxa" w:w="100"/>
              <w:bottom w:type="dxa" w:w="60"/>
              <w:right w:type="dxa" w:w="100"/>
            </w:tcMar>
            <w:vAlign w:val="center"/>
          </w:tcPr>
          <w:p>
            <w:pPr>
              <w:jc w:val="center"/>
            </w:pPr>
            <w:r>
              <w:rPr>
                <w:b/>
                <w:bCs/>
                <w:color w:val="FFFFFF"/>
                <w:sz w:val="19"/>
                <w:szCs w:val="19"/>
              </w:rPr>
              <w:t xml:space="preserve">Headline YoY %</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Like-for-like YoY %</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Wholesale</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429.8M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431.5M</w:t>
            </w:r>
          </w:p>
        </w:tc>
        <w:tc>
          <w:tcPr>
            <w:tcW w:type="dxa" w:w="1950"/>
            <w:tcMar>
              <w:top w:type="dxa" w:w="60"/>
              <w:left w:type="dxa" w:w="100"/>
              <w:bottom w:type="dxa" w:w="60"/>
              <w:right w:type="dxa" w:w="100"/>
            </w:tcMar>
            <w:vAlign w:val="center"/>
          </w:tcPr>
          <w:p>
            <w:pPr>
              <w:jc w:val="center"/>
            </w:pPr>
            <w:r>
              <w:rPr>
                <w:b w:val="false"/>
                <w:bCs w:val="false"/>
                <w:color w:val="000000"/>
                <w:sz w:val="19"/>
                <w:szCs w:val="19"/>
              </w:rPr>
              <w:t xml:space="preserve">+0.4%</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−16.3%</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Retail (DTC)</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114.1M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123.0M</w:t>
            </w:r>
          </w:p>
        </w:tc>
        <w:tc>
          <w:tcPr>
            <w:tcW w:type="dxa" w:w="19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+7.8%</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+3.1%</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E-com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68.0M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94.1M</w:t>
            </w:r>
          </w:p>
        </w:tc>
        <w:tc>
          <w:tcPr>
            <w:tcW w:type="dxa" w:w="1950"/>
            <w:tcMar>
              <w:top w:type="dxa" w:w="60"/>
              <w:left w:type="dxa" w:w="100"/>
              <w:bottom w:type="dxa" w:w="60"/>
              <w:right w:type="dxa" w:w="100"/>
            </w:tcMar>
            <w:vAlign w:val="center"/>
          </w:tcPr>
          <w:p>
            <w:pPr>
              <w:jc w:val="center"/>
            </w:pPr>
            <w:r>
              <w:rPr>
                <w:b w:val="false"/>
                <w:bCs w:val="false"/>
                <w:color w:val="000000"/>
                <w:sz w:val="19"/>
                <w:szCs w:val="19"/>
              </w:rPr>
              <w:t xml:space="preserve">+38.4%</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+61.8%</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Marketplace</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7.8M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1.1M</w:t>
            </w:r>
          </w:p>
        </w:tc>
        <w:tc>
          <w:tcPr>
            <w:tcW w:type="dxa" w:w="19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−86.0%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no continuing base — dying channel</w:t>
            </w:r>
          </w:p>
        </w:tc>
      </w:tr>
    </w:tbl>
    <w:p>
      <w:pPr>
        <w:spacing w:after="160"/>
      </w:pPr>
      <w:r>
        <w:t xml:space="preserve">Wholesale looks flat at the headline level (+0.4%) but that hides a −16.3% like-for-like collapse, papered over by an enormous injection of new listings (Genuinely New product in Wholesale: 1.5M → 107.8M SEK) replacing discontinued lines (45.9M → 2.95M). Wholesale is not stable — it is on a treadmill.</w:t>
      </w:r>
    </w:p>
    <w:p>
      <w:pPr>
        <w:spacing w:after="160"/>
      </w:pPr>
      <w:r>
        <w:t xml:space="preserve">Ecom, by contrast, is growing on both fronts at once — existing product genuinely selling +61.8% more, and new product landing well (+18.6M) — a healthier pattern than Wholesale’s.</w:t>
      </w:r>
    </w:p>
    <w:p>
      <w:pPr>
        <w:spacing w:after="160"/>
      </w:pPr>
      <w:r>
        <w:t xml:space="preserve">Open strategic question for the workshop: is Wholesale demand shrinking outright, or is it structurally shifting to DTC/Ecom for the same underlying consumer? This data cannot distinguish the two — it would need consumer/end-channel visibility this dataset doesn’t contain.</w:t>
      </w:r>
    </w:p>
    <w:p>
      <w:pPr>
        <w:pStyle w:val="Heading1"/>
        <w:spacing w:after="160" w:before="320"/>
      </w:pPr>
      <w:r>
        <w:t xml:space="preserve">6. Inside Wholesale: Preorder vs. Reorder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900"/>
        <w:gridCol w:w="1900"/>
        <w:gridCol w:w="1900"/>
        <w:gridCol w:w="1900"/>
      </w:tblGrid>
      <w:tr>
        <w:trPr>
          <w:tblHeader/>
        </w:trPr>
        <w:tc>
          <w:tcPr>
            <w:tcW w:type="dxa" w:w="1750"/>
            <w:shd w:fill="2F2F2F" w:val="clear"/>
            <w:tcMar>
              <w:top w:type="dxa" w:w="60"/>
              <w:left w:type="dxa" w:w="100"/>
              <w:bottom w:type="dxa" w:w="60"/>
              <w:right w:type="dxa" w:w="100"/>
            </w:tcMar>
            <w:vAlign w:val="center"/>
          </w:tcPr>
          <w:p>
            <w:pPr>
              <w:jc w:val="left"/>
            </w:pPr>
            <w:r>
              <w:rPr>
                <w:b/>
                <w:bCs/>
                <w:color w:val="FFFFFF"/>
                <w:sz w:val="19"/>
                <w:szCs w:val="19"/>
              </w:rPr>
              <w:t xml:space="preserve">Ordertype</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Headline 2024</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Headline 2025</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Headline YoY %</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Like-for-like YoY %</w:t>
            </w:r>
          </w:p>
        </w:tc>
      </w:tr>
      <w:tr>
        <w:tc>
          <w:tcPr>
            <w:tcW w:type="dxa" w:w="1750"/>
            <w:tcMar>
              <w:top w:type="dxa" w:w="60"/>
              <w:left w:type="dxa" w:w="100"/>
              <w:bottom w:type="dxa" w:w="60"/>
              <w:right w:type="dxa" w:w="100"/>
            </w:tcMar>
            <w:vAlign w:val="center"/>
          </w:tcPr>
          <w:p>
            <w:pPr>
              <w:jc w:val="left"/>
            </w:pPr>
            <w:r>
              <w:rPr>
                <w:b w:val="false"/>
                <w:bCs w:val="false"/>
                <w:color w:val="000000"/>
                <w:sz w:val="19"/>
                <w:szCs w:val="19"/>
              </w:rPr>
              <w:t xml:space="preserve">Preorder</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290.1M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314.7M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+8.5%</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−8.4%</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Reorder</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89.1M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68.9M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−22.6%</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−27.3%</w:t>
            </w:r>
          </w:p>
        </w:tc>
      </w:tr>
      <w:tr>
        <w:tc>
          <w:tcPr>
            <w:tcW w:type="dxa" w:w="1750"/>
            <w:tcMar>
              <w:top w:type="dxa" w:w="60"/>
              <w:left w:type="dxa" w:w="100"/>
              <w:bottom w:type="dxa" w:w="60"/>
              <w:right w:type="dxa" w:w="100"/>
            </w:tcMar>
            <w:vAlign w:val="center"/>
          </w:tcPr>
          <w:p>
            <w:pPr>
              <w:jc w:val="left"/>
            </w:pPr>
            <w:r>
              <w:rPr>
                <w:b w:val="false"/>
                <w:bCs w:val="false"/>
                <w:color w:val="000000"/>
                <w:sz w:val="19"/>
                <w:szCs w:val="19"/>
              </w:rPr>
              <w:t xml:space="preserve">Closeout</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50.6M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47.9M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−5.4%</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−29.0%</w:t>
            </w:r>
          </w:p>
        </w:tc>
      </w:tr>
    </w:tbl>
    <w:p>
      <w:pPr>
        <w:spacing w:after="160"/>
      </w:pPr>
      <w:r>
        <w:t xml:space="preserve">Preorder’s headline +8.5% is another version of the same illusion as Wholesale overall: like-for-like demand for existing styles is actually down –8.4%, masked by new listings (Genuinely New Preorder: 0.3M → 88.3M, ~28% of the 2025 Preorder book).</w:t>
      </w:r>
    </w:p>
    <w:p>
      <w:pPr>
        <w:spacing w:after="160"/>
      </w:pPr>
      <w:r>
        <w:t xml:space="preserve">Reorder is the more acute problem — a –27.3% like-for-like collapse in mid-season replenishment, which is now understood to be a bigger revenue problem than the previously-identified Reorder COGS/unit inflation (≈ 6.4M SEK avoidable cost — small next to a −16.8M like-for-like Reorder revenue decline).</w:t>
      </w:r>
    </w:p>
    <w:p>
      <w:pPr>
        <w:pStyle w:val="Heading2"/>
        <w:spacing w:after="120" w:before="240"/>
      </w:pPr>
      <w:r>
        <w:t xml:space="preserve">6.1 By account: Preorder is account-specific, Reorder is systemic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1800"/>
        <w:gridCol w:w="2100"/>
        <w:gridCol w:w="21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9"/>
                <w:szCs w:val="19"/>
              </w:rPr>
              <w:t xml:space="preserve">Account</w:t>
            </w:r>
          </w:p>
        </w:tc>
        <w:tc>
          <w:tcPr>
            <w:tcW w:type="dxa" w:w="1800"/>
            <w:shd w:fill="2F2F2F" w:val="clear"/>
            <w:tcMar>
              <w:top w:type="dxa" w:w="60"/>
              <w:left w:type="dxa" w:w="100"/>
              <w:bottom w:type="dxa" w:w="60"/>
              <w:right w:type="dxa" w:w="100"/>
            </w:tcMar>
            <w:vAlign w:val="center"/>
          </w:tcPr>
          <w:p>
            <w:pPr>
              <w:jc w:val="center"/>
            </w:pPr>
            <w:r>
              <w:rPr>
                <w:b/>
                <w:bCs/>
                <w:color w:val="FFFFFF"/>
                <w:sz w:val="19"/>
                <w:szCs w:val="19"/>
              </w:rPr>
              <w:t xml:space="preserve">2025 Total</w:t>
            </w:r>
          </w:p>
        </w:tc>
        <w:tc>
          <w:tcPr>
            <w:tcW w:type="dxa" w:w="2100"/>
            <w:shd w:fill="2F2F2F" w:val="clear"/>
            <w:tcMar>
              <w:top w:type="dxa" w:w="60"/>
              <w:left w:type="dxa" w:w="100"/>
              <w:bottom w:type="dxa" w:w="60"/>
              <w:right w:type="dxa" w:w="100"/>
            </w:tcMar>
            <w:vAlign w:val="center"/>
          </w:tcPr>
          <w:p>
            <w:pPr>
              <w:jc w:val="center"/>
            </w:pPr>
            <w:r>
              <w:rPr>
                <w:b/>
                <w:bCs/>
                <w:color w:val="FFFFFF"/>
                <w:sz w:val="19"/>
                <w:szCs w:val="19"/>
              </w:rPr>
              <w:t xml:space="preserve">Preorder LFL %</w:t>
            </w:r>
          </w:p>
        </w:tc>
        <w:tc>
          <w:tcPr>
            <w:tcW w:type="dxa" w:w="2100"/>
            <w:shd w:fill="2F2F2F" w:val="clear"/>
            <w:tcMar>
              <w:top w:type="dxa" w:w="60"/>
              <w:left w:type="dxa" w:w="100"/>
              <w:bottom w:type="dxa" w:w="60"/>
              <w:right w:type="dxa" w:w="100"/>
            </w:tcMar>
            <w:vAlign w:val="center"/>
          </w:tcPr>
          <w:p>
            <w:pPr>
              <w:jc w:val="center"/>
            </w:pPr>
            <w:r>
              <w:rPr>
                <w:b/>
                <w:bCs/>
                <w:color w:val="FFFFFF"/>
                <w:sz w:val="19"/>
                <w:szCs w:val="19"/>
              </w:rPr>
              <w:t xml:space="preserve">Reorder LFL %</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Intersport</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79.9M</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+3.2%</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−28.3%</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Outnorth AB</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30.8M</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−41.6%</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Eventyr Sport</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26.7M</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+5.0%</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−16.8%</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RCT Systems Japan</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21.2M</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+18.4%</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n/a</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SGN</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17.9M</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+1.3%</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−0.8%</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Mega Sport S.A</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15.7M</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−2.0%</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+21.6%</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Scandinavian Outdoor</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8.8M</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−25.7%</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−48.0%</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Hill Rock Limited</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5.3M</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−62.3%</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n/a</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Sport 24</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4.8M</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−4.1%</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−50.4%</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Bergfreunde GmbH</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4.5M</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−8.1%</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n/a</w:t>
            </w:r>
          </w:p>
        </w:tc>
      </w:tr>
    </w:tbl>
    <w:p>
      <w:pPr>
        <w:spacing w:after="160"/>
      </w:pPr>
      <w:r>
        <w:t xml:space="preserve">Preorder: your biggest accounts (Intersport, Outnorth, Eventyr, RCT Japan, SGN) are flat-to-growing. The overall –8.4% is driven by a small number of specific accounts — above all Hill Rock (−62.3%) and Scandinavian Outdoor (−25.7%). This is a relationship/account-management conversation with two named accounts.</w:t>
      </w:r>
    </w:p>
    <w:p>
      <w:pPr>
        <w:spacing w:after="160"/>
      </w:pPr>
      <w:r>
        <w:t xml:space="preserve">Reorder: of the 7 accounts with a real Reorder base, 6 are declining — including your two largest, Intersport and Outnorth. Only Mega Sport is growing. This is systemic, not account-specific — it points to a structural/process cause (sell-through visibility, in-season replenishment friction, or broad retailer destocking behaviour) rather than individual relationships.</w:t>
      </w:r>
    </w:p>
    <w:p>
      <w:r>
        <w:br w:type="page"/>
      </w:r>
    </w:p>
    <w:p>
      <w:pPr>
        <w:pStyle w:val="Heading1"/>
        <w:spacing w:after="160" w:before="320"/>
      </w:pPr>
      <w:r>
        <w:t xml:space="preserve">7. Layer × ordertype: product signal vs. account idiosyncrasy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3000"/>
            <w:shd w:fill="2F2F2F" w:val="clear"/>
            <w:tcMar>
              <w:top w:type="dxa" w:w="60"/>
              <w:left w:type="dxa" w:w="100"/>
              <w:bottom w:type="dxa" w:w="60"/>
              <w:right w:type="dxa" w:w="100"/>
            </w:tcMar>
            <w:vAlign w:val="center"/>
          </w:tcPr>
          <w:p>
            <w:pPr>
              <w:jc w:val="center"/>
            </w:pPr>
            <w:r>
              <w:rPr>
                <w:b/>
                <w:bCs/>
                <w:color w:val="FFFFFF"/>
                <w:sz w:val="19"/>
                <w:szCs w:val="19"/>
              </w:rPr>
              <w:t xml:space="preserve">Preorder LFL %</w:t>
            </w:r>
          </w:p>
        </w:tc>
        <w:tc>
          <w:tcPr>
            <w:tcW w:type="dxa" w:w="3000"/>
            <w:shd w:fill="2F2F2F" w:val="clear"/>
            <w:tcMar>
              <w:top w:type="dxa" w:w="60"/>
              <w:left w:type="dxa" w:w="100"/>
              <w:bottom w:type="dxa" w:w="60"/>
              <w:right w:type="dxa" w:w="100"/>
            </w:tcMar>
            <w:vAlign w:val="center"/>
          </w:tcPr>
          <w:p>
            <w:pPr>
              <w:jc w:val="center"/>
            </w:pPr>
            <w:r>
              <w:rPr>
                <w:b/>
                <w:bCs/>
                <w:color w:val="FFFFFF"/>
                <w:sz w:val="19"/>
                <w:szCs w:val="19"/>
              </w:rPr>
              <w:t xml:space="preserve">Reorder LFL %</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Shell</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−8.8%</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−44.6%</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Insulation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−7.2%</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−3.9%</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Mid layer</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−7.1%</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+0.7%</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Legwear</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−55.7%</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Daypacks</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−12.1%</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+0.8%</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Hiking shoes</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+0.3%</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−30.4%</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Tops</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−18.2%</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−67.7%</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Hiking packs</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−26.0%</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−10.2%</w:t>
            </w:r>
          </w:p>
        </w:tc>
      </w:tr>
    </w:tbl>
    <w:p>
      <w:pPr>
        <w:spacing w:after="160"/>
      </w:pPr>
      <w:r>
        <w:t xml:space="preserve">Legwear and Tops are weak in both Preorder and Reorder — a genuine aggregate product signal, for Product/Merchandising to own. Shell is a different pattern: only mildly soft in Preorder (−8.8%) but collapses in Reorder (−44.6%) — retailers still buy it upfront, they just don’t come back mid-season, which points to sell-through/in-season dynamics rather than the range itself.</w:t>
      </w:r>
    </w:p>
    <w:p>
      <w:pPr>
        <w:spacing w:after="160"/>
      </w:pPr>
      <w:r>
        <w:t xml:space="preserve">At the account × layer level, however, no single layer fails identically at every account — e.g. Shell Reorder ranges from −58.5% (Scandinavian Outdoor) to +37.0% (Mega Sport) depending on the account. The conclusion is genuinely both: a real aggregate product issue in Legwear/Tops and Shell’s Reorder-specific pattern, layered with real account-specific idiosyncrasy that needs an account-by-account read, not one company-wide fix. (Full account × layer matrices for both order types are in the backup workbook.)</w:t>
      </w:r>
    </w:p>
    <w:p>
      <w:pPr>
        <w:pStyle w:val="Heading1"/>
        <w:spacing w:after="160" w:before="320"/>
      </w:pPr>
      <w:r>
        <w:t xml:space="preserve">8. Article-level findings: winners, losers, and the noise in between</w:t>
      </w:r>
    </w:p>
    <w:p>
      <w:pPr>
        <w:pStyle w:val="Heading2"/>
        <w:spacing w:after="120" w:before="240"/>
      </w:pPr>
      <w:r>
        <w:t xml:space="preserve">8.1 The four quadrants (Preorder trend × Reorder trend, 96 articles with a real base in both)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4850"/>
      </w:tblGrid>
      <w:tr>
        <w:trPr>
          <w:tblHeader/>
        </w:trPr>
        <w:tc>
          <w:tcPr>
            <w:tcW w:type="dxa" w:w="3100"/>
            <w:shd w:fill="2F2F2F" w:val="clear"/>
            <w:tcMar>
              <w:top w:type="dxa" w:w="60"/>
              <w:left w:type="dxa" w:w="100"/>
              <w:bottom w:type="dxa" w:w="60"/>
              <w:right w:type="dxa" w:w="100"/>
            </w:tcMar>
            <w:vAlign w:val="center"/>
          </w:tcPr>
          <w:p>
            <w:pPr>
              <w:jc w:val="left"/>
            </w:pPr>
            <w:r>
              <w:rPr>
                <w:b/>
                <w:bCs/>
                <w:color w:val="FFFFFF"/>
                <w:sz w:val="19"/>
                <w:szCs w:val="19"/>
              </w:rPr>
              <w:t xml:space="preserve">Quadrant</w:t>
            </w:r>
          </w:p>
        </w:tc>
        <w:tc>
          <w:tcPr>
            <w:tcW w:type="dxa" w:w="1400"/>
            <w:shd w:fill="2F2F2F" w:val="clear"/>
            <w:tcMar>
              <w:top w:type="dxa" w:w="60"/>
              <w:left w:type="dxa" w:w="100"/>
              <w:bottom w:type="dxa" w:w="60"/>
              <w:right w:type="dxa" w:w="100"/>
            </w:tcMar>
            <w:vAlign w:val="center"/>
          </w:tcPr>
          <w:p>
            <w:pPr>
              <w:jc w:val="center"/>
            </w:pPr>
            <w:r>
              <w:rPr>
                <w:b/>
                <w:bCs/>
                <w:color w:val="FFFFFF"/>
                <w:sz w:val="19"/>
                <w:szCs w:val="19"/>
              </w:rPr>
              <w:t xml:space="preserve"># Articles</w:t>
            </w:r>
          </w:p>
        </w:tc>
        <w:tc>
          <w:tcPr>
            <w:tcW w:type="dxa" w:w="4850"/>
            <w:shd w:fill="2F2F2F" w:val="clear"/>
            <w:tcMar>
              <w:top w:type="dxa" w:w="60"/>
              <w:left w:type="dxa" w:w="100"/>
              <w:bottom w:type="dxa" w:w="60"/>
              <w:right w:type="dxa" w:w="100"/>
            </w:tcMar>
            <w:vAlign w:val="center"/>
          </w:tcPr>
          <w:p>
            <w:pPr>
              <w:jc w:val="center"/>
            </w:pPr>
            <w:r>
              <w:rPr>
                <w:b/>
                <w:bCs/>
                <w:color w:val="FFFFFF"/>
                <w:sz w:val="19"/>
                <w:szCs w:val="19"/>
              </w:rPr>
              <w:t xml:space="preserve">What it means</w:t>
            </w:r>
          </w:p>
        </w:tc>
      </w:tr>
      <w:tr>
        <w:tc>
          <w:tcPr>
            <w:tcW w:type="dxa" w:w="3100"/>
            <w:tcMar>
              <w:top w:type="dxa" w:w="60"/>
              <w:left w:type="dxa" w:w="100"/>
              <w:bottom w:type="dxa" w:w="60"/>
              <w:right w:type="dxa" w:w="100"/>
            </w:tcMar>
            <w:vAlign w:val="center"/>
          </w:tcPr>
          <w:p>
            <w:pPr>
              <w:jc w:val="left"/>
            </w:pPr>
            <w:r>
              <w:rPr>
                <w:b w:val="false"/>
                <w:bCs w:val="false"/>
                <w:color w:val="000000"/>
                <w:sz w:val="19"/>
                <w:szCs w:val="19"/>
              </w:rPr>
              <w:t xml:space="preserve">Winning (both up)</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15</w:t>
            </w:r>
          </w:p>
        </w:tc>
        <w:tc>
          <w:tcPr>
            <w:tcW w:type="dxa" w:w="4850"/>
            <w:tcMar>
              <w:top w:type="dxa" w:w="60"/>
              <w:left w:type="dxa" w:w="100"/>
              <w:bottom w:type="dxa" w:w="60"/>
              <w:right w:type="dxa" w:w="100"/>
            </w:tcMar>
            <w:vAlign w:val="center"/>
          </w:tcPr>
          <w:p>
            <w:pPr>
              <w:jc w:val="center"/>
            </w:pPr>
            <w:r>
              <w:rPr>
                <w:b w:val="false"/>
                <w:bCs w:val="false"/>
                <w:color w:val="000000"/>
                <w:sz w:val="19"/>
                <w:szCs w:val="19"/>
              </w:rPr>
              <w:t xml:space="preserve">Genuine hits — retailers buying more upfront and replenishing more.</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Losing (both down)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44</w:t>
            </w:r>
          </w:p>
        </w:tc>
        <w:tc>
          <w:tcPr>
            <w:tcW w:type="dxa" w:w="48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Largest bucket — diagnosed further below; much of it is not real decline.</w:t>
            </w:r>
          </w:p>
        </w:tc>
      </w:tr>
      <w:tr>
        <w:tc>
          <w:tcPr>
            <w:tcW w:type="dxa" w:w="3100"/>
            <w:tcMar>
              <w:top w:type="dxa" w:w="60"/>
              <w:left w:type="dxa" w:w="100"/>
              <w:bottom w:type="dxa" w:w="60"/>
              <w:right w:type="dxa" w:w="100"/>
            </w:tcMar>
            <w:vAlign w:val="center"/>
          </w:tcPr>
          <w:p>
            <w:pPr>
              <w:jc w:val="left"/>
            </w:pPr>
            <w:r>
              <w:rPr>
                <w:b w:val="false"/>
                <w:bCs w:val="false"/>
                <w:color w:val="000000"/>
                <w:sz w:val="19"/>
                <w:szCs w:val="19"/>
              </w:rPr>
              <w:t xml:space="preserve">Overbought (Preorder up, Reorder down)</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19</w:t>
            </w:r>
          </w:p>
        </w:tc>
        <w:tc>
          <w:tcPr>
            <w:tcW w:type="dxa" w:w="4850"/>
            <w:tcMar>
              <w:top w:type="dxa" w:w="60"/>
              <w:left w:type="dxa" w:w="100"/>
              <w:bottom w:type="dxa" w:w="60"/>
              <w:right w:type="dxa" w:w="100"/>
            </w:tcMar>
            <w:vAlign w:val="center"/>
          </w:tcPr>
          <w:p>
            <w:pPr>
              <w:jc w:val="center"/>
            </w:pPr>
            <w:r>
              <w:rPr>
                <w:b w:val="false"/>
                <w:bCs w:val="false"/>
                <w:color w:val="000000"/>
                <w:sz w:val="19"/>
                <w:szCs w:val="19"/>
              </w:rPr>
              <w:t xml:space="preserve">Dominated by styles already known to be transitioning versions — retailers self-managing end-of-life risk.</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Underbought (Preorder down, Reorder up)</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18</w:t>
            </w:r>
          </w:p>
        </w:tc>
        <w:tc>
          <w:tcPr>
            <w:tcW w:type="dxa" w:w="48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Retailers under-committed upfront, then had to replenish — a missed-demand signal for next season’s buy plan.</w:t>
            </w:r>
          </w:p>
        </w:tc>
      </w:tr>
    </w:tbl>
    <w:p>
      <w:pPr>
        <w:pStyle w:val="Heading2"/>
        <w:spacing w:after="120" w:before="240"/>
      </w:pPr>
      <w:r>
        <w:t xml:space="preserve">8.2 The “losing” list, diagnosed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1400"/>
        <w:gridCol w:w="4050"/>
      </w:tblGrid>
      <w:tr>
        <w:trPr>
          <w:tblHeader/>
        </w:trPr>
        <w:tc>
          <w:tcPr>
            <w:tcW w:type="dxa" w:w="3900"/>
            <w:shd w:fill="2F2F2F" w:val="clear"/>
            <w:tcMar>
              <w:top w:type="dxa" w:w="60"/>
              <w:left w:type="dxa" w:w="100"/>
              <w:bottom w:type="dxa" w:w="60"/>
              <w:right w:type="dxa" w:w="100"/>
            </w:tcMar>
            <w:vAlign w:val="center"/>
          </w:tcPr>
          <w:p>
            <w:pPr>
              <w:jc w:val="left"/>
            </w:pPr>
            <w:r>
              <w:rPr>
                <w:b/>
                <w:bCs/>
                <w:color w:val="FFFFFF"/>
                <w:sz w:val="19"/>
                <w:szCs w:val="19"/>
              </w:rPr>
              <w:t xml:space="preserve">Diagnosis</w:t>
            </w:r>
          </w:p>
        </w:tc>
        <w:tc>
          <w:tcPr>
            <w:tcW w:type="dxa" w:w="1400"/>
            <w:shd w:fill="2F2F2F" w:val="clear"/>
            <w:tcMar>
              <w:top w:type="dxa" w:w="60"/>
              <w:left w:type="dxa" w:w="100"/>
              <w:bottom w:type="dxa" w:w="60"/>
              <w:right w:type="dxa" w:w="100"/>
            </w:tcMar>
            <w:vAlign w:val="center"/>
          </w:tcPr>
          <w:p>
            <w:pPr>
              <w:jc w:val="center"/>
            </w:pPr>
            <w:r>
              <w:rPr>
                <w:b/>
                <w:bCs/>
                <w:color w:val="FFFFFF"/>
                <w:sz w:val="19"/>
                <w:szCs w:val="19"/>
              </w:rPr>
              <w:t xml:space="preserve"># Articles</w:t>
            </w:r>
          </w:p>
        </w:tc>
        <w:tc>
          <w:tcPr>
            <w:tcW w:type="dxa" w:w="4050"/>
            <w:shd w:fill="2F2F2F" w:val="clear"/>
            <w:tcMar>
              <w:top w:type="dxa" w:w="60"/>
              <w:left w:type="dxa" w:w="100"/>
              <w:bottom w:type="dxa" w:w="60"/>
              <w:right w:type="dxa" w:w="100"/>
            </w:tcMar>
            <w:vAlign w:val="center"/>
          </w:tcPr>
          <w:p>
            <w:pPr>
              <w:jc w:val="center"/>
            </w:pPr>
            <w:r>
              <w:rPr>
                <w:b/>
                <w:bCs/>
                <w:color w:val="FFFFFF"/>
                <w:sz w:val="19"/>
                <w:szCs w:val="19"/>
              </w:rPr>
              <w:t xml:space="preserve">Read</w:t>
            </w:r>
          </w:p>
        </w:tc>
      </w:tr>
      <w:tr>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Real decline (down company-wide too)</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14</w:t>
            </w:r>
          </w:p>
        </w:tc>
        <w:tc>
          <w:tcPr>
            <w:tcW w:type="dxa" w:w="4050"/>
            <w:tcMar>
              <w:top w:type="dxa" w:w="60"/>
              <w:left w:type="dxa" w:w="100"/>
              <w:bottom w:type="dxa" w:w="60"/>
              <w:right w:type="dxa" w:w="100"/>
            </w:tcMar>
            <w:vAlign w:val="center"/>
          </w:tcPr>
          <w:p>
            <w:pPr>
              <w:jc w:val="center"/>
            </w:pPr>
            <w:r>
              <w:rPr>
                <w:b w:val="false"/>
                <w:bCs w:val="false"/>
                <w:color w:val="000000"/>
                <w:sz w:val="19"/>
                <w:szCs w:val="19"/>
              </w:rPr>
              <w:t xml:space="preserve">The genuine exit/rationalization shortlist.</w:t>
            </w:r>
          </w:p>
        </w:tc>
      </w:tr>
      <w:tr>
        <w:tc>
          <w:tcPr>
            <w:tcW w:type="dxa" w:w="3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Channel shift (Ecom growing for the same article)</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13</w:t>
            </w:r>
          </w:p>
        </w:tc>
        <w:tc>
          <w:tcPr>
            <w:tcW w:type="dxa" w:w="40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Not a product failure — losing the channel fight to your own Ecom.</w:t>
            </w:r>
          </w:p>
        </w:tc>
      </w:tr>
      <w:tr>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Wholesale-specific (flat company-wide)</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10</w:t>
            </w:r>
          </w:p>
        </w:tc>
        <w:tc>
          <w:tcPr>
            <w:tcW w:type="dxa" w:w="4050"/>
            <w:tcMar>
              <w:top w:type="dxa" w:w="60"/>
              <w:left w:type="dxa" w:w="100"/>
              <w:bottom w:type="dxa" w:w="60"/>
              <w:right w:type="dxa" w:w="100"/>
            </w:tcMar>
            <w:vAlign w:val="center"/>
          </w:tcPr>
          <w:p>
            <w:pPr>
              <w:jc w:val="center"/>
            </w:pPr>
            <w:r>
              <w:rPr>
                <w:b w:val="false"/>
                <w:bCs w:val="false"/>
                <w:color w:val="000000"/>
                <w:sz w:val="19"/>
                <w:szCs w:val="19"/>
              </w:rPr>
              <w:t xml:space="preserve">Order-type timing/volatility within Wholesale, not real decline.</w:t>
            </w:r>
          </w:p>
        </w:tc>
      </w:tr>
      <w:tr>
        <w:tc>
          <w:tcPr>
            <w:tcW w:type="dxa" w:w="3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Version transition (successor already active)</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w:t>
            </w:r>
          </w:p>
        </w:tc>
        <w:tc>
          <w:tcPr>
            <w:tcW w:type="dxa" w:w="40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Expected — the old code winding down as planned.</w:t>
            </w:r>
          </w:p>
        </w:tc>
      </w:tr>
    </w:tbl>
    <w:p>
      <w:pPr>
        <w:spacing w:after="160"/>
      </w:pPr>
      <w:r>
        <w:t xml:space="preserve">Real, company-wide-confirmed decline shortlist: Mid Standard Pant Men, Mimic Alert Hood Men/Women, Haglöfs L.I.M FH GTX Low/Mid, Vide 20/25, Risberg Jacket Women, Tight Pro Large/X-small, Aze Beanie, Ridge Tee Men, Mimic Silver Pant Men/Women, L.I.M Tech Tee Men, Moonlite -1.</w:t>
      </w:r>
    </w:p>
    <w:p>
      <w:pPr>
        <w:pStyle w:val="Heading2"/>
        <w:spacing w:after="120" w:before="240"/>
      </w:pPr>
      <w:r>
        <w:t xml:space="preserve">8.3 Overbought case: version transitions retailers are already de-risking</w:t>
      </w:r>
    </w:p>
    <w:p>
      <w:pPr>
        <w:spacing w:after="160"/>
      </w:pPr>
      <w:r>
        <w:t xml:space="preserve">The Overbought quadrant is dominated by Särna Mimic Hood Men/Women and Buteo Mid Jacket Men/Women — both confirmed on the FW27 version-transition list (successors: Särna Mimic II, Buteo Mid II). Retailers are still honoring Preorder commitments (+8% to +32%) but pulling back Reorder (−22% to −35%) ahead of the version change. Recommendation: apply the same conservatism to Haglöfs’ own FW27 buy for these styles — retailers are already protecting themselves against this risk; Haglöfs should too.</w:t>
      </w:r>
    </w:p>
    <w:p>
      <w:pPr>
        <w:pStyle w:val="Heading2"/>
        <w:spacing w:after="120" w:before="240"/>
      </w:pPr>
      <w:r>
        <w:t xml:space="preserve">8.4 Underbought case study: the Rosson family</w:t>
      </w:r>
    </w:p>
    <w:p>
      <w:pPr>
        <w:spacing w:after="160"/>
      </w:pPr>
      <w:r>
        <w:t xml:space="preserve">Rosson is a genuinely strong, growing sub-line — several styles (Down Parka, Proof Jacket, Softshell Hood, all genders) launched from near-zero in 2024 to 0.7–2.9M SEK each in 2025, a working example of the new-product engine succeeding.</w:t>
      </w:r>
    </w:p>
    <w:p>
      <w:pPr>
        <w:spacing w:after="160"/>
      </w:pPr>
      <w:r>
        <w:t xml:space="preserve">Within the established styles, a precise pattern: Rosson Down Hood and Rosson Mid Hood (both genders) show Wholesale Preorder falling while Reorder, Ecom, and Retail are all growing strongly for the same products (Ecom roughly doubling, Retail roughly tripling, Reorder up 170–280%). In the same Rosson Mid family, the Jacket silhouette shows the opposite — buyers already confident, both Preorder and Reorder growing.</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Recommendation: raise Wholesale Preorder confidence specifically on Rosson Hood styles next cycle. The Reorder and DTC data already prove the underlying demand exists — the initial buy plan is underestimating it.</w:t>
      </w:r>
    </w:p>
    <w:p>
      <w:r>
        <w:br w:type="page"/>
      </w:r>
    </w:p>
    <w:p>
      <w:pPr>
        <w:pStyle w:val="Heading1"/>
        <w:spacing w:after="160" w:before="320"/>
      </w:pPr>
      <w:r>
        <w:t xml:space="preserve">9. Open questions for the workshop</w:t>
      </w:r>
    </w:p>
    <w:p>
      <w:pPr>
        <w:pStyle w:val="ListParagraph"/>
        <w:numPr>
          <w:ilvl w:val="0"/>
          <w:numId w:val="2"/>
        </w:numPr>
        <w:spacing w:after="80"/>
      </w:pPr>
      <w:r>
        <w:t xml:space="preserve">Is the Wholesale like-for-like decline (−16.3%) a genuine demand contraction, or a structural shift of the same demand to DTC/Ecom? This dataset cannot answer it — does anyone have sell-through or consumer-level visibility that could?</w:t>
      </w:r>
    </w:p>
    <w:p>
      <w:pPr>
        <w:pStyle w:val="ListParagraph"/>
        <w:numPr>
          <w:ilvl w:val="0"/>
          <w:numId w:val="2"/>
        </w:numPr>
        <w:spacing w:after="80"/>
      </w:pPr>
      <w:r>
        <w:t xml:space="preserve">What is driving the near-universal Reorder collapse (−27.3% like-for-like, hitting Intersport and Outnorth as hard as smaller accounts)? Candidates to test: sell-through weakness, Reorder lead-time/cost friction (see the earlier Wholesale Reorder COGS finding), or a broad post-COVID destocking posture among retailers.</w:t>
      </w:r>
    </w:p>
    <w:p>
      <w:pPr>
        <w:pStyle w:val="ListParagraph"/>
        <w:numPr>
          <w:ilvl w:val="0"/>
          <w:numId w:val="2"/>
        </w:numPr>
        <w:spacing w:after="80"/>
      </w:pPr>
      <w:r>
        <w:t xml:space="preserve">What changed specifically at Hill Rock Limited and Scandinavian Outdoor (Preorder –62.3% / –25.7%)? This looks like an account-relationship question with a concrete, nameable owner.</w:t>
      </w:r>
    </w:p>
    <w:p>
      <w:pPr>
        <w:pStyle w:val="ListParagraph"/>
        <w:numPr>
          <w:ilvl w:val="0"/>
          <w:numId w:val="2"/>
        </w:numPr>
        <w:spacing w:after="80"/>
      </w:pPr>
      <w:r>
        <w:t xml:space="preserve">Can the FW27 buy plan apply the same version-transition conservatism to Preorder that retailers are already applying to Reorder (Section 8.3), rather than leaving Haglöfs more exposed than its own customers?</w:t>
      </w:r>
    </w:p>
    <w:p>
      <w:pPr>
        <w:pStyle w:val="ListParagraph"/>
        <w:numPr>
          <w:ilvl w:val="0"/>
          <w:numId w:val="2"/>
        </w:numPr>
        <w:spacing w:after="80"/>
      </w:pPr>
      <w:r>
        <w:t xml:space="preserve">Should Wholesale Preorder guidance for the Rosson Hood styles be raised for next cycle, given the Reorder/DTC evidence of underestimated demand?</w:t>
      </w:r>
    </w:p>
    <w:p>
      <w:pPr>
        <w:pStyle w:val="Heading1"/>
        <w:spacing w:after="160" w:before="320"/>
      </w:pPr>
      <w:r>
        <w:t xml:space="preserve">10. Backup data</w:t>
      </w:r>
    </w:p>
    <w:p>
      <w:pPr>
        <w:spacing w:after="160"/>
      </w:pPr>
      <w:r>
        <w:t xml:space="preserve">The following workbooks contain the full detail behind every number in this note. All are referenced by filename so they can be cross-checked independently:</w:t>
      </w:r>
    </w:p>
    <w:p>
      <w:pPr>
        <w:pStyle w:val="ListParagraph"/>
        <w:numPr>
          <w:ilvl w:val="0"/>
          <w:numId w:val="2"/>
        </w:numPr>
        <w:spacing w:after="80"/>
      </w:pPr>
      <w:r>
        <w:t xml:space="preserve">sales_bridge_waterfall.xlsx — Sections 4.1–4.4 (total → special accounts → core composition → growers/decliners → by layer), plus full franchise-level detail with layer tags.</w:t>
      </w:r>
    </w:p>
    <w:p>
      <w:pPr>
        <w:pStyle w:val="ListParagraph"/>
        <w:numPr>
          <w:ilvl w:val="0"/>
          <w:numId w:val="2"/>
        </w:numPr>
        <w:spacing w:after="80"/>
      </w:pPr>
      <w:r>
        <w:t xml:space="preserve">core_assortment_likeforlike_detail.xlsx — the original (uncorrected) article-level cut alongside the corrected franchise-level cut, so the methodology correction in Section 3 is fully auditable.</w:t>
      </w:r>
    </w:p>
    <w:p>
      <w:pPr>
        <w:pStyle w:val="ListParagraph"/>
        <w:numPr>
          <w:ilvl w:val="0"/>
          <w:numId w:val="2"/>
        </w:numPr>
        <w:spacing w:after="80"/>
      </w:pPr>
      <w:r>
        <w:t xml:space="preserve">preorder_reorder_article_analysis.xlsx — Section 8: all 96 articles by quadrant, the diagnosed 44-article losing list, the full Preorder account×layer matrix, and the complete Rosson family detail by channel/ordertype/year.</w:t>
      </w:r>
    </w:p>
    <w:p>
      <w:pPr>
        <w:spacing w:after="160"/>
      </w:pPr>
      <w:r>
        <w:t xml:space="preserve">All three workbooks, and the underlying analysis code (analysis.py, config.py, load_data.py), are version-controlled in the project_bob repository, branch claude/project-bob-data-load-uywk15.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00"/>
    </w:pPr>
    <w:rPr>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2026-07-24T18:51:42.135Z</dcterms:created>
  <dcterms:modified xsi:type="dcterms:W3CDTF">2026-07-24T18:51:42.135Z</dcterms:modified>
</cp:coreProperties>
</file>

<file path=docProps/custom.xml><?xml version="1.0" encoding="utf-8"?>
<Properties xmlns="http://schemas.openxmlformats.org/officeDocument/2006/custom-properties" xmlns:vt="http://schemas.openxmlformats.org/officeDocument/2006/docPropsVTypes"/>
</file>