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2025→2029 Sales &amp; GM Bridge</w:t>
      </w:r>
    </w:p>
    <w:p>
      <w:pPr>
        <w:spacing w:after="60"/>
      </w:pPr>
      <w:r>
        <w:rPr>
          <w:color w:val="2E5395"/>
          <w:sz w:val="30"/>
          <w:szCs w:val="30"/>
        </w:rPr>
        <w:t xml:space="preserve">Bridge Item 4: New Retail Store Expansion</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UPDATED this round with a proper investment-case methodology (Section 3.4). Unlike Items 1–3, Item 4 is NOT a sized, defensible bridge lever at this stage — it is a plan with more open questions than confirmed findings. Judged correctly (Capex vs. EBIT payback, not Capex vs. Gross Sales), one store — Copenhagen, a 20-year payback — would have been invisible on a sales-only screen. But the store-level 'Run-Rate' figures also turn out to be a single 2032 calendar-year snapshot, not a normalized run-rate: EBIT margin correlates 0.71 with how many years each store has had to mature by 2032, meaning cross-store comparisons (Innsbruck vs. Oslo, for instance) are confounded by vintage, not just site quality. Cross-checking the plan against existing Wholesale/E-com data also raises real doubts about the Austria commitment and reveals a specific Germany/Zalando price-anchoring risk to the München/Hamburg case. This note is deliberately organized around open questions rather than sized findings — the recommendation is to use it as a question-routing document for the workshop, not a resolved lever. A 2026 YTD check-in (Section 7) shows the Zalando-anchoring risk easing, not worsening, but Austria's zero-Wholesale, zero-Retail footprint is unchanged.</w:t>
      </w:r>
    </w:p>
    <w:p>
      <w:pPr>
        <w:pStyle w:val="Heading1"/>
        <w:spacing w:after="160" w:before="320"/>
      </w:pPr>
      <w:r>
        <w:t xml:space="preserve">1. Purpose, scope and what this note is (and isn't)</w:t>
      </w:r>
    </w:p>
    <w:p>
      <w:pPr>
        <w:spacing w:after="160"/>
      </w:pPr>
      <w:r>
        <w:t xml:space="preserve">This note reviews Bridge Item 4 — new owned-retail store expansion — against two inputs: the two Mid-Term Plan slides showing the 2026–2029(-2032) store roll-out and its P&amp;L shape, and the same core sales data (Wholesale, E-com, by market and layer) used in Items 1–3. Its purpose is narrower than Items 1–3: rather than sizing a bridge contribution, it stress-tests whether the plan's market and channel assumptions are supported by what the business's own sales data already shows, and surfaces what would need to be true — or answered — before this becomes a sized, defensible lever.</w:t>
      </w:r>
    </w:p>
    <w:p>
      <w:pPr>
        <w:pBdr>
          <w:left w:val="single" w:color="3C8A4C" w:sz="18"/>
        </w:pBdr>
        <w:shd w:fill="EAF3EA" w:val="clear"/>
        <w:spacing w:after="120" w:before="100"/>
        <w:ind w:left="150" w:right="100"/>
      </w:pPr>
      <w:r>
        <w:rPr>
          <w:b/>
          <w:bCs/>
          <w:color w:val="1F5C2E"/>
        </w:rPr>
        <w:t xml:space="preserve">DATA SHOWS: </w:t>
      </w:r>
      <w:r>
        <w:t xml:space="preserve">The plan (per the MTP slides) covers 16 new stores across 6 countries, 2026–2029, split 14 Brand Stores + 2 Outlets, roughly 56.8M SEK combined indicative capex, ramping to ~181.8M SEK combined indicative gross-sales run-rate and ~26.3M SEK combined indicative EBIT run-rate at full maturity (the 2032 slide shows a company-wide new-store total of ~182M sales / ~21M EBIT at that point — closely matching a straight sum of the individual store lines, a useful internal cross-check that the store-by-store table and the aggregate chart are consistent).</w:t>
      </w:r>
    </w:p>
    <w:p>
      <w:pPr>
        <w:pStyle w:val="Heading1"/>
        <w:spacing w:after="160" w:before="320"/>
      </w:pPr>
      <w:r>
        <w:t xml:space="preserve">2. Executive summary</w:t>
      </w:r>
    </w:p>
    <w:p>
      <w:pPr>
        <w:pStyle w:val="ListParagraph"/>
        <w:numPr>
          <w:ilvl w:val="0"/>
          <w:numId w:val="2"/>
        </w:numPr>
        <w:spacing w:after="80"/>
      </w:pPr>
      <w:r>
        <w:t xml:space="preserve">The plan's own numbers say new stores are a loss-making bet through the entire MTP window: New Stores EBIT is negative in every year 2026E–2029E, turning positive only around 2030E, reaching +21M SEK by 2032E. Existing stores, by contrast, grow steadily and improve EBIT every year — they are the low-risk part of the retail story; new stores are explicitly not.</w:t>
      </w:r>
    </w:p>
    <w:p>
      <w:pPr>
        <w:pStyle w:val="ListParagraph"/>
        <w:numPr>
          <w:ilvl w:val="0"/>
          <w:numId w:val="2"/>
        </w:numPr>
        <w:spacing w:after="80"/>
      </w:pPr>
      <w:r>
        <w:t xml:space="preserve">Store count is not matched to existing demand signal. Austria gets the most new stores of any country (5 of 16: Innsbruck '26, St Anton &amp; Pandorf Outlet '27, Salzburg &amp; Vienna '28) but has zero Wholesale accounts and the smallest, slowest-growing E-com base of any target market (0.93M SEK, +11.5% — versus +25% to +59% elsewhere).</w:t>
      </w:r>
    </w:p>
    <w:p>
      <w:pPr>
        <w:pStyle w:val="ListParagraph"/>
        <w:numPr>
          <w:ilvl w:val="0"/>
          <w:numId w:val="2"/>
        </w:numPr>
        <w:spacing w:after="80"/>
      </w:pPr>
      <w:r>
        <w:t xml:space="preserve">Judged on the right basis (Capex-to-EBIT payback, not Capex-to-Sales), the roster ranks very differently than a sales screen would suggest. Copenhagen has the 2nd-most-ordinary Gross Sales in the roster (12.5M) but the worst payback by far (20 years, 1.6% EBIT margin) — a sales-only screen would never have flagged it. See Section 3.4.</w:t>
      </w:r>
    </w:p>
    <w:p>
      <w:pPr>
        <w:pStyle w:val="ListParagraph"/>
        <w:numPr>
          <w:ilvl w:val="0"/>
          <w:numId w:val="2"/>
        </w:numPr>
        <w:spacing w:after="80"/>
      </w:pPr>
      <w:r>
        <w:t xml:space="preserve">The store 'Run-Rate' figures are a single 2032 snapshot, not a normalized run-rate: stores opened in 2026 have had 6 years to mature by 2032, stores opened in 2029 only 3. EBIT margin correlates 0.71 with years-to-mature, so cross-store comparisons of stores from different opening years — including the read on Innsbruck's apparent outperformance and Oslo/London's apparent underperformance — need to be treated as vintage-confounded, not a clean like-for-like ranking. See Section 3.4.</w:t>
      </w:r>
    </w:p>
    <w:p>
      <w:pPr>
        <w:pStyle w:val="ListParagraph"/>
        <w:numPr>
          <w:ilvl w:val="0"/>
          <w:numId w:val="2"/>
        </w:numPr>
        <w:spacing w:after="80"/>
      </w:pPr>
      <w:r>
        <w:t xml:space="preserve">Germany's Wholesale 'growth' (+15.4%, supporting the Munich '27 / Hamburg '29 stores) is materially a Zalando artifact: Zalando is 63% of German Wholesale, and excluding it, German Wholesale is actually down −18.2%. Worse, the underlying channel dynamics point to a price-anchoring risk: in the same year, Zalando (discount) unit volume grew +37% while independent full-price Wholesale accounts shrank −19% and even Haglöfs' own E-com saw ASP soften −7%. Growth is concentrating in the cheapest acquisition channel, which is a real risk to a full-price flagship store, not just a headline-number distortion. See Section 4.</w:t>
      </w:r>
    </w:p>
    <w:p>
      <w:pPr>
        <w:pStyle w:val="ListParagraph"/>
        <w:numPr>
          <w:ilvl w:val="0"/>
          <w:numId w:val="2"/>
        </w:numPr>
        <w:spacing w:after="80"/>
      </w:pPr>
      <w:r>
        <w:t xml:space="preserve">UK and Norway show a real but ambiguous divergence: Wholesale collapsing (−27.7% / −31.0%) while E-com grows fast (+25.1% / +58.7%). This is consistent with either a genuine channel-shift-to-direct story (which would support stores) or an unrelated Wholesale distribution problem (which a store won't fix) — not distinguishable from this data.</w:t>
      </w:r>
    </w:p>
    <w:p>
      <w:pPr>
        <w:pStyle w:val="ListParagraph"/>
        <w:numPr>
          <w:ilvl w:val="0"/>
          <w:numId w:val="2"/>
        </w:numPr>
        <w:spacing w:after="80"/>
      </w:pPr>
      <w:r>
        <w:t xml:space="preserve">Three store-related account codes already exist in the live sales system — Haglöfs Brand Store Helsinki, Helsinki Outlet Village, Intercompany Haglöfs NO OL Store — with zero recorded revenue in FY2024 or FY2025, and none of the three appear anywhere on the 16-store MTP roster. This is an unreconciled discrepancy, not a confirmed finding either way.</w:t>
      </w:r>
    </w:p>
    <w:p>
      <w:pPr>
        <w:pStyle w:val="ListParagraph"/>
        <w:numPr>
          <w:ilvl w:val="0"/>
          <w:numId w:val="2"/>
        </w:numPr>
        <w:spacing w:after="80"/>
      </w:pPr>
      <w:r>
        <w:t xml:space="preserve">The two planned Outlet stores (Pandorf AT, Outlet UK) raise a stock/end-of-season supply question that this data can only partly answer: existing 3rd-party outlet channels already move ~125K units/year at ~28% below core ASP, and the FW27 confirm-or-exit pool plus Harvest's YoY unit decline suggest supply is not scarce in aggregate — but no actual inventory or buy-plan data exists to confirm this properly. A further, structural limitation: the Retail sales channel cannot be split between brand-store and owned-outlet sales at all (100% of Retail sales sit under one undifferentiated customer-group code), so none of this section can be benchmarked against Haglöfs' own historical outlet performance — only third-party proxies.</w:t>
      </w:r>
    </w:p>
    <w:p>
      <w:pPr>
        <w:pStyle w:val="ListParagraph"/>
        <w:numPr>
          <w:ilvl w:val="0"/>
          <w:numId w:val="2"/>
        </w:numPr>
        <w:spacing w:after="80"/>
      </w:pPr>
      <w:r>
        <w:t xml:space="preserve">Net: this item needs roughly fourteen specific questions answered (Section 7) before it can be treated as a sized, workshop-ready bridge lever the way Items 1–3 are. Recommend it be discussed as an open-questions agenda item, not a committed number, at this stage — consistent with your steer.</w:t>
      </w:r>
    </w:p>
    <w:p>
      <w:r>
        <w:br w:type="page"/>
      </w:r>
    </w:p>
    <w:p>
      <w:pPr>
        <w:pStyle w:val="Heading1"/>
        <w:spacing w:after="160" w:before="320"/>
      </w:pPr>
      <w:r>
        <w:t xml:space="preserve">3. The Mid-Term Plan as presented</w:t>
      </w:r>
    </w:p>
    <w:p>
      <w:pPr>
        <w:pStyle w:val="Heading2"/>
        <w:spacing w:after="120" w:before="240"/>
      </w:pPr>
      <w:r>
        <w:t xml:space="preserve">3.1 Shape of the plan</w:t>
      </w:r>
    </w:p>
    <w:p>
      <w:pPr>
        <w:spacing w:after="160"/>
      </w:pPr>
      <w:r>
        <w:t xml:space="preserve">Slide 1 ('Mid-Term Plan 2026-2029') splits total Retail into Existing Stores and New Stores. Existing Stores show steady gross-sales growth and improving EBIT in every year 2025→2029E — profitable and de-risked. New Stores show fast gross-sales ramp (roughly 4M in 2026E scaling toward ~122M by 2029E) but EBIT is negative in 2026E, 2027E, 2028E and 2029E alike, per the slide's own subtitle: 'New Stores Generate Start-Up Losses during the MTP Years.'</w:t>
      </w:r>
    </w:p>
    <w:p>
      <w:pPr>
        <w:spacing w:after="160"/>
      </w:pPr>
      <w:r>
        <w:t xml:space="preserve">Slide 2 ('Mid-Term Plan 2026-2029 &amp; 2032') extends the New Stores P&amp;L to 2032, showing EBIT crossing into positive territory only around 2030E and reaching +21M SEK by 2032E — three years past the end of the MTP window this workshop is planning against.</w:t>
      </w:r>
    </w:p>
    <w:p>
      <w:pPr>
        <w:pBdr>
          <w:left w:val="single" w:color="C97A1A" w:sz="18"/>
        </w:pBdr>
        <w:shd w:fill="FCEFDC" w:val="clear"/>
        <w:spacing w:after="120" w:before="100"/>
        <w:ind w:left="150" w:right="100"/>
      </w:pPr>
      <w:r>
        <w:rPr>
          <w:b/>
          <w:bCs/>
          <w:color w:val="8A4B00"/>
        </w:rPr>
        <w:t xml:space="preserve">NOT ANSWERABLE FROM DATA — ASK: </w:t>
      </w:r>
      <w:r>
        <w:t xml:space="preserve">Is the 2030–2032 payoff horizon acceptable to the CEO/investor given the MTP is nominally a 2026-2029 plan? If the workshop is meant to commit to this bridge item, whose capital-patience decision is this, and has it been made explicitly? Owner: CEO, with the PE ownership.</w:t>
      </w:r>
    </w:p>
    <w:p>
      <w:pPr>
        <w:pStyle w:val="Heading2"/>
        <w:spacing w:after="120" w:before="240"/>
      </w:pPr>
      <w:r>
        <w:t xml:space="preserve">3.2 Full store roster (transcribed from the MTP slide)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750"/>
        <w:gridCol w:w="1300"/>
        <w:gridCol w:w="1150"/>
        <w:gridCol w:w="1450"/>
      </w:tblGrid>
      <w:tr>
        <w:trPr>
          <w:tblHeader/>
        </w:trPr>
        <w:tc>
          <w:tcPr>
            <w:tcW w:type="dxa" w:w="900"/>
            <w:shd w:fill="2F2F2F" w:val="clear"/>
            <w:tcMar>
              <w:top w:type="dxa" w:w="60"/>
              <w:left w:type="dxa" w:w="100"/>
              <w:bottom w:type="dxa" w:w="60"/>
              <w:right w:type="dxa" w:w="100"/>
            </w:tcMar>
            <w:vAlign w:val="center"/>
          </w:tcPr>
          <w:p>
            <w:pPr>
              <w:jc w:val="left"/>
            </w:pPr>
            <w:r>
              <w:rPr>
                <w:b/>
                <w:bCs/>
                <w:color w:val="FFFFFF"/>
                <w:sz w:val="19"/>
                <w:szCs w:val="19"/>
              </w:rPr>
              <w:t xml:space="preserve">Year</w:t>
            </w:r>
          </w:p>
        </w:tc>
        <w:tc>
          <w:tcPr>
            <w:tcW w:type="dxa" w:w="1500"/>
            <w:shd w:fill="2F2F2F" w:val="clear"/>
            <w:tcMar>
              <w:top w:type="dxa" w:w="60"/>
              <w:left w:type="dxa" w:w="100"/>
              <w:bottom w:type="dxa" w:w="60"/>
              <w:right w:type="dxa" w:w="100"/>
            </w:tcMar>
            <w:vAlign w:val="center"/>
          </w:tcPr>
          <w:p>
            <w:pPr>
              <w:jc w:val="center"/>
            </w:pPr>
            <w:r>
              <w:rPr>
                <w:b/>
                <w:bCs/>
                <w:color w:val="FFFFFF"/>
                <w:sz w:val="19"/>
                <w:szCs w:val="19"/>
              </w:rPr>
              <w:t xml:space="preserve">Type</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Country</w:t>
            </w:r>
          </w:p>
        </w:tc>
        <w:tc>
          <w:tcPr>
            <w:tcW w:type="dxa" w:w="1750"/>
            <w:shd w:fill="2F2F2F" w:val="clear"/>
            <w:tcMar>
              <w:top w:type="dxa" w:w="60"/>
              <w:left w:type="dxa" w:w="100"/>
              <w:bottom w:type="dxa" w:w="60"/>
              <w:right w:type="dxa" w:w="100"/>
            </w:tcMar>
            <w:vAlign w:val="center"/>
          </w:tcPr>
          <w:p>
            <w:pPr>
              <w:jc w:val="center"/>
            </w:pPr>
            <w:r>
              <w:rPr>
                <w:b/>
                <w:bCs/>
                <w:color w:val="FFFFFF"/>
                <w:sz w:val="19"/>
                <w:szCs w:val="19"/>
              </w:rPr>
              <w:t xml:space="preserve">Location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Gross Sale RR (MSEK)</w:t>
            </w:r>
          </w:p>
        </w:tc>
        <w:tc>
          <w:tcPr>
            <w:tcW w:type="dxa" w:w="1150"/>
            <w:shd w:fill="2F2F2F" w:val="clear"/>
            <w:tcMar>
              <w:top w:type="dxa" w:w="60"/>
              <w:left w:type="dxa" w:w="100"/>
              <w:bottom w:type="dxa" w:w="60"/>
              <w:right w:type="dxa" w:w="100"/>
            </w:tcMar>
            <w:vAlign w:val="center"/>
          </w:tcPr>
          <w:p>
            <w:pPr>
              <w:jc w:val="center"/>
            </w:pPr>
            <w:r>
              <w:rPr>
                <w:b/>
                <w:bCs/>
                <w:color w:val="FFFFFF"/>
                <w:sz w:val="19"/>
                <w:szCs w:val="19"/>
              </w:rPr>
              <w:t xml:space="preserve">EBIT RR (MSEK)</w:t>
            </w:r>
          </w:p>
        </w:tc>
        <w:tc>
          <w:tcPr>
            <w:tcW w:type="dxa" w:w="1450"/>
            <w:shd w:fill="2F2F2F" w:val="clear"/>
            <w:tcMar>
              <w:top w:type="dxa" w:w="60"/>
              <w:left w:type="dxa" w:w="100"/>
              <w:bottom w:type="dxa" w:w="60"/>
              <w:right w:type="dxa" w:w="100"/>
            </w:tcMar>
            <w:vAlign w:val="center"/>
          </w:tcPr>
          <w:p>
            <w:pPr>
              <w:jc w:val="center"/>
            </w:pPr>
            <w:r>
              <w:rPr>
                <w:b/>
                <w:bCs/>
                <w:color w:val="FFFFFF"/>
                <w:sz w:val="19"/>
                <w:szCs w:val="19"/>
              </w:rPr>
              <w:t xml:space="preserve">Capex (MSEK)</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2026</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Austria</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Innsbruck</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13.7</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4.8</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2.0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Sweden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Emporia (Malmö)</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3.4</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Sweden</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Gothenburg</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Austria</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St Anton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2.3</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Germany</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München</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14.2</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2.6</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4.4</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Outlet</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Austria</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Pandorf (AT)</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Sweden</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Arlanda</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6.4</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Sweden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Sundsvall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3.2</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Austria</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Salzburg</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9.8</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3.8</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Austria</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Vienna</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3.8</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Denmark</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Copenhagen</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12.5</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0.2</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UK</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Manchester</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Outlet</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UK</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Outlet UK</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15.4</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1.6</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Germany</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Hamburg</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4.2</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2029</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Norway</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Oslo</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0.6</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UK</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London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5.0</w:t>
            </w:r>
          </w:p>
        </w:tc>
      </w:tr>
    </w:tbl>
    <w:p>
      <w:pPr>
        <w:spacing w:after="200"/>
      </w:pPr>
      <w:r>
        <w:rPr>
          <w:i/>
          <w:iCs/>
          <w:color w:val="555555"/>
          <w:sz w:val="18"/>
          <w:szCs w:val="18"/>
        </w:rPr>
        <w:t xml:space="preserve">Indicative Gross Sale and EBIT are run-rate figures upon full ramp-up, not year-1 actuals; Capex is per the slide's indicative figures. Full detail in the backup workbook, sheet 'Store Roster (from MTP slide)'.</w:t>
      </w:r>
    </w:p>
    <w:p>
      <w:pPr>
        <w:pStyle w:val="Heading2"/>
        <w:spacing w:after="120" w:before="240"/>
      </w:pPr>
      <w:r>
        <w:t xml:space="preserve">3.3 Roll-up by country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350"/>
        <w:gridCol w:w="2100"/>
        <w:gridCol w:w="21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9"/>
                <w:szCs w:val="19"/>
              </w:rPr>
              <w:t xml:space="preserve">Country</w:t>
            </w:r>
          </w:p>
        </w:tc>
        <w:tc>
          <w:tcPr>
            <w:tcW w:type="dxa" w:w="1200"/>
            <w:shd w:fill="2F2F2F" w:val="clear"/>
            <w:tcMar>
              <w:top w:type="dxa" w:w="60"/>
              <w:left w:type="dxa" w:w="100"/>
              <w:bottom w:type="dxa" w:w="60"/>
              <w:right w:type="dxa" w:w="100"/>
            </w:tcMar>
            <w:vAlign w:val="center"/>
          </w:tcPr>
          <w:p>
            <w:pPr>
              <w:jc w:val="center"/>
            </w:pPr>
            <w:r>
              <w:rPr>
                <w:b/>
                <w:bCs/>
                <w:color w:val="FFFFFF"/>
                <w:sz w:val="19"/>
                <w:szCs w:val="19"/>
              </w:rPr>
              <w:t xml:space="preserve">N Stores</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Total Gross Sale RR (MSEK)</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Total EBIT RR (MSEK)</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Total Capex (MSEK)</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Austria</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61.1</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11.9</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15.6</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Sweden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29.7</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6.1</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12.6</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UK</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41.8</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3.3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12.0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Germany</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24.7</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4.2</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8.6</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Denmark</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12.5</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0.2</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Norway</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0.6</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16</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181.8</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26.3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56.8</w:t>
            </w:r>
          </w:p>
        </w:tc>
      </w:tr>
    </w:tbl>
    <w:p>
      <w:pPr>
        <w:pBdr>
          <w:left w:val="single" w:color="3C8A4C" w:sz="18"/>
        </w:pBdr>
        <w:shd w:fill="EAF3EA" w:val="clear"/>
        <w:spacing w:after="120" w:before="100"/>
        <w:ind w:left="150" w:right="100"/>
      </w:pPr>
      <w:r>
        <w:rPr>
          <w:b/>
          <w:bCs/>
          <w:color w:val="1F5C2E"/>
        </w:rPr>
        <w:t xml:space="preserve">DATA SHOWS: </w:t>
      </w:r>
      <w:r>
        <w:t xml:space="preserve">Austria is the single largest country commitment by store count (5) and by indicative capex (15.6M) and gross-sales run-rate (61.1M) — a third of the entire 16-store plan's sales ambition rests on the one country with no existing Wholesale presence at all (Section 4).</w:t>
      </w:r>
    </w:p>
    <w:p>
      <w:pPr>
        <w:pStyle w:val="Heading2"/>
        <w:spacing w:after="120" w:before="240"/>
      </w:pPr>
      <w:r>
        <w:t xml:space="preserve">3.4 Investment case: Capex vs. EBIT payback, not Capex vs. Gross Sales</w:t>
      </w:r>
    </w:p>
    <w:p>
      <w:pPr>
        <w:spacing w:after="160"/>
      </w:pPr>
      <w:r>
        <w:t xml:space="preserve">Judging a capital investment on Capex-to-Sales is a screening ratio at best — it says nothing about profitability, so it can look fine on a store that is actually a poor investment. The correct basis is Capex-to-EBIT (payback period) or, ultimately, a full multi-year cash-flow IRR. Ranking all 16 stores this way changes the read substantially: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400"/>
        <w:gridCol w:w="1300"/>
        <w:gridCol w:w="1350"/>
        <w:gridCol w:w="155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9"/>
                <w:szCs w:val="19"/>
              </w:rPr>
              <w:t xml:space="preserve">Store</w:t>
            </w:r>
          </w:p>
        </w:tc>
        <w:tc>
          <w:tcPr>
            <w:tcW w:type="dxa" w:w="1500"/>
            <w:shd w:fill="2F2F2F" w:val="clear"/>
            <w:tcMar>
              <w:top w:type="dxa" w:w="60"/>
              <w:left w:type="dxa" w:w="100"/>
              <w:bottom w:type="dxa" w:w="60"/>
              <w:right w:type="dxa" w:w="100"/>
            </w:tcMar>
            <w:vAlign w:val="center"/>
          </w:tcPr>
          <w:p>
            <w:pPr>
              <w:jc w:val="center"/>
            </w:pPr>
            <w:r>
              <w:rPr>
                <w:b/>
                <w:bCs/>
                <w:color w:val="FFFFFF"/>
                <w:sz w:val="19"/>
                <w:szCs w:val="19"/>
              </w:rPr>
              <w:t xml:space="preserve">Sales RR (MSEK)</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EBIT RR (MSEK)</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Capex (MSEK)</w:t>
            </w:r>
          </w:p>
        </w:tc>
        <w:tc>
          <w:tcPr>
            <w:tcW w:type="dxa" w:w="1350"/>
            <w:shd w:fill="2F2F2F" w:val="clear"/>
            <w:tcMar>
              <w:top w:type="dxa" w:w="60"/>
              <w:left w:type="dxa" w:w="100"/>
              <w:bottom w:type="dxa" w:w="60"/>
              <w:right w:type="dxa" w:w="100"/>
            </w:tcMar>
            <w:vAlign w:val="center"/>
          </w:tcPr>
          <w:p>
            <w:pPr>
              <w:jc w:val="center"/>
            </w:pPr>
            <w:r>
              <w:rPr>
                <w:b/>
                <w:bCs/>
                <w:color w:val="FFFFFF"/>
                <w:sz w:val="19"/>
                <w:szCs w:val="19"/>
              </w:rPr>
              <w:t xml:space="preserve">EBIT margin</w:t>
            </w:r>
          </w:p>
        </w:tc>
        <w:tc>
          <w:tcPr>
            <w:tcW w:type="dxa" w:w="1550"/>
            <w:shd w:fill="2F2F2F" w:val="clear"/>
            <w:tcMar>
              <w:top w:type="dxa" w:w="60"/>
              <w:left w:type="dxa" w:w="100"/>
              <w:bottom w:type="dxa" w:w="60"/>
              <w:right w:type="dxa" w:w="100"/>
            </w:tcMar>
            <w:vAlign w:val="center"/>
          </w:tcPr>
          <w:p>
            <w:pPr>
              <w:jc w:val="center"/>
            </w:pPr>
            <w:r>
              <w:rPr>
                <w:b/>
                <w:bCs/>
                <w:color w:val="FFFFFF"/>
                <w:sz w:val="19"/>
                <w:szCs w:val="19"/>
              </w:rPr>
              <w:t xml:space="preserve">Payback (yrs)</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Innsbruck</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13.7</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4.8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35.0%</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0.4</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St Anton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2.3</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28.4%</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1.3</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Sundsvall</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10.1</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2.4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23.8%</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1.3</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Pandorf (Outlet)</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18.8</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10.1%</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München</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14.2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2.6</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4.4</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18.3%</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1.7</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Outlet UK</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10.4%</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Salzburg</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9.8</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3.8</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18.4%</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2.1</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Arlanda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20.3%</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2.3</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Emporia (Malmö)</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7.8</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3.4</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17.9%</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2.4</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Hamburg</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10.5</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4.2</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15.2%</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Gothenburg</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18.5%</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Vienna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10.3%</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3.5</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Manchester</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11.9</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4.0</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8.4%</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Oslo</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0.6</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6.7</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London</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14.5</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5.0</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4.8%</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7.1</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Copenhagen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12.5</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20.0</w:t>
            </w:r>
          </w:p>
        </w:tc>
      </w:tr>
    </w:tbl>
    <w:p>
      <w:pPr>
        <w:pBdr>
          <w:left w:val="single" w:color="3C8A4C" w:sz="18"/>
        </w:pBdr>
        <w:shd w:fill="EAF3EA" w:val="clear"/>
        <w:spacing w:after="120" w:before="100"/>
        <w:ind w:left="150" w:right="100"/>
      </w:pPr>
      <w:r>
        <w:rPr>
          <w:b/>
          <w:bCs/>
          <w:color w:val="1F5C2E"/>
        </w:rPr>
        <w:t xml:space="preserve">DATA SHOWS: </w:t>
      </w:r>
      <w:r>
        <w:t xml:space="preserve">Copenhagen is the clearest proof that Capex-to-Sales would have missed the real problem: its 12.5M Gross Sales run-rate sits squarely in the middle of the roster, unremarkable on a sales screen — but its EBIT margin (1.6%) and payback (20 years) are by far the worst of any store. A sales-only screen would never have flagged it.</w:t>
      </w:r>
    </w:p>
    <w:p>
      <w:pPr>
        <w:pStyle w:val="Heading3"/>
        <w:spacing w:after="100" w:before="200"/>
      </w:pPr>
      <w:r>
        <w:t xml:space="preserve">A critical caveat: these figures are a 2032 snapshot, not a normalized run-rate</w:t>
      </w:r>
    </w:p>
    <w:p>
      <w:pPr>
        <w:spacing w:after="160"/>
      </w:pPr>
      <w:r>
        <w:t xml:space="preserve">The 16 stores open across four different years (2026-2029), but the Sales/EBIT figures above are all read off the same single point in time — the 2032 slide. That means a store's apparent maturity depends partly on how long it has had to ramp by 2032, not just on the quality of the site.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2000"/>
        <w:gridCol w:w="205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9"/>
                <w:szCs w:val="19"/>
              </w:rPr>
              <w:t xml:space="preserve">Opening year</w:t>
            </w:r>
          </w:p>
        </w:tc>
        <w:tc>
          <w:tcPr>
            <w:tcW w:type="dxa" w:w="2400"/>
            <w:shd w:fill="2F2F2F" w:val="clear"/>
            <w:tcMar>
              <w:top w:type="dxa" w:w="60"/>
              <w:left w:type="dxa" w:w="100"/>
              <w:bottom w:type="dxa" w:w="60"/>
              <w:right w:type="dxa" w:w="100"/>
            </w:tcMar>
            <w:vAlign w:val="center"/>
          </w:tcPr>
          <w:p>
            <w:pPr>
              <w:jc w:val="center"/>
            </w:pPr>
            <w:r>
              <w:rPr>
                <w:b/>
                <w:bCs/>
                <w:color w:val="FFFFFF"/>
                <w:sz w:val="19"/>
                <w:szCs w:val="19"/>
              </w:rPr>
              <w:t xml:space="preserve">Years to mature by 2032</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N stores</w:t>
            </w:r>
          </w:p>
        </w:tc>
        <w:tc>
          <w:tcPr>
            <w:tcW w:type="dxa" w:w="2000"/>
            <w:shd w:fill="2F2F2F" w:val="clear"/>
            <w:tcMar>
              <w:top w:type="dxa" w:w="60"/>
              <w:left w:type="dxa" w:w="100"/>
              <w:bottom w:type="dxa" w:w="60"/>
              <w:right w:type="dxa" w:w="100"/>
            </w:tcMar>
            <w:vAlign w:val="center"/>
          </w:tcPr>
          <w:p>
            <w:pPr>
              <w:jc w:val="center"/>
            </w:pPr>
            <w:r>
              <w:rPr>
                <w:b/>
                <w:bCs/>
                <w:color w:val="FFFFFF"/>
                <w:sz w:val="19"/>
                <w:szCs w:val="19"/>
              </w:rPr>
              <w:t xml:space="preserve">Avg EBIT margin</w:t>
            </w:r>
          </w:p>
        </w:tc>
        <w:tc>
          <w:tcPr>
            <w:tcW w:type="dxa" w:w="2050"/>
            <w:shd w:fill="2F2F2F" w:val="clear"/>
            <w:tcMar>
              <w:top w:type="dxa" w:w="60"/>
              <w:left w:type="dxa" w:w="100"/>
              <w:bottom w:type="dxa" w:w="60"/>
              <w:right w:type="dxa" w:w="100"/>
            </w:tcMar>
            <w:vAlign w:val="center"/>
          </w:tcPr>
          <w:p>
            <w:pPr>
              <w:jc w:val="center"/>
            </w:pPr>
            <w:r>
              <w:rPr>
                <w:b/>
                <w:bCs/>
                <w:color w:val="FFFFFF"/>
                <w:sz w:val="19"/>
                <w:szCs w:val="19"/>
              </w:rPr>
              <w:t xml:space="preserve">Avg payback (yrs)</w:t>
            </w:r>
          </w:p>
        </w:tc>
      </w:tr>
      <w:tr>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2026</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6</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26.4%</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1.4</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2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19.9%</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w:t>
            </w:r>
          </w:p>
        </w:tc>
      </w:tr>
      <w:tr>
        <w:tc>
          <w:tcPr>
            <w:tcW w:type="dxa" w:w="2000"/>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9.8%</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6.3</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2029</w:t>
            </w:r>
          </w:p>
        </w:tc>
        <w:tc>
          <w:tcPr>
            <w:tcW w:type="dxa" w:w="2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8.3%</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5.5</w:t>
            </w:r>
          </w:p>
        </w:tc>
      </w:tr>
    </w:tbl>
    <w:p>
      <w:pPr>
        <w:pBdr>
          <w:left w:val="single" w:color="B23A3A" w:sz="18"/>
        </w:pBdr>
        <w:shd w:fill="FBE7E7" w:val="clear"/>
        <w:spacing w:after="120" w:before="100"/>
        <w:ind w:left="150" w:right="100"/>
      </w:pPr>
      <w:r>
        <w:rPr>
          <w:b/>
          <w:bCs/>
          <w:color w:val="7A1F1F"/>
        </w:rPr>
        <w:t xml:space="preserve">METHODOLOGY FLAG: </w:t>
      </w:r>
      <w:r>
        <w:t xml:space="preserve">Average EBIT margin falls in a clean staircase from the earliest-opening cohort (26.4%) to the latest (8.3%), and the correlation between years-to-mature-by-2032 and EBIT margin across all 16 stores is 0.71. That is a real, quantifiable bias, not noise: stores opening earlier simply have more years baked into their 2032 number. Practical implications — Innsbruck's apparent best-in-roster payback (0.4 years) is partly a vintage effect (it gets a full 6-year ramp) rather than pure proof of site quality; conversely, Oslo and London (3-year ramp) are likely being judged more harshly than their eventual steady-state will show. Copenhagen still holds up as a genuine problem even controlling for this — within its own 2028 cohort (4-year ramp), its peers show 8.4-18.4% EBIT margin against Copenhagen's 1.6%, so this is a site-specific issue, not just an artifact of being young.</w:t>
      </w:r>
    </w:p>
    <w:p>
      <w:pPr>
        <w:pBdr>
          <w:left w:val="single" w:color="C97A1A" w:sz="18"/>
        </w:pBdr>
        <w:shd w:fill="FCEFDC" w:val="clear"/>
        <w:spacing w:after="120" w:before="100"/>
        <w:ind w:left="150" w:right="100"/>
      </w:pPr>
      <w:r>
        <w:rPr>
          <w:b/>
          <w:bCs/>
          <w:color w:val="8A4B00"/>
        </w:rPr>
        <w:t xml:space="preserve">NOT ANSWERABLE FROM DATA — ASK: </w:t>
      </w:r>
      <w:r>
        <w:t xml:space="preserve">Can the store-level ramp curve (Year 1, Year 2, Year 3... post-opening, not calendar-year 2032) be obtained, so every store can be compared on the same years-since-opening basis rather than the same calendar year? Without it, any cross-vintage ranking in this section — including Innsbruck's apparent outperformance — should be treated as indicative, not confirmed. Owner: whoever owns the store-level financial model.</w:t>
      </w:r>
    </w:p>
    <w:p>
      <w:pPr>
        <w:pBdr>
          <w:left w:val="single" w:color="C97A1A" w:sz="18"/>
        </w:pBdr>
        <w:shd w:fill="FCEFDC" w:val="clear"/>
        <w:spacing w:after="120" w:before="100"/>
        <w:ind w:left="150" w:right="100"/>
      </w:pPr>
      <w:r>
        <w:rPr>
          <w:b/>
          <w:bCs/>
          <w:color w:val="8A4B00"/>
        </w:rPr>
        <w:t xml:space="preserve">NOT ANSWERABLE FROM DATA — ASK: </w:t>
      </w:r>
      <w:r>
        <w:t xml:space="preserve">Is Innsbruck's standout 2032 projection (35.0% EBIT margin, the best in the roster) a genuinely superior site, or does it carry more optimistic planning assumptions because it is the flagship/first-mover store? Worth a direct gut-check before using it as the benchmark case for the rest of the roll-out. Owner: Retail Expansion lead.</w:t>
      </w:r>
    </w:p>
    <w:p>
      <w:pPr>
        <w:pBdr>
          <w:left w:val="single" w:color="C97A1A" w:sz="18"/>
        </w:pBdr>
        <w:shd w:fill="FCEFDC" w:val="clear"/>
        <w:spacing w:after="120" w:before="100"/>
        <w:ind w:left="150" w:right="100"/>
      </w:pPr>
      <w:r>
        <w:rPr>
          <w:b/>
          <w:bCs/>
          <w:color w:val="8A4B00"/>
        </w:rPr>
        <w:t xml:space="preserve">NOT ANSWERABLE FROM DATA — ASK: </w:t>
      </w:r>
      <w:r>
        <w:t xml:space="preserve">Given Copenhagen's payback holds up even within its own opening-year cohort, should it be re-scoped or re-negotiated (different site, smaller footprint, renegotiated rent) before the 2028 commitment is finalized? Owner: Retail Expansion / Real Estate lead.</w:t>
      </w:r>
    </w:p>
    <w:p>
      <w:pPr>
        <w:spacing w:after="200"/>
      </w:pPr>
      <w:r>
        <w:rPr>
          <w:i/>
          <w:iCs/>
          <w:color w:val="555555"/>
          <w:sz w:val="18"/>
          <w:szCs w:val="18"/>
        </w:rPr>
        <w:t xml:space="preserve">Full store-level and cohort-level detail, including the underlying formulas, is in the backup workbook, sheets 'Store Payback - Capex vs EBIT' and 'Vintage Cohort Check'. This section also does not include working-capital/inventory investment, which is a real, separate cash outflow not captured in the indicative Capex figures.</w:t>
      </w:r>
    </w:p>
    <w:p>
      <w:r>
        <w:br w:type="page"/>
      </w:r>
    </w:p>
    <w:p>
      <w:pPr>
        <w:pStyle w:val="Heading1"/>
        <w:spacing w:after="160" w:before="320"/>
      </w:pPr>
      <w:r>
        <w:t xml:space="preserve">4.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450"/>
        <w:gridCol w:w="1900"/>
        <w:gridCol w:w="26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9"/>
                <w:szCs w:val="19"/>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9"/>
                <w:szCs w:val="19"/>
              </w:rPr>
              <w:t xml:space="preserve">New stores</w:t>
            </w:r>
          </w:p>
        </w:tc>
        <w:tc>
          <w:tcPr>
            <w:tcW w:type="dxa" w:w="2450"/>
            <w:shd w:fill="2F2F2F" w:val="clear"/>
            <w:tcMar>
              <w:top w:type="dxa" w:w="60"/>
              <w:left w:type="dxa" w:w="100"/>
              <w:bottom w:type="dxa" w:w="60"/>
              <w:right w:type="dxa" w:w="100"/>
            </w:tcMar>
            <w:vAlign w:val="center"/>
          </w:tcPr>
          <w:p>
            <w:pPr>
              <w:jc w:val="center"/>
            </w:pPr>
            <w:r>
              <w:rPr>
                <w:b/>
                <w:bCs/>
                <w:color w:val="FFFFFF"/>
                <w:sz w:val="19"/>
                <w:szCs w:val="19"/>
              </w:rPr>
              <w:t xml:space="preserve">Wholesale 2025 (growth)</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E-com 2025 (growth)</w:t>
            </w:r>
          </w:p>
        </w:tc>
        <w:tc>
          <w:tcPr>
            <w:tcW w:type="dxa" w:w="260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0 — no accounts</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0.93M (+11.5%)</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141.0M (+12.8%)</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32.9M (+47.5%)</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83.3M (+15.4%) — but −18.2% ex-Zalando</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15.1M (+30.7%)</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13.5M (−27.7%)</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12.5M (+25.1%)</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60.1M (−8.6%)</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8.4M (+37.9%)</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9.2M (−31.0%)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8.9M (+58.7%)</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Same divergence as UK, more extreme</w:t>
            </w:r>
          </w:p>
        </w:tc>
      </w:tr>
    </w:tbl>
    <w:p>
      <w:pPr>
        <w:pBdr>
          <w:left w:val="single" w:color="3C8A4C" w:sz="18"/>
        </w:pBdr>
        <w:shd w:fill="EAF3EA" w:val="clear"/>
        <w:spacing w:after="120" w:before="100"/>
        <w:ind w:left="150" w:right="100"/>
      </w:pPr>
      <w:r>
        <w:rPr>
          <w:b/>
          <w:bCs/>
          <w:color w:val="1F5C2E"/>
        </w:rPr>
        <w:t xml:space="preserve">DATA SHOWS: </w:t>
      </w: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Items 1–2 as structurally different from normal Wholesale demand; reading it as organic Wholesale growth overstates the German full-price case materially.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1400"/>
        <w:gridCol w:w="28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9"/>
                <w:szCs w:val="19"/>
              </w:rPr>
              <w:t xml:space="preserve">Germany channel</w:t>
            </w:r>
          </w:p>
        </w:tc>
        <w:tc>
          <w:tcPr>
            <w:tcW w:type="dxa" w:w="2200"/>
            <w:shd w:fill="2F2F2F" w:val="clear"/>
            <w:tcMar>
              <w:top w:type="dxa" w:w="60"/>
              <w:left w:type="dxa" w:w="100"/>
              <w:bottom w:type="dxa" w:w="60"/>
              <w:right w:type="dxa" w:w="100"/>
            </w:tcMar>
            <w:vAlign w:val="center"/>
          </w:tcPr>
          <w:p>
            <w:pPr>
              <w:jc w:val="center"/>
            </w:pPr>
            <w:r>
              <w:rPr>
                <w:b/>
                <w:bCs/>
                <w:color w:val="FFFFFF"/>
                <w:sz w:val="19"/>
                <w:szCs w:val="19"/>
              </w:rPr>
              <w:t xml:space="preserve">Units 2024 → 2025</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Change</w:t>
            </w:r>
          </w:p>
        </w:tc>
        <w:tc>
          <w:tcPr>
            <w:tcW w:type="dxa" w:w="2850"/>
            <w:shd w:fill="2F2F2F" w:val="clear"/>
            <w:tcMar>
              <w:top w:type="dxa" w:w="60"/>
              <w:left w:type="dxa" w:w="100"/>
              <w:bottom w:type="dxa" w:w="60"/>
              <w:right w:type="dxa" w:w="100"/>
            </w:tcMar>
            <w:vAlign w:val="center"/>
          </w:tcPr>
          <w:p>
            <w:pPr>
              <w:jc w:val="center"/>
            </w:pPr>
            <w:r>
              <w:rPr>
                <w:b/>
                <w:bCs/>
                <w:color w:val="FFFFFF"/>
                <w:sz w:val="19"/>
                <w:szCs w:val="19"/>
              </w:rPr>
              <w:t xml:space="preserve">ASP / margin trend</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Zalando (discount)</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73,834 → 101,211</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+37.1%</w:t>
            </w:r>
          </w:p>
        </w:tc>
        <w:tc>
          <w:tcPr>
            <w:tcW w:type="dxa" w:w="2850"/>
            <w:tcMar>
              <w:top w:type="dxa" w:w="60"/>
              <w:left w:type="dxa" w:w="100"/>
              <w:bottom w:type="dxa" w:w="60"/>
              <w:right w:type="dxa" w:w="100"/>
            </w:tcMar>
            <w:vAlign w:val="center"/>
          </w:tcPr>
          <w:p>
            <w:pPr>
              <w:jc w:val="center"/>
            </w:pPr>
            <w:r>
              <w:rPr>
                <w:b w:val="false"/>
                <w:bCs w:val="false"/>
                <w:color w:val="000000"/>
                <w:sz w:val="19"/>
                <w:szCs w:val="19"/>
              </w:rPr>
              <w:t xml:space="preserve">ASP +10.8% (468→519 SEK), GM% down 36.0%→30.1%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Independent Wholesale (ex-Zalando)</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50,482 → 40,899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ASP roughly flat (+0.9%) — a volume story, not a price-cutting story</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Haglöfs own E-com</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8,490 → 11,959</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+40.9%</w:t>
            </w:r>
          </w:p>
        </w:tc>
        <w:tc>
          <w:tcPr>
            <w:tcW w:type="dxa" w:w="2850"/>
            <w:tcMar>
              <w:top w:type="dxa" w:w="60"/>
              <w:left w:type="dxa" w:w="100"/>
              <w:bottom w:type="dxa" w:w="60"/>
              <w:right w:type="dxa" w:w="100"/>
            </w:tcMar>
            <w:vAlign w:val="center"/>
          </w:tcPr>
          <w:p>
            <w:pPr>
              <w:jc w:val="center"/>
            </w:pPr>
            <w:r>
              <w:rPr>
                <w:b w:val="false"/>
                <w:bCs w:val="false"/>
                <w:color w:val="000000"/>
                <w:sz w:val="19"/>
                <w:szCs w:val="19"/>
              </w:rPr>
              <w:t xml:space="preserve">ASP down 7.2% (1,359→1,261 SEK), GM% down 68.3%→64.1%</w:t>
            </w:r>
          </w:p>
        </w:tc>
      </w:tr>
    </w:tbl>
    <w:p>
      <w:pPr>
        <w:pBdr>
          <w:left w:val="single" w:color="B23A3A" w:sz="18"/>
        </w:pBdr>
        <w:shd w:fill="FBE7E7" w:val="clear"/>
        <w:spacing w:after="120" w:before="100"/>
        <w:ind w:left="150" w:right="100"/>
      </w:pPr>
      <w:r>
        <w:rPr>
          <w:b/>
          <w:bCs/>
          <w:color w:val="7A1F1F"/>
        </w:rPr>
        <w:t xml:space="preserve">METHODOLOGY FLAG: </w:t>
      </w:r>
      <w:r>
        <w:t xml:space="preserve">In the same market, in the same year, growth is concentrating in the cheapest acquisition channel: Zalando's unit volume grew +37% while the independent, full-price specialty wholesale accounts shrank −19% (at flat prices — this is a volume loss, not those accounts discounting). Even Haglöfs' own E-com, while growing fast, shows early ASP softening. This is a real risk to the München (2027) and Hamburg (2029) stores that goes beyond the Zalando-inflated headline number: if the dominant, fastest-growing way German consumers currently encounter Haglöfs is via a 30%-margin outlet listing, a full-price flagship store has to overcome that price anchor, not just compete on product and location. This is a pattern this data can show but cannot fully explain — it cannot prove a consumer-psychology mechanism, only the channel-level fact.</w:t>
      </w:r>
    </w:p>
    <w:p>
      <w:pPr>
        <w:pBdr>
          <w:left w:val="single" w:color="C97A1A" w:sz="18"/>
        </w:pBdr>
        <w:shd w:fill="FCEFDC" w:val="clear"/>
        <w:spacing w:after="120" w:before="100"/>
        <w:ind w:left="150" w:right="100"/>
      </w:pPr>
      <w:r>
        <w:rPr>
          <w:b/>
          <w:bCs/>
          <w:color w:val="8A4B00"/>
        </w:rPr>
        <w:t xml:space="preserve">NOT ANSWERABLE FROM DATA — ASK: </w:t>
      </w:r>
      <w:r>
        <w:t xml:space="preserve">Has the München/Hamburg business case been stress-tested against a 'Zalando-anchored' German consumer, or does it assume the same full-price receptivity as markets like Sweden where Haglöfs' heritage is stronger? Is there any brand-perception or price-expectation research specific to Germany? Owner: CPO / Merchandising Director, informed by Brand &amp; Marketing.</w:t>
      </w:r>
    </w:p>
    <w:p>
      <w:pPr>
        <w:pBdr>
          <w:left w:val="single" w:color="3C8A4C" w:sz="18"/>
        </w:pBdr>
        <w:shd w:fill="EAF3EA" w:val="clear"/>
        <w:spacing w:after="120" w:before="100"/>
        <w:ind w:left="150" w:right="100"/>
      </w:pPr>
      <w:r>
        <w:rPr>
          <w:b/>
          <w:bCs/>
          <w:color w:val="1F5C2E"/>
        </w:rPr>
        <w:t xml:space="preserve">DATA SHOWS: </w:t>
      </w:r>
      <w:r>
        <w:t xml:space="preserve">What's selling is consistent across every target market and does not vary by country: Shell is the #1 layer everywhere (32–54% of Wholesale+E-com sales), Insulation is #2 (12–21%), with Mid layer/Legwear/Hiking shoes rounding out the top 5. This is reassuring for assortment planning (no market needs a fundamentally different range) but does not resolve the demand-level questions above.</w:t>
      </w:r>
    </w:p>
    <w:p>
      <w:pPr>
        <w:pBdr>
          <w:left w:val="single" w:color="C97A1A" w:sz="18"/>
        </w:pBdr>
        <w:shd w:fill="FCEFDC" w:val="clear"/>
        <w:spacing w:after="120" w:before="100"/>
        <w:ind w:left="150" w:right="100"/>
      </w:pPr>
      <w:r>
        <w:rPr>
          <w:b/>
          <w:bCs/>
          <w:color w:val="8A4B00"/>
        </w:rPr>
        <w:t xml:space="preserve">NOT ANSWERABLE FROM DATA — ASK: </w:t>
      </w:r>
      <w:r>
        <w:t xml:space="preserve">What is the basis for the Austria commitment — is there brand-awareness, footfall, or competitor-benchmarking data (outside this sales extract) that justifies 5 stores in a market with zero existing Wholesale presence? Owner: whoever built the store business case (Retail Expansion / Real Estate lead).</w:t>
      </w:r>
    </w:p>
    <w:p>
      <w:pPr>
        <w:pBdr>
          <w:left w:val="single" w:color="C97A1A" w:sz="18"/>
        </w:pBdr>
        <w:shd w:fill="FCEFDC" w:val="clear"/>
        <w:spacing w:after="120" w:before="100"/>
        <w:ind w:left="150" w:right="100"/>
      </w:pPr>
      <w:r>
        <w:rPr>
          <w:b/>
          <w:bCs/>
          <w:color w:val="8A4B00"/>
        </w:rPr>
        <w:t xml:space="preserve">NOT ANSWERABLE FROM DATA — ASK: </w:t>
      </w:r>
      <w:r>
        <w:t xml:space="preserve">Is the München/Hamburg case built on Germany's Zalando-inflated Wholesale trend, or on the genuinely strong (but smaller) E-com base? These imply different risk profiles. Owner: Wholesale Director / whoever owns the German store business case.</w:t>
      </w:r>
    </w:p>
    <w:p>
      <w:pPr>
        <w:pBdr>
          <w:left w:val="single" w:color="C97A1A" w:sz="18"/>
        </w:pBdr>
        <w:shd w:fill="FCEFDC" w:val="clear"/>
        <w:spacing w:after="120" w:before="100"/>
        <w:ind w:left="150" w:right="100"/>
      </w:pPr>
      <w:r>
        <w:rPr>
          <w:b/>
          <w:bCs/>
          <w:color w:val="8A4B00"/>
        </w:rPr>
        <w:t xml:space="preserve">NOT ANSWERABLE FROM DATA — ASK: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pStyle w:val="Heading1"/>
        <w:spacing w:after="160" w:before="320"/>
      </w:pPr>
      <w:r>
        <w:t xml:space="preserve">5. Unreconciled: store account codes already live in the sales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50"/>
      </w:tblGrid>
      <w:tr>
        <w:trPr>
          <w:tblHeader/>
        </w:trPr>
        <w:tc>
          <w:tcPr>
            <w:tcW w:type="dxa" w:w="3600"/>
            <w:shd w:fill="2F2F2F" w:val="clear"/>
            <w:tcMar>
              <w:top w:type="dxa" w:w="60"/>
              <w:left w:type="dxa" w:w="100"/>
              <w:bottom w:type="dxa" w:w="60"/>
              <w:right w:type="dxa" w:w="100"/>
            </w:tcMar>
            <w:vAlign w:val="center"/>
          </w:tcPr>
          <w:p>
            <w:pPr>
              <w:jc w:val="left"/>
            </w:pPr>
            <w:r>
              <w:rPr>
                <w:b/>
                <w:bCs/>
                <w:color w:val="FFFFFF"/>
                <w:sz w:val="19"/>
                <w:szCs w:val="19"/>
              </w:rPr>
              <w:t xml:space="preserve">Account code (Retail channel)</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FY2024 Sales</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FY2025 Sales</w:t>
            </w:r>
          </w:p>
        </w:tc>
        <w:tc>
          <w:tcPr>
            <w:tcW w:type="dxa" w:w="1950"/>
            <w:shd w:fill="2F2F2F" w:val="clear"/>
            <w:tcMar>
              <w:top w:type="dxa" w:w="60"/>
              <w:left w:type="dxa" w:w="100"/>
              <w:bottom w:type="dxa" w:w="60"/>
              <w:right w:type="dxa" w:w="100"/>
            </w:tcMar>
            <w:vAlign w:val="center"/>
          </w:tcPr>
          <w:p>
            <w:pPr>
              <w:jc w:val="center"/>
            </w:pPr>
            <w:r>
              <w:rPr>
                <w:b/>
                <w:bCs/>
                <w:color w:val="FFFFFF"/>
                <w:sz w:val="19"/>
                <w:szCs w:val="19"/>
              </w:rPr>
              <w:t xml:space="preserve">On MTP 16-store roster?</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HAGLÖFS BRAND STORE HELSINKI</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HELSINKI OUTLET VILLAGE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INTERCOMPANY HAGLÖFS NO OL STORE</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No</w:t>
            </w:r>
          </w:p>
        </w:tc>
      </w:tr>
    </w:tbl>
    <w:p>
      <w:pPr>
        <w:pBdr>
          <w:left w:val="single" w:color="3C8A4C" w:sz="18"/>
        </w:pBdr>
        <w:shd w:fill="EAF3EA" w:val="clear"/>
        <w:spacing w:after="120" w:before="100"/>
        <w:ind w:left="150" w:right="100"/>
      </w:pPr>
      <w:r>
        <w:rPr>
          <w:b/>
          <w:bCs/>
          <w:color w:val="1F5C2E"/>
        </w:rPr>
        <w:t xml:space="preserve">DATA SHOWS: </w:t>
      </w:r>
      <w:r>
        <w:t xml:space="preserve">These three account codes exist in the live sales system (Sales Channel = Retail, Customer Group populated) but carry zero recorded sales in either FY2024 or FY2025, and none of the three appears anywhere on the 16-store MTP roster (which does include an Oslo, Norway Brand Store for 2029, but that is a different entry to 'Intercompany NO OL Store', and has no Helsinki location at all).</w:t>
      </w:r>
    </w:p>
    <w:p>
      <w:pPr>
        <w:pBdr>
          <w:left w:val="single" w:color="C97A1A" w:sz="18"/>
        </w:pBdr>
        <w:shd w:fill="FCEFDC" w:val="clear"/>
        <w:spacing w:after="120" w:before="100"/>
        <w:ind w:left="150" w:right="100"/>
      </w:pPr>
      <w:r>
        <w:rPr>
          <w:b/>
          <w:bCs/>
          <w:color w:val="8A4B00"/>
        </w:rPr>
        <w:t xml:space="preserve">NOT ANSWERABLE FROM DATA — ASK: </w:t>
      </w:r>
      <w:r>
        <w:t xml:space="preserve">What are these three store codes — are they earlier-generation store initiatives superseded by the current MTP roster, or stores that have since opened but aren't in this data window, or something else? Has the plan changed since these MTP slides were produced? Owner: whoever owns the retail store master data / real estate planning.</w:t>
      </w:r>
    </w:p>
    <w:p>
      <w:r>
        <w:br w:type="page"/>
      </w:r>
    </w:p>
    <w:p>
      <w:pPr>
        <w:pStyle w:val="Heading1"/>
        <w:spacing w:after="160" w:before="320"/>
      </w:pPr>
      <w:r>
        <w:t xml:space="preserve">6. Own-outlet strategy: capacity, stock, and end-of-season supply</w:t>
      </w:r>
    </w:p>
    <w:p>
      <w:pPr>
        <w:spacing w:after="160"/>
      </w:pPr>
      <w:r>
        <w:t xml:space="preserve">The plan includes two Outlet-format stores (Pandorf AT, 2027; Outlet UK, 2028). This section sizes the outlet question using sales-data proxies — it is explicitly NOT an inventory analysis, because no stock-on-hand, aging, or buy-plan data exists anywhere in the files available for this engagement.</w:t>
      </w:r>
    </w:p>
    <w:p>
      <w:pPr>
        <w:pBdr>
          <w:left w:val="single" w:color="B23A3A" w:sz="18"/>
        </w:pBdr>
        <w:shd w:fill="FBE7E7" w:val="clear"/>
        <w:spacing w:after="120" w:before="100"/>
        <w:ind w:left="150" w:right="100"/>
      </w:pPr>
      <w:r>
        <w:rPr>
          <w:b/>
          <w:bCs/>
          <w:color w:val="7A1F1F"/>
        </w:rPr>
        <w:t xml:space="preserve">METHODOLOGY FLAG: </w:t>
      </w:r>
      <w:r>
        <w:t xml:space="preserve">A further, structural limitation: 100% of Retail-channel sales in this data (both FY2024 and FY2025) sit under a single, undifferentiated customer-group code, with no store-level identifier at all. It is not possible to isolate existing owned brand-store performance from existing owned outlet-store performance within the Retail channel — the only named store-level entries (Haglöfs Brand Store Helsinki, Helsinki Outlet Village, Intercompany Haglöfs NO OL Store) all show zero recorded sales. This is why the benchmarking below relies entirely on third-party outlet accounts (Zalando, Stadium) rather than any of Haglöfs' own owned-retail-outlet actuals — none exist in a form this data can isolate.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650"/>
        <w:gridCol w:w="170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9"/>
                <w:szCs w:val="19"/>
              </w:rPr>
              <w:t xml:space="preserve">Existing outlet-type channel</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2025 Sales</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2025 Units</w:t>
            </w:r>
          </w:p>
        </w:tc>
        <w:tc>
          <w:tcPr>
            <w:tcW w:type="dxa" w:w="1650"/>
            <w:shd w:fill="2F2F2F" w:val="clear"/>
            <w:tcMar>
              <w:top w:type="dxa" w:w="60"/>
              <w:left w:type="dxa" w:w="100"/>
              <w:bottom w:type="dxa" w:w="60"/>
              <w:right w:type="dxa" w:w="100"/>
            </w:tcMar>
            <w:vAlign w:val="center"/>
          </w:tcPr>
          <w:p>
            <w:pPr>
              <w:jc w:val="center"/>
            </w:pPr>
            <w:r>
              <w:rPr>
                <w:b/>
                <w:bCs/>
                <w:color w:val="FFFFFF"/>
                <w:sz w:val="19"/>
                <w:szCs w:val="19"/>
              </w:rPr>
              <w:t xml:space="preserve">ASP</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GM%</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Zalando (Lounge)</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52.6M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101,259</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~520 SEK</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30.1%</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Stadium Outlet</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9.6M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23,887</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~400 SEK</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Combined</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62.2M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125,146</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497 SEK</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~29%</w:t>
            </w:r>
          </w:p>
        </w:tc>
      </w:tr>
    </w:tbl>
    <w:p>
      <w:pPr>
        <w:pBdr>
          <w:left w:val="single" w:color="3C8A4C" w:sz="18"/>
        </w:pBdr>
        <w:shd w:fill="EAF3EA" w:val="clear"/>
        <w:spacing w:after="120" w:before="100"/>
        <w:ind w:left="150" w:right="100"/>
      </w:pPr>
      <w:r>
        <w:rPr>
          <w:b/>
          <w:bCs/>
          <w:color w:val="1F5C2E"/>
        </w:rPr>
        <w:t xml:space="preserve">DATA SHOWS: </w:t>
      </w:r>
      <w:r>
        <w:t xml:space="preserve">Outlet-channel ASP already runs ~28% below core blended ASP (497 vs. 694 SEK/unit) — the effective discount depth the business already clears today through 3rd-party outlet. Both existing outlet-type accounts run at 26-30% GM, meaningfully below the ~46.6% core company average. Moving this volume into OWNED outlet stores, at similar consumer-facing prices, should structurally capture better margin than routing it through a 3rd-party partner — a real, data-grounded argument for the own-outlet strategy, though the exact uplift depends on store cost structure (rent, staff) not available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950"/>
        <w:gridCol w:w="3000"/>
      </w:tblGrid>
      <w:tr>
        <w:trPr>
          <w:tblHeader/>
        </w:trPr>
        <w:tc>
          <w:tcPr>
            <w:tcW w:type="dxa" w:w="3400"/>
            <w:shd w:fill="2F2F2F" w:val="clear"/>
            <w:tcMar>
              <w:top w:type="dxa" w:w="60"/>
              <w:left w:type="dxa" w:w="100"/>
              <w:bottom w:type="dxa" w:w="60"/>
              <w:right w:type="dxa" w:w="100"/>
            </w:tcMar>
            <w:vAlign w:val="center"/>
          </w:tcPr>
          <w:p>
            <w:pPr>
              <w:jc w:val="left"/>
            </w:pPr>
            <w:r>
              <w:rPr>
                <w:b/>
                <w:bCs/>
                <w:color w:val="FFFFFF"/>
                <w:sz w:val="19"/>
                <w:szCs w:val="19"/>
              </w:rPr>
              <w:t xml:space="preserve">New outlet demand (once ramped)</w:t>
            </w:r>
          </w:p>
        </w:tc>
        <w:tc>
          <w:tcPr>
            <w:tcW w:type="dxa" w:w="2950"/>
            <w:shd w:fill="2F2F2F" w:val="clear"/>
            <w:tcMar>
              <w:top w:type="dxa" w:w="60"/>
              <w:left w:type="dxa" w:w="100"/>
              <w:bottom w:type="dxa" w:w="60"/>
              <w:right w:type="dxa" w:w="100"/>
            </w:tcMar>
            <w:vAlign w:val="center"/>
          </w:tcPr>
          <w:p>
            <w:pPr>
              <w:jc w:val="center"/>
            </w:pPr>
            <w:r>
              <w:rPr>
                <w:b/>
                <w:bCs/>
                <w:color w:val="FFFFFF"/>
                <w:sz w:val="19"/>
                <w:szCs w:val="19"/>
              </w:rPr>
              <w:t xml:space="preserve">Indicative Gross Sale RR</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Implied units (@497 SEK ASP)</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Pandorf (AT), 2027</w:t>
            </w:r>
          </w:p>
        </w:tc>
        <w:tc>
          <w:tcPr>
            <w:tcW w:type="dxa" w:w="2950"/>
            <w:tcMar>
              <w:top w:type="dxa" w:w="60"/>
              <w:left w:type="dxa" w:w="100"/>
              <w:bottom w:type="dxa" w:w="60"/>
              <w:right w:type="dxa" w:w="100"/>
            </w:tcMar>
            <w:vAlign w:val="center"/>
          </w:tcPr>
          <w:p>
            <w:pPr>
              <w:jc w:val="center"/>
            </w:pPr>
            <w:r>
              <w:rPr>
                <w:b w:val="false"/>
                <w:bCs w:val="false"/>
                <w:color w:val="000000"/>
                <w:sz w:val="19"/>
                <w:szCs w:val="19"/>
              </w:rPr>
              <w:t xml:space="preserve">18.8M</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~37,800</w:t>
            </w:r>
          </w:p>
        </w:tc>
      </w:tr>
      <w:tr>
        <w:tc>
          <w:tcPr>
            <w:tcW w:type="dxa" w:w="3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Outlet UK, 2028</w:t>
            </w:r>
          </w:p>
        </w:tc>
        <w:tc>
          <w:tcPr>
            <w:tcW w:type="dxa" w:w="2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15.4M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~31,000</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Combined new-store outlet demand</w:t>
            </w:r>
          </w:p>
        </w:tc>
        <w:tc>
          <w:tcPr>
            <w:tcW w:type="dxa" w:w="2950"/>
            <w:tcMar>
              <w:top w:type="dxa" w:w="60"/>
              <w:left w:type="dxa" w:w="100"/>
              <w:bottom w:type="dxa" w:w="60"/>
              <w:right w:type="dxa" w:w="100"/>
            </w:tcMar>
            <w:vAlign w:val="center"/>
          </w:tcPr>
          <w:p>
            <w:pPr>
              <w:jc w:val="center"/>
            </w:pPr>
            <w:r>
              <w:rPr>
                <w:b w:val="false"/>
                <w:bCs w:val="false"/>
                <w:color w:val="000000"/>
                <w:sz w:val="19"/>
                <w:szCs w:val="19"/>
              </w:rPr>
              <w:t xml:space="preserve">34.2M</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~68,800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50"/>
      </w:tblGrid>
      <w:tr>
        <w:trPr>
          <w:tblHeader/>
        </w:trPr>
        <w:tc>
          <w:tcPr>
            <w:tcW w:type="dxa" w:w="3400"/>
            <w:shd w:fill="2F2F2F" w:val="clear"/>
            <w:tcMar>
              <w:top w:type="dxa" w:w="60"/>
              <w:left w:type="dxa" w:w="100"/>
              <w:bottom w:type="dxa" w:w="60"/>
              <w:right w:type="dxa" w:w="100"/>
            </w:tcMar>
            <w:vAlign w:val="center"/>
          </w:tcPr>
          <w:p>
            <w:pPr>
              <w:jc w:val="left"/>
            </w:pPr>
            <w:r>
              <w:rPr>
                <w:b/>
                <w:bCs/>
                <w:color w:val="FFFFFF"/>
                <w:sz w:val="19"/>
                <w:szCs w:val="19"/>
              </w:rPr>
              <w:t xml:space="preserve">Potential supply source</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2025 Sales</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2025 Units</w:t>
            </w:r>
          </w:p>
        </w:tc>
        <w:tc>
          <w:tcPr>
            <w:tcW w:type="dxa" w:w="27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FW27 confirm-or-exit list (211 franchises, Item 3)</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87.4M</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~149,855</w:t>
            </w:r>
          </w:p>
        </w:tc>
        <w:tc>
          <w:tcPr>
            <w:tcW w:type="dxa" w:w="2750"/>
            <w:tcMar>
              <w:top w:type="dxa" w:w="60"/>
              <w:left w:type="dxa" w:w="100"/>
              <w:bottom w:type="dxa" w:w="60"/>
              <w:right w:type="dxa" w:w="100"/>
            </w:tcMar>
            <w:vAlign w:val="center"/>
          </w:tcPr>
          <w:p>
            <w:pPr>
              <w:jc w:val="center"/>
            </w:pPr>
            <w:r>
              <w:rPr>
                <w:b w:val="false"/>
                <w:bCs w:val="false"/>
                <w:color w:val="000000"/>
                <w:sz w:val="19"/>
                <w:szCs w:val="19"/>
              </w:rPr>
              <w:t xml:space="preserve">Most decision-ready 'no longer has a core-channel home' pool</w:t>
            </w:r>
          </w:p>
        </w:tc>
      </w:tr>
      <w:tr>
        <w:tc>
          <w:tcPr>
            <w:tcW w:type="dxa" w:w="3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Harvest tier — YoY unit decline alone</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−147,906</w:t>
            </w:r>
          </w:p>
        </w:tc>
        <w:tc>
          <w:tcPr>
            <w:tcW w:type="dxa" w:w="2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331,320 units (2024) → 183,414 (2025) — volume shed even among franchises staying in the assortment</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Problem Child tier (total)</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94.8M</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~97,929</w:t>
            </w:r>
          </w:p>
        </w:tc>
        <w:tc>
          <w:tcPr>
            <w:tcW w:type="dxa" w:w="2750"/>
            <w:tcMar>
              <w:top w:type="dxa" w:w="60"/>
              <w:left w:type="dxa" w:w="100"/>
              <w:bottom w:type="dxa" w:w="60"/>
              <w:right w:type="dxa" w:w="100"/>
            </w:tcMar>
            <w:vAlign w:val="center"/>
          </w:tcPr>
          <w:p>
            <w:pPr>
              <w:jc w:val="center"/>
            </w:pPr>
            <w:r>
              <w:rPr>
                <w:b w:val="false"/>
                <w:bCs w:val="false"/>
                <w:color w:val="000000"/>
                <w:sz w:val="19"/>
                <w:szCs w:val="19"/>
              </w:rPr>
              <w:t xml:space="preserve">Candidates if pricing/cost fixes (Item 3, Section 6) don't work</w:t>
            </w:r>
          </w:p>
        </w:tc>
      </w:tr>
    </w:tbl>
    <w:p>
      <w:pPr>
        <w:pBdr>
          <w:left w:val="single" w:color="3C8A4C" w:sz="18"/>
        </w:pBdr>
        <w:shd w:fill="EAF3EA" w:val="clear"/>
        <w:spacing w:after="120" w:before="100"/>
        <w:ind w:left="150" w:right="100"/>
      </w:pPr>
      <w:r>
        <w:rPr>
          <w:b/>
          <w:bCs/>
          <w:color w:val="1F5C2E"/>
        </w:rPr>
        <w:t xml:space="preserve">DATA SHOWS: </w:t>
      </w:r>
      <w:r>
        <w:t xml:space="preserve">On a pure volume basis, supply looks ample, not scarce: existing outlet appetite (~125K units) plus new-store incremental appetite (~69K units) is ~194K units/year at full ramp (~2029); the FW27 gap list alone (~150K units) and Harvest's YoY unit loss alone (~148K units) are each close to or above the incremental need. The open question is not volume — it's whether this specific product is desirable enough to sell even at outlet prices, and whether it becomes available on the same timeline the stores open.</w:t>
      </w:r>
    </w:p>
    <w:p>
      <w:pPr>
        <w:pBdr>
          <w:left w:val="single" w:color="C97A1A" w:sz="18"/>
        </w:pBdr>
        <w:shd w:fill="FCEFDC" w:val="clear"/>
        <w:spacing w:after="120" w:before="100"/>
        <w:ind w:left="150" w:right="100"/>
      </w:pPr>
      <w:r>
        <w:rPr>
          <w:b/>
          <w:bCs/>
          <w:color w:val="8A4B00"/>
        </w:rPr>
        <w:t xml:space="preserve">NOT ANSWERABLE FROM DATA — ASK: </w:t>
      </w:r>
      <w:r>
        <w:t xml:space="preserve">Is there an actual inventory/aging report (units in stock, by season, by write-down status) that could replace this sales-decline proxy with a real stock count? Owner: whoever owns inventory/supply-chain planning.</w:t>
      </w:r>
    </w:p>
    <w:p>
      <w:pPr>
        <w:pBdr>
          <w:left w:val="single" w:color="C97A1A" w:sz="18"/>
        </w:pBdr>
        <w:shd w:fill="FCEFDC" w:val="clear"/>
        <w:spacing w:after="120" w:before="100"/>
        <w:ind w:left="150" w:right="100"/>
      </w:pPr>
      <w:r>
        <w:rPr>
          <w:b/>
          <w:bCs/>
          <w:color w:val="8A4B00"/>
        </w:rPr>
        <w:t xml:space="preserve">NOT ANSWERABLE FROM DATA — ASK: </w:t>
      </w:r>
      <w:r>
        <w:t xml:space="preserve">Are FW27 production/buy quantities already committed at prior-season volumes? If so, the real 'excess to be outlet-cleared' could be larger than the sales-decline figures here suggest, since a buy commitment doesn't shrink just because demand did. Owner: CPO / Sourcing.</w:t>
      </w:r>
    </w:p>
    <w:p>
      <w:pPr>
        <w:pBdr>
          <w:left w:val="single" w:color="C97A1A" w:sz="18"/>
        </w:pBdr>
        <w:shd w:fill="FCEFDC" w:val="clear"/>
        <w:spacing w:after="120" w:before="100"/>
        <w:ind w:left="150" w:right="100"/>
      </w:pPr>
      <w:r>
        <w:rPr>
          <w:b/>
          <w:bCs/>
          <w:color w:val="8A4B00"/>
        </w:rPr>
        <w:t xml:space="preserve">NOT ANSWERABLE FROM DATA — ASK: </w:t>
      </w:r>
      <w:r>
        <w:t xml:space="preserve">What is the actual sqm/rack capacity planned for Pandorf and Outlet UK? Needed to convert the ~69K-unit indicative demand into a real store-level stock and replenishment plan. Owner: Retail Expansion / store design lead.</w:t>
      </w:r>
    </w:p>
    <w:p>
      <w:pPr>
        <w:pBdr>
          <w:left w:val="single" w:color="C97A1A" w:sz="18"/>
        </w:pBdr>
        <w:shd w:fill="FCEFDC" w:val="clear"/>
        <w:spacing w:after="120" w:before="100"/>
        <w:ind w:left="150" w:right="100"/>
      </w:pPr>
      <w:r>
        <w:rPr>
          <w:b/>
          <w:bCs/>
          <w:color w:val="8A4B00"/>
        </w:rPr>
        <w:t xml:space="preserve">NOT ANSWERABLE FROM DATA — ASK: </w:t>
      </w:r>
      <w:r>
        <w:t xml:space="preserve">Can the Retail sales system be tagged with a store-level identifier going forward, so brand-store and owned-outlet performance can be split? Without it, every future review of the own-outlet strategy will face the same limitation this note does. Owner: whoever owns the Retail POS/sales-system data structure.</w:t>
      </w:r>
    </w:p>
    <w:p>
      <w:r>
        <w:br w:type="page"/>
      </w:r>
    </w:p>
    <w:p>
      <w:pPr>
        <w:pStyle w:val="Heading1"/>
        <w:spacing w:after="160" w:before="320"/>
      </w:pPr>
      <w:r>
        <w:t xml:space="preserve">7. 2026 YTD check-in: Germany looks less Zalando-dependent, Austria still shows no footprint</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A 2026 YTD sales extract (as of 2026-07-28) arrived after this note was written. Caveat: neither this file nor the FY2024/2025 extracts have a date field, so the comparison period can't be matched exactly -- this cut covers an estimated 40-44% of a year, cross-checked against the P&amp;L's YTD columns. Every year in this data has shown its own one-off distortions, so treat annualized figures below as a directional read, not a confirmed full-year number.</w:t>
      </w:r>
    </w:p>
    <w:p>
      <w:pPr>
        <w:pStyle w:val="Heading2"/>
        <w:spacing w:after="120" w:before="240"/>
      </w:pPr>
      <w:r>
        <w:t xml:space="preserve">7.1 Germany: the Zalando-anchoring risk flagged in Section 4 has eased, not worsened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50"/>
      </w:tblGrid>
      <w:tr>
        <w:trPr>
          <w:tblHeader/>
        </w:trPr>
        <w:tc>
          <w:tcPr>
            <w:tcW w:type="dxa" w:w="4200"/>
            <w:shd w:fill="2F2F2F" w:val="clear"/>
            <w:tcMar>
              <w:top w:type="dxa" w:w="60"/>
              <w:left w:type="dxa" w:w="100"/>
              <w:bottom w:type="dxa" w:w="60"/>
              <w:right w:type="dxa" w:w="100"/>
            </w:tcMar>
            <w:vAlign w:val="center"/>
          </w:tcPr>
          <w:p>
            <w:pPr>
              <w:jc w:val="left"/>
            </w:pPr>
            <w:r>
              <w:rPr>
                <w:b/>
                <w:bCs/>
                <w:color w:val="FFFFFF"/>
                <w:sz w:val="19"/>
                <w:szCs w:val="19"/>
              </w:rPr>
              <w:t xml:space="preserve">Germany Wholesale</w:t>
            </w:r>
          </w:p>
        </w:tc>
        <w:tc>
          <w:tcPr>
            <w:tcW w:type="dxa" w:w="2600"/>
            <w:shd w:fill="2F2F2F" w:val="clear"/>
            <w:tcMar>
              <w:top w:type="dxa" w:w="60"/>
              <w:left w:type="dxa" w:w="100"/>
              <w:bottom w:type="dxa" w:w="60"/>
              <w:right w:type="dxa" w:w="100"/>
            </w:tcMar>
            <w:vAlign w:val="center"/>
          </w:tcPr>
          <w:p>
            <w:pPr>
              <w:jc w:val="center"/>
            </w:pPr>
            <w:r>
              <w:rPr>
                <w:b/>
                <w:bCs/>
                <w:color w:val="FFFFFF"/>
                <w:sz w:val="19"/>
                <w:szCs w:val="19"/>
              </w:rPr>
              <w:t xml:space="preserve">FY2025 (full year)</w:t>
            </w:r>
          </w:p>
        </w:tc>
        <w:tc>
          <w:tcPr>
            <w:tcW w:type="dxa" w:w="2550"/>
            <w:shd w:fill="2F2F2F" w:val="clear"/>
            <w:tcMar>
              <w:top w:type="dxa" w:w="60"/>
              <w:left w:type="dxa" w:w="100"/>
              <w:bottom w:type="dxa" w:w="60"/>
              <w:right w:type="dxa" w:w="100"/>
            </w:tcMar>
            <w:vAlign w:val="center"/>
          </w:tcPr>
          <w:p>
            <w:pPr>
              <w:jc w:val="center"/>
            </w:pPr>
            <w:r>
              <w:rPr>
                <w:b/>
                <w:bCs/>
                <w:color w:val="FFFFFF"/>
                <w:sz w:val="19"/>
                <w:szCs w:val="19"/>
              </w:rPr>
              <w:t xml:space="preserve">YTD2026</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Zalando</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52.5M (63.0%)</w:t>
            </w:r>
          </w:p>
        </w:tc>
        <w:tc>
          <w:tcPr>
            <w:tcW w:type="dxa" w:w="2550"/>
            <w:tcMar>
              <w:top w:type="dxa" w:w="60"/>
              <w:left w:type="dxa" w:w="100"/>
              <w:bottom w:type="dxa" w:w="60"/>
              <w:right w:type="dxa" w:w="100"/>
            </w:tcMar>
            <w:vAlign w:val="center"/>
          </w:tcPr>
          <w:p>
            <w:pPr>
              <w:jc w:val="center"/>
            </w:pPr>
            <w:r>
              <w:rPr>
                <w:b w:val="false"/>
                <w:bCs w:val="false"/>
                <w:color w:val="000000"/>
                <w:sz w:val="19"/>
                <w:szCs w:val="19"/>
              </w:rPr>
              <w:t xml:space="preserve">20.9M (56.3%)</w:t>
            </w:r>
          </w:p>
        </w:tc>
      </w:tr>
      <w:tr>
        <w:tc>
          <w:tcPr>
            <w:tcW w:type="dxa" w:w="4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Independent Wholesale, ex-Zalando</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30.7M (37.0%)</w:t>
            </w:r>
          </w:p>
        </w:tc>
        <w:tc>
          <w:tcPr>
            <w:tcW w:type="dxa" w:w="2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16.2M (43.7%)</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Total German Wholesale</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83.3M</w:t>
            </w:r>
          </w:p>
        </w:tc>
        <w:tc>
          <w:tcPr>
            <w:tcW w:type="dxa" w:w="2550"/>
            <w:tcMar>
              <w:top w:type="dxa" w:w="60"/>
              <w:left w:type="dxa" w:w="100"/>
              <w:bottom w:type="dxa" w:w="60"/>
              <w:right w:type="dxa" w:w="100"/>
            </w:tcMar>
            <w:vAlign w:val="center"/>
          </w:tcPr>
          <w:p>
            <w:pPr>
              <w:jc w:val="center"/>
            </w:pPr>
            <w:r>
              <w:rPr>
                <w:b w:val="false"/>
                <w:bCs w:val="false"/>
                <w:color w:val="000000"/>
                <w:sz w:val="19"/>
                <w:szCs w:val="19"/>
              </w:rPr>
              <w:t xml:space="preserve">37.0M</w:t>
            </w:r>
          </w:p>
        </w:tc>
      </w:tr>
    </w:tbl>
    <w:p>
      <w:pPr>
        <w:pBdr>
          <w:left w:val="single" w:color="3C8A4C" w:sz="18"/>
        </w:pBdr>
        <w:shd w:fill="EAF3EA" w:val="clear"/>
        <w:spacing w:after="120" w:before="100"/>
        <w:ind w:left="150" w:right="100"/>
      </w:pPr>
      <w:r>
        <w:rPr>
          <w:b/>
          <w:bCs/>
          <w:color w:val="1F5C2E"/>
        </w:rPr>
        <w:t xml:space="preserve">DATA SHOWS: </w:t>
      </w:r>
      <w:r>
        <w:t xml:space="preserve">Zalando's share of German Wholesale is down from 63.0% (FY2025) to 56.3% (YTD2026) -- the discount-anchoring concentration Section 4 flagged as a risk to the München/Hamburg case has eased this year, not worsened. More directly useful: the independent, non-Zalando run-rate (16.2M SEK over an estimated 40-44% of the year) annualizes to roughly 36.7M-40.4M SEK, which is already tracking at or above FY2025's full-year independent total of 30.7M. If this holds, the 'genuine demand, not discount-inflated' base this note asked for in Question 3 may be stronger than the original framing worried -- though a single partial year, with no date-matching, is not enough to call the München/Hamburg case resolved.</w:t>
      </w:r>
    </w:p>
    <w:p>
      <w:pPr>
        <w:spacing w:after="200"/>
      </w:pPr>
      <w:r>
        <w:rPr>
          <w:i/>
          <w:iCs/>
          <w:color w:val="555555"/>
          <w:sz w:val="18"/>
          <w:szCs w:val="18"/>
        </w:rPr>
        <w:t xml:space="preserve">Zalando identified by Customer Group = 'ZALANDO' within Germany/Wholesale; all other Germany/Wholesale customer groups treated as independent. Annualization assumes the YTD window is representative of the full year, which the calloutBox caveat above says not to over-trust.</w:t>
      </w:r>
    </w:p>
    <w:p>
      <w:pPr>
        <w:pStyle w:val="Heading2"/>
        <w:spacing w:after="120" w:before="240"/>
      </w:pPr>
      <w:r>
        <w:t xml:space="preserve">7.2 Austria: still zero Wholesale and Retail activity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50"/>
      </w:tblGrid>
      <w:tr>
        <w:trPr>
          <w:tblHeader/>
        </w:trPr>
        <w:tc>
          <w:tcPr>
            <w:tcW w:type="dxa" w:w="4200"/>
            <w:shd w:fill="2F2F2F" w:val="clear"/>
            <w:tcMar>
              <w:top w:type="dxa" w:w="60"/>
              <w:left w:type="dxa" w:w="100"/>
              <w:bottom w:type="dxa" w:w="60"/>
              <w:right w:type="dxa" w:w="100"/>
            </w:tcMar>
            <w:vAlign w:val="center"/>
          </w:tcPr>
          <w:p>
            <w:pPr>
              <w:jc w:val="left"/>
            </w:pPr>
            <w:r>
              <w:rPr>
                <w:b/>
                <w:bCs/>
                <w:color w:val="FFFFFF"/>
                <w:sz w:val="19"/>
                <w:szCs w:val="19"/>
              </w:rPr>
              <w:t xml:space="preserve">Austria, all channels</w:t>
            </w:r>
          </w:p>
        </w:tc>
        <w:tc>
          <w:tcPr>
            <w:tcW w:type="dxa" w:w="2600"/>
            <w:shd w:fill="2F2F2F" w:val="clear"/>
            <w:tcMar>
              <w:top w:type="dxa" w:w="60"/>
              <w:left w:type="dxa" w:w="100"/>
              <w:bottom w:type="dxa" w:w="60"/>
              <w:right w:type="dxa" w:w="100"/>
            </w:tcMar>
            <w:vAlign w:val="center"/>
          </w:tcPr>
          <w:p>
            <w:pPr>
              <w:jc w:val="center"/>
            </w:pPr>
            <w:r>
              <w:rPr>
                <w:b/>
                <w:bCs/>
                <w:color w:val="FFFFFF"/>
                <w:sz w:val="19"/>
                <w:szCs w:val="19"/>
              </w:rPr>
              <w:t xml:space="preserve">FY2025 (full year)</w:t>
            </w:r>
          </w:p>
        </w:tc>
        <w:tc>
          <w:tcPr>
            <w:tcW w:type="dxa" w:w="2550"/>
            <w:shd w:fill="2F2F2F" w:val="clear"/>
            <w:tcMar>
              <w:top w:type="dxa" w:w="60"/>
              <w:left w:type="dxa" w:w="100"/>
              <w:bottom w:type="dxa" w:w="60"/>
              <w:right w:type="dxa" w:w="100"/>
            </w:tcMar>
            <w:vAlign w:val="center"/>
          </w:tcPr>
          <w:p>
            <w:pPr>
              <w:jc w:val="center"/>
            </w:pPr>
            <w:r>
              <w:rPr>
                <w:b/>
                <w:bCs/>
                <w:color w:val="FFFFFF"/>
                <w:sz w:val="19"/>
                <w:szCs w:val="19"/>
              </w:rPr>
              <w:t xml:space="preserve">YTD2026</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Wholesale</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0 -- no accounts</w:t>
            </w:r>
          </w:p>
        </w:tc>
        <w:tc>
          <w:tcPr>
            <w:tcW w:type="dxa" w:w="2550"/>
            <w:tcMar>
              <w:top w:type="dxa" w:w="60"/>
              <w:left w:type="dxa" w:w="100"/>
              <w:bottom w:type="dxa" w:w="60"/>
              <w:right w:type="dxa" w:w="100"/>
            </w:tcMar>
            <w:vAlign w:val="center"/>
          </w:tcPr>
          <w:p>
            <w:pPr>
              <w:jc w:val="center"/>
            </w:pPr>
            <w:r>
              <w:rPr>
                <w:b w:val="false"/>
                <w:bCs w:val="false"/>
                <w:color w:val="000000"/>
                <w:sz w:val="19"/>
                <w:szCs w:val="19"/>
              </w:rPr>
              <w:t xml:space="preserve">0 -- no accounts</w:t>
            </w:r>
          </w:p>
        </w:tc>
      </w:tr>
      <w:tr>
        <w:tc>
          <w:tcPr>
            <w:tcW w:type="dxa" w:w="4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Retail</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0 -- no accounts open yet</w:t>
            </w:r>
          </w:p>
        </w:tc>
        <w:tc>
          <w:tcPr>
            <w:tcW w:type="dxa" w:w="2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0 -- no accounts open yet</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0.93M SEK / 606 units</w:t>
            </w:r>
          </w:p>
        </w:tc>
        <w:tc>
          <w:tcPr>
            <w:tcW w:type="dxa" w:w="2550"/>
            <w:tcMar>
              <w:top w:type="dxa" w:w="60"/>
              <w:left w:type="dxa" w:w="100"/>
              <w:bottom w:type="dxa" w:w="60"/>
              <w:right w:type="dxa" w:w="100"/>
            </w:tcMar>
            <w:vAlign w:val="center"/>
          </w:tcPr>
          <w:p>
            <w:pPr>
              <w:jc w:val="center"/>
            </w:pPr>
            <w:r>
              <w:rPr>
                <w:b w:val="false"/>
                <w:bCs w:val="false"/>
                <w:color w:val="000000"/>
                <w:sz w:val="19"/>
                <w:szCs w:val="19"/>
              </w:rPr>
              <w:t xml:space="preserve">0.46M SEK / 390 units</w:t>
            </w:r>
          </w:p>
        </w:tc>
      </w:tr>
    </w:tbl>
    <w:p>
      <w:pPr>
        <w:pBdr>
          <w:left w:val="single" w:color="B23A3A" w:sz="18"/>
        </w:pBdr>
        <w:shd w:fill="FBE7E7" w:val="clear"/>
        <w:spacing w:after="120" w:before="100"/>
        <w:ind w:left="150" w:right="100"/>
      </w:pPr>
      <w:r>
        <w:rPr>
          <w:b/>
          <w:bCs/>
          <w:color w:val="7A1F1F"/>
        </w:rPr>
        <w:t xml:space="preserve">METHODOLOGY FLAG: </w:t>
      </w:r>
      <w:r>
        <w:t xml:space="preserve">The zero-Wholesale-footprint concern behind open Question 2 (the basis for a 5-store Austria commitment) is unchanged in the new data -- still no Wholesale accounts, and E-com remains the only channel with any Austria activity at all. Innsbruck, the first Austria store in the roster, is scheduled to open in 2026; this extract shows no new store-format sales in Austria, which either means it hasn't opened yet or that its sales aren't yet distinguishable in this data (Section 5's account-code gap would also hide this).</w:t>
      </w:r>
    </w:p>
    <w:p>
      <w:pPr>
        <w:pBdr>
          <w:left w:val="single" w:color="C97A1A" w:sz="18"/>
        </w:pBdr>
        <w:shd w:fill="FCEFDC" w:val="clear"/>
        <w:spacing w:after="120" w:before="100"/>
        <w:ind w:left="150" w:right="100"/>
      </w:pPr>
      <w:r>
        <w:rPr>
          <w:b/>
          <w:bCs/>
          <w:color w:val="8A4B00"/>
        </w:rPr>
        <w:t xml:space="preserve">NOT ANSWERABLE FROM DATA — ASK: </w:t>
      </w:r>
      <w:r>
        <w:t xml:space="preserve">Has the Innsbruck store actually opened in 2026 as planned? If yes, why does no store-format sales activity show up for Austria in this YTD extract -- is it an account-coding gap (per Section 5) or a genuine opening-timeline slip? If no, does that change how urgently Question 2 (the basis for the Austria commitment) needs answering before the workshop? Owner: Retail Expansion / Real Estate lead.</w:t>
      </w:r>
    </w:p>
    <w:p>
      <w:r>
        <w:br w:type="page"/>
      </w:r>
    </w:p>
    <w:p>
      <w:pPr>
        <w:pStyle w:val="Heading1"/>
        <w:spacing w:after="160" w:before="320"/>
      </w:pPr>
      <w:r>
        <w:t xml:space="preserve">8. Consolidated open questions for the workshop</w:t>
      </w:r>
    </w:p>
    <w:p>
      <w:pPr>
        <w:spacing w:after="160"/>
      </w:pPr>
      <w:r>
        <w:t xml:space="preserve">This is the primary output of this note, per your steer that Item 4 has more open questions than resolved answers at this stage. Recommend routing these to named owners before treating Item 4 as a sized bridge lever.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650"/>
        <w:gridCol w:w="23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6650"/>
            <w:shd w:fill="2F2F2F" w:val="clear"/>
            <w:tcMar>
              <w:top w:type="dxa" w:w="60"/>
              <w:left w:type="dxa" w:w="100"/>
              <w:bottom w:type="dxa" w:w="60"/>
              <w:right w:type="dxa" w:w="100"/>
            </w:tcMar>
            <w:vAlign w:val="center"/>
          </w:tcPr>
          <w:p>
            <w:pPr>
              <w:jc w:val="center"/>
            </w:pPr>
            <w:r>
              <w:rPr>
                <w:b/>
                <w:bCs/>
                <w:color w:val="FFFFFF"/>
                <w:sz w:val="19"/>
                <w:szCs w:val="19"/>
              </w:rPr>
              <w:t xml:space="preserve">Question</w:t>
            </w:r>
          </w:p>
        </w:tc>
        <w:tc>
          <w:tcPr>
            <w:tcW w:type="dxa" w:w="2300"/>
            <w:shd w:fill="2F2F2F" w:val="clear"/>
            <w:tcMar>
              <w:top w:type="dxa" w:w="60"/>
              <w:left w:type="dxa" w:w="100"/>
              <w:bottom w:type="dxa" w:w="60"/>
              <w:right w:type="dxa" w:w="100"/>
            </w:tcMar>
            <w:vAlign w:val="center"/>
          </w:tcPr>
          <w:p>
            <w:pPr>
              <w:jc w:val="center"/>
            </w:pPr>
            <w:r>
              <w:rPr>
                <w:b/>
                <w:bCs/>
                <w:color w:val="FFFFFF"/>
                <w:sz w:val="19"/>
                <w:szCs w:val="19"/>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Is the 2030-2032 new-store payoff horizon (vs. the 2026-2029 MTP window) an accepted capital-patience decision, and has it been made explicitly?</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CEO / PE ownership</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What is the basis for the Austria commitment (5 stores) given zero existing Wholesale presence and the weakest E-com base of any target market?</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Retail Expansion / Real Estate lead</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Is the München/Hamburg case built on Germany's Zalando-inflated Wholesale trend or the smaller, genuinely strong E-com base?</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Wholesale Director / German store business case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For UK/Norway — is the Wholesale collapse a genuine channel-shift (supports stores) or a distribution-specific problem (a store won't fix it)?</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What are the Helsinki Brand Store / Helsinki Outlet Village / Intercompany NO OL Store account codes, and why aren't they on the MTP roster?</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Retail store master data / Real Estate lead</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there a real inventory/aging report to replace the sales-decline proxy used here for outlet-supply sizing?</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Inventory / Supply Chain planning 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Are FW27 buy/production quantities already committed at prior-season volumes, implying more excess stock than the sales data alone shows?</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CPO / Sourcing</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What is the actual sqm/rack capacity for Pandorf and Outlet UK, to convert indicative run-rate into a real stock/replenishment plan?</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Retail Expansion / store design lead</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9</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Does the 56.8M SEK combined capex compete with other capital asks already identified in this bridge (e.g., pricing/cost fixes in Item 3), and how is it funded?</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CFO</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10</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 retail expansion plan predicated on the current, eroding pricing trend (Item 2) or does it assume a pricing-strategy shift (RRP increase) that hasn't otherwise been discussed?</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CEO / Merchandising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11</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Can we get store-level ramp-curve data (Year 1/2/3 actuals for stores already open, e.g. Helsinki if it exists) so the 2032 figures can be normalized to a common maturity year instead of compared as a raw snapshot?</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Retail Expansion / FP&amp;A</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12</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Copenhagen (1.6% EBIT margin at 2032, 20-year payback even inside its own 2028 cohort) still worth opening as planned, or should it be re-scoped, re-negotiated, or dropped from the roster?</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CEO / Retail Expansion lead</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13</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Given Germany's Wholesale growth is now ~2.5x concentrated in the discounted Zalando channel while independent full-price accounts shrink -19%, should the München/Hamburg case be stress-tested on the independent-account trend alone, and is there a risk the same discount-anchoring dynamic follows into the new stores' local market?</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Wholesale Director / German store business case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14</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Can the Retail sales system be tagged with a store-level identifier going forward, so brand-store and owned-outlet performance can be tracked and split separately once stores open?</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Retail POS / sales-system data 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15</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Has the Innsbruck store opened in 2026 as planned -- and if it has, why does no store-format sales activity show up for Austria in the YTD2026 extract (Section 7.2)?</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Retail Expansion / Real Estate lead</w:t>
            </w:r>
          </w:p>
        </w:tc>
      </w:tr>
    </w:tbl>
    <w:p>
      <w:pPr>
        <w:pStyle w:val="Heading1"/>
        <w:spacing w:after="160" w:before="320"/>
      </w:pPr>
      <w:r>
        <w:t xml:space="preserve">9. Recommended path before this becomes a sized lever</w:t>
      </w:r>
    </w:p>
    <w:p>
      <w:pPr>
        <w:pStyle w:val="ListParagraph"/>
        <w:numPr>
          <w:ilvl w:val="0"/>
          <w:numId w:val="2"/>
        </w:numPr>
        <w:spacing w:after="80"/>
      </w:pPr>
      <w:r>
        <w:t xml:space="preserve">Reconcile the Helsinki/NO OL account-code discrepancy first — it's a fast, factual check (Question 5) and will clarify whether the roster in front of the workshop is current.</w:t>
      </w:r>
    </w:p>
    <w:p>
      <w:pPr>
        <w:pStyle w:val="ListParagraph"/>
        <w:numPr>
          <w:ilvl w:val="0"/>
          <w:numId w:val="2"/>
        </w:numPr>
        <w:spacing w:after="80"/>
      </w:pPr>
      <w:r>
        <w:t xml:space="preserve">Get a direct answer on the Austria rationale (Question 2) before the workshop, given it's the single largest country bet sitting on the thinnest data support of any market in the plan.</w:t>
      </w:r>
    </w:p>
    <w:p>
      <w:pPr>
        <w:pStyle w:val="ListParagraph"/>
        <w:numPr>
          <w:ilvl w:val="0"/>
          <w:numId w:val="2"/>
        </w:numPr>
        <w:spacing w:after="80"/>
      </w:pPr>
      <w:r>
        <w:t xml:space="preserve">Separate the Germany case explicitly into 'Zalando-driven' vs. 'genuine' demand (Question 3, Question 13) so the München/Hamburg decision isn't made on an inflated number, and stress-test it against the risk that Zalando-level discount expectations follow shoppers into the new stores' local market.</w:t>
      </w:r>
    </w:p>
    <w:p>
      <w:pPr>
        <w:pStyle w:val="ListParagraph"/>
        <w:numPr>
          <w:ilvl w:val="0"/>
          <w:numId w:val="2"/>
        </w:numPr>
        <w:spacing w:after="80"/>
      </w:pPr>
      <w:r>
        <w:t xml:space="preserve">Treat outlet-strategy sizing (Section 6) as directional only until real inventory/buy-plan data (Questions 6-7) is available — the volume conclusion here (supply looks ample) is a reasonable working assumption, not a confirmed fact.</w:t>
      </w:r>
    </w:p>
    <w:p>
      <w:pPr>
        <w:pStyle w:val="ListParagraph"/>
        <w:numPr>
          <w:ilvl w:val="0"/>
          <w:numId w:val="2"/>
        </w:numPr>
        <w:spacing w:after="80"/>
      </w:pPr>
      <w:r>
        <w:t xml:space="preserve">Before citing any store's 2032 payback figure again, get ramp-curve data (Question 11) to normalize across vintages — as it stands, Innsbruck's apparent best-in-roster payback and Oslo/London's apparent worst are partly a function of how many years each has had to mature by 2032, not just site quality (Section 3.4).</w:t>
      </w:r>
    </w:p>
    <w:p>
      <w:pPr>
        <w:pStyle w:val="ListParagraph"/>
        <w:numPr>
          <w:ilvl w:val="0"/>
          <w:numId w:val="2"/>
        </w:numPr>
        <w:spacing w:after="80"/>
      </w:pPr>
      <w:r>
        <w:t xml:space="preserve">Copenhagen (Question 12) should be resolved before the workshop, not raised as an open question at it — it is the one store in the roster whose weak economics hold up even after controlling for vintage.</w:t>
      </w:r>
    </w:p>
    <w:p>
      <w:pPr>
        <w:pStyle w:val="ListParagraph"/>
        <w:numPr>
          <w:ilvl w:val="0"/>
          <w:numId w:val="2"/>
        </w:numPr>
        <w:spacing w:after="80"/>
      </w:pPr>
      <w:r>
        <w:t xml:space="preserve">Everything else in Section 8 is a genuine open question worth raising at the workshop, but not a blocker to discussing the plan's overall shape and strategic logic.</w:t>
      </w:r>
    </w:p>
    <w:p>
      <w:pPr>
        <w:pStyle w:val="ListParagraph"/>
        <w:numPr>
          <w:ilvl w:val="0"/>
          <w:numId w:val="2"/>
        </w:numPr>
        <w:spacing w:after="80"/>
      </w:pPr>
      <w:r>
        <w:t xml:space="preserve">New this round — get a direct status check on whether Innsbruck has opened (Question 15); it's a fast factual check that either resolves or sharpens the Austria question before the workshop.</w:t>
      </w:r>
    </w:p>
    <w:p>
      <w:pPr>
        <w:pStyle w:val="Heading1"/>
        <w:spacing w:after="160" w:before="320"/>
      </w:pPr>
      <w:r>
        <w:t xml:space="preserve">10. Backup data</w:t>
      </w:r>
    </w:p>
    <w:p>
      <w:pPr>
        <w:pStyle w:val="ListParagraph"/>
        <w:numPr>
          <w:ilvl w:val="0"/>
          <w:numId w:val="2"/>
        </w:numPr>
        <w:spacing w:after="80"/>
      </w:pPr>
      <w:r>
        <w:t xml:space="preserve">bob_item4_retail_expansion_backup.xlsx — consolidated backup: the 16-store MTP roster (transcribed), country roll-up, market-indicator table (Wholesale/E-com by country), layer mix by market, Austria account detail, the three unreconciled store account codes, the Zalando/Stadium outlet benchmark, and the outlet supply-sizing summary. Now also includes a 'YTD2026 Germany &amp; Austria' sheet, the basis for Section 7.</w:t>
      </w:r>
    </w:p>
    <w:p>
      <w:pPr>
        <w:pStyle w:val="ListParagraph"/>
        <w:numPr>
          <w:ilvl w:val="0"/>
          <w:numId w:val="2"/>
        </w:numPr>
        <w:spacing w:after="80"/>
      </w:pPr>
      <w:r>
        <w:t xml:space="preserve">bob_salesdata_YTD2026.xlsx — the raw 2026 YTD extract behind Section 7.</w:t>
      </w:r>
    </w:p>
    <w:p>
      <w:pPr>
        <w:pStyle w:val="ListParagraph"/>
        <w:numPr>
          <w:ilvl w:val="0"/>
          <w:numId w:val="2"/>
        </w:numPr>
        <w:spacing w:after="80"/>
      </w:pPr>
      <w:r>
        <w:t xml:space="preserve">New this round — 'Store Payback - Capex vs EBIT' sheet: all 16 stores ranked by Capex-to-EBIT payback and ROIC instead of Capex-to-Sales.</w:t>
      </w:r>
    </w:p>
    <w:p>
      <w:pPr>
        <w:pStyle w:val="ListParagraph"/>
        <w:numPr>
          <w:ilvl w:val="0"/>
          <w:numId w:val="2"/>
        </w:numPr>
        <w:spacing w:after="80"/>
      </w:pPr>
      <w:r>
        <w:t xml:space="preserve">New this round — 'Vintage Cohort Check' sheet: average EBIT margin and payback by store opening-year cohort, the basis for the 0.71 vintage-vs-margin correlation finding in Section 3.4.</w:t>
      </w:r>
    </w:p>
    <w:p>
      <w:pPr>
        <w:pStyle w:val="ListParagraph"/>
        <w:numPr>
          <w:ilvl w:val="0"/>
          <w:numId w:val="2"/>
        </w:numPr>
        <w:spacing w:after="80"/>
      </w:pPr>
      <w:r>
        <w:t xml:space="preserve">New this round — 'Germany Channel Divergence' sheet: Germany's Zalando / Independent Wholesale / Haglöfs own E-com sales, units, ASP and GM%, 2024 vs. 2025, the basis for the Zalando-anchoring flag in Section 4.</w:t>
      </w:r>
    </w:p>
    <w:p>
      <w:pPr>
        <w:pStyle w:val="ListParagraph"/>
        <w:numPr>
          <w:ilvl w:val="0"/>
          <w:numId w:val="2"/>
        </w:numPr>
        <w:spacing w:after="80"/>
      </w:pPr>
      <w:r>
        <w:t xml:space="preserve">New this round — 'Retail Channel Data Gap' sheet: confirms 100% of Retail-channel sales sit under one undifferentiated customer-group code with no store-level identifier, the basis for the own-outlet data-gap note in Section 6.</w:t>
      </w:r>
    </w:p>
    <w:p>
      <w:pPr>
        <w:pStyle w:val="ListParagraph"/>
        <w:numPr>
          <w:ilvl w:val="0"/>
          <w:numId w:val="2"/>
        </w:numPr>
        <w:spacing w:after="80"/>
      </w:pPr>
      <w:r>
        <w:t xml:space="preserve">The two Mid-Term Plan slides ('Mid-Term Plan 2026-2029' and 'Mid-Term Plan 2026-2029 &amp; 2032') provided directly by the CEO are the source for the store roster, capex, and P&amp;L-shape figures in Sections 3 and 6 — not derived from the sales/financial data files.</w:t>
      </w:r>
    </w:p>
    <w:p>
      <w:pPr>
        <w:pStyle w:val="ListParagraph"/>
        <w:numPr>
          <w:ilvl w:val="0"/>
          <w:numId w:val="2"/>
        </w:numPr>
        <w:spacing w:after="80"/>
      </w:pPr>
      <w:r>
        <w:t xml:space="preserve">bob_item3_portfolio_backup.xlsx — source for the FW27 confirm-or-exit list, Harvest tier, and Problem Child tier figures used in Section 6.</w:t>
      </w:r>
    </w:p>
    <w:p>
      <w:pPr>
        <w:pStyle w:val="ListParagraph"/>
        <w:numPr>
          <w:ilvl w:val="0"/>
          <w:numId w:val="2"/>
        </w:numPr>
        <w:spacing w:after="80"/>
      </w:pPr>
      <w:r>
        <w:t xml:space="preserve">All underlying sales-data analysis is reproducible from analysis.py / config.py / load_data.py in the project_bob repository, branch claude/project-bob-data-load-uywk15.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2026-07-28T21:59:02.735Z</dcterms:created>
  <dcterms:modified xsi:type="dcterms:W3CDTF">2026-07-28T21:59:02.737Z</dcterms:modified>
</cp:coreProperties>
</file>

<file path=docProps/custom.xml><?xml version="1.0" encoding="utf-8"?>
<Properties xmlns="http://schemas.openxmlformats.org/officeDocument/2006/custom-properties" xmlns:vt="http://schemas.openxmlformats.org/officeDocument/2006/docPropsVTypes"/>
</file>