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44"/>
          <w:szCs w:val="44"/>
        </w:rPr>
        <w:t xml:space="preserve">Project Bob — 2025→2029 Sales &amp; GM Bridge</w:t>
      </w:r>
    </w:p>
    <w:p>
      <w:pPr>
        <w:spacing w:after="60"/>
      </w:pPr>
      <w:r>
        <w:rPr>
          <w:color w:val="2E5395"/>
          <w:sz w:val="30"/>
          <w:szCs w:val="30"/>
        </w:rPr>
        <w:t xml:space="preserve">The Consolidated Margin Bridge — a Reconciliation, Not a Finished Answer</w:t>
      </w:r>
    </w:p>
    <w:p>
      <w:pPr>
        <w:spacing w:after="40"/>
      </w:pPr>
      <w:r>
        <w:rPr>
          <w:i/>
          <w:iCs/>
          <w:color w:val="666666"/>
          <w:sz w:val="22"/>
          <w:szCs w:val="22"/>
        </w:rPr>
        <w:t xml:space="preserve">Pre-read — workshop preparation working paper</w:t>
      </w:r>
    </w:p>
    <w:p>
      <w:pPr>
        <w:spacing w:after="300"/>
      </w:pPr>
      <w:r>
        <w:rPr>
          <w:color w:val="888888"/>
          <w:sz w:val="20"/>
          <w:szCs w:val="20"/>
        </w:rPr>
        <w:t xml:space="preserve">Prepared for CEO / CPO / investor review, 2026-07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UPDATED this round with three newly-investigated items: channel mix shift, portfolio tier-mix optimization, and base-year normalization. The first two add roughly 3 points of confirmed, countable upside, bringing the quantified total from ~2.8pt to ~5.1pt against the +14.3pt target (39.2% FY2025A -&gt; 53.5% FY2029E) -- still only about a third of the target, leaving a ~9.2pt residual. The base-year investigation (Section 6) did NOT find what was expected (2025 was not depressed by one-off inventory charges -- 2024 was worse there) but found something more useful: a real, unexplained spike in the Direct Cost of Sales ratio specific to FY2025, which the most current 2026 data shows already reversing. That signal is potentially worth +2.5 to +5pt but is deliberately NOT added to the quantified total, because it cannot yet be separated from the XXL mix effect without 2026 article-level data this engagement does not have.</w:t>
      </w:r>
    </w:p>
    <w:p>
      <w:pPr>
        <w:pStyle w:val="Heading1"/>
        <w:spacing w:after="160" w:before="320"/>
      </w:pPr>
      <w:r>
        <w:t xml:space="preserve">1. Purpose and method</w:t>
      </w:r>
    </w:p>
    <w:p>
      <w:pPr>
        <w:spacing w:after="160"/>
      </w:pPr>
      <w:r>
        <w:t xml:space="preserve">Items 1-6 were built as separate, sales-and-channel-focused workstreams; margin was a running thread through most of them but was never assembled into one waterfall. This note does that assembly: every margin-relevant finding across the six items is restated here in a common unit — points of FY2025A company Net Sales (846.3M SEK, per the P&amp;L) — so they can be summed and compared honestly against the stated target. Where a lever's SEK basis does not obviously convert to a company-wide margin point without an assumption, that assumption is stated explicitly rather than hidden in a formula.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Per your direction this turn: COGS/sourcing is noted here as a verification item, not re-analyzed. Item 2 found the Wholesale FW27 cost variance is essentially on-target in aggregate (-0.3%), with two named exceptions (Legwear +15.4%, Sleeping Bags +11.9%) that are real cost overruns, not explained by the general price-realization story. Whether those two exceptions are genuine landed-cost overruns or an FX effect has never been verified against transaction-level data (none exists in the files available) — this remains open, flagged in Section 5.</w:t>
      </w:r>
    </w:p>
    <w:p>
      <w:pPr>
        <w:pStyle w:val="Heading1"/>
        <w:spacing w:after="160" w:before="320"/>
      </w:pPr>
      <w:r>
        <w:t xml:space="preserve">2. The headline reconciliation (updated)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4000"/>
      </w:tblGrid>
      <w:tr>
        <w:trPr>
          <w:tblHeader/>
        </w:trPr>
        <w:tc>
          <w:tcPr>
            <w:tcW w:type="dxa" w:w="5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0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Target: FY2025A -&gt; FY2029E Gross Margin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 -&gt; 53.5% (+14.3pt)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General mix-adjusted price erosion (Item 2), if reversed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+1.89pt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Portfolio tier-mix, moderate scenario (Sec. 5) -- supersedes the old floor-fix-only figure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Reorder margin gap (Item 5), if closed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+0.19pt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 mix shift, grounded to the approved Item 4 store plan (Sec. 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+1.36pt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quantified total (grounded/moderate reading)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~5.1pt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RESIDUAL — still unexplained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~9.2pt (64% of the target)</w:t>
            </w:r>
          </w:p>
        </w:tc>
      </w:tr>
    </w:tbl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Outer-bound context, not additive with the above (alternative aggressive scenarios of overlapping populations): channel mix pushed to 50% Wholesale share would be worth +4.47pt; the entire core portfolio performing at Hero-tier margin would be worth +5.49pt. Neither is a real plan.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Progress, but the majority of the margin bridge is still not backed by named, sized levers. This is not a criticism of Items 1-6 — each was scoped deliberately to answer a specific question, not to build the full bridge — it is the direct, honest result of assembling them and then actively searching for the largest remaining candidates. The workshop should treat the 53.5% target as still substantially unsubstantiated by bottom-up analysis until the ~9.2pt residual is addressed.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3. Every margin lever found so far, in one place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1900"/>
        <w:gridCol w:w="900"/>
        <w:gridCol w:w="1200"/>
        <w:gridCol w:w="2150"/>
      </w:tblGrid>
      <w:tr>
        <w:trPr>
          <w:tblHeader/>
        </w:trPr>
        <w:tc>
          <w:tcPr>
            <w:tcW w:type="dxa" w:w="25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Lever</w:t>
            </w:r>
          </w:p>
        </w:tc>
        <w:tc>
          <w:tcPr>
            <w:tcW w:type="dxa" w:w="7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1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SEK basis</w:t>
            </w:r>
          </w:p>
        </w:tc>
        <w:tc>
          <w:tcPr>
            <w:tcW w:type="dxa" w:w="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Rate gap</w:t>
            </w:r>
          </w:p>
        </w:tc>
        <w:tc>
          <w:tcPr>
            <w:tcW w:type="dxa" w:w="12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 of company sales</w:t>
            </w:r>
          </w:p>
        </w:tc>
        <w:tc>
          <w:tcPr>
            <w:tcW w:type="dxa" w:w="21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FW27 price-realization gap, if fully closed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171.9M (matched carry-over styles)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14.4pt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+2.92pt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GAP SIZE, not achieved. Overlaps with the line below.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General mix-adjusted price erosion, all channels, if reversed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16.0M SEK/yr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+1.89pt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Opportunity. Likely double-counts the Wholesale portion of the row above.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Problem Child 'Core Pricing Fix', brought to 40% GM floor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88.5M (129 franchises, 33.4% GM)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6.6pt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+0.69pt (superseded, see Sec. 5)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Conservative floor-only estimate -- kept for reference, replaced by Sec. 5's moderate scenario in the running total.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Reorder margin brought up to Preorder level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5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71.2M (2025 Reorder sales)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2.2pt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+0.19pt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Small; same underlying Wholesale discounting problem as the two rows above, viewed a third way.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Special-account mix shift, FY24-&gt;FY25 actual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−0.43pt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ALREADY HAPPENED. Mix got worse, not better — a warning sign, not an opportunity, if it continues.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 mix shift (Wholesale -&gt; DTC)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note, Sec. 4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4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4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+1.36pt (grounded) to +4.47pt (aggressive)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this round. Real but smaller than hoped -- see Sec. 4.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Portfolio tier-mix optimization (Problem Child + Thin)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note, Sec. 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 (moderate) to +5.49pt (ceiling)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this round. Moderate reading now used in Section 2's running total.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retail store start-up losses, 2026-2029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4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 — EBIT effect, not GM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unsized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Negative drag on the bridge period. Cannot be expressed in GM-point terms without opex allocation data.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COGS / sourcing: true overrun vs. FX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 / this direction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Legwear +15.4%, Sleeping Bags +11.9% cost overrun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unsized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Flagged for verification only, not sized here, per direction.</w:t>
            </w:r>
          </w:p>
        </w:tc>
      </w:tr>
    </w:tbl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Full detail, including the exact formulas used for each conversion, is in the backup workbook, sheet 'Lever Detail'.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Reading the table honestly: the FW27 gap, the general price-erosion line, and the Reorder-margin line are three different lenses on the SAME underlying problem — Wholesale is discounting more than planned. They should not simply be added together; Section 2 uses the general erosion line as the primary Wholesale-pricing figure to avoid double-counting.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Channel mix shift (Wholesale → DTC) — sized this round</w:t>
      </w:r>
    </w:p>
    <w:p>
      <w:pPr>
        <w:spacing w:after="160"/>
      </w:pPr>
      <w:r>
        <w:t xml:space="preserve">Requested as the first candidate to close the residual. Current (2025) channel-level sales and margin, sales-extract basis, all accounts: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2350"/>
        <w:gridCol w:w="2350"/>
        <w:gridCol w:w="2300"/>
      </w:tblGrid>
      <w:tr>
        <w:trPr>
          <w:tblHeader/>
        </w:trPr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Channel</w:t>
            </w:r>
          </w:p>
        </w:tc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Sales 2025</w:t>
            </w:r>
          </w:p>
        </w:tc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Share</w:t>
            </w:r>
          </w:p>
        </w:tc>
        <w:tc>
          <w:tcPr>
            <w:tcW w:type="dxa" w:w="23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GM%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658.4M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75.1%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36.6%</w:t>
            </w:r>
          </w:p>
        </w:tc>
      </w:tr>
      <w:tr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Retail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123.0M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14.0%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49.0%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E-com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94.1M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10.7%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61.2%</w:t>
            </w:r>
          </w:p>
        </w:tc>
      </w:tr>
      <w:tr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Marketplace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1.6M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0.2%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71.4%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Blended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877.2M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</w:tr>
    </w:tbl>
    <w:p>
      <w:pPr>
        <w:pStyle w:val="Heading2"/>
        <w:spacing w:after="120" w:before="240"/>
      </w:pPr>
      <w:r>
        <w:t xml:space="preserve">4.1 Pure sensitivity — holding each channel's own margin fixed, varying only the mix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50"/>
      </w:tblGrid>
      <w:tr>
        <w:trPr>
          <w:tblHeader/>
        </w:trPr>
        <w:tc>
          <w:tcPr>
            <w:tcW w:type="dxa" w:w="31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Wholesale share</w:t>
            </w:r>
          </w:p>
        </w:tc>
        <w:tc>
          <w:tcPr>
            <w:tcW w:type="dxa" w:w="31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Blended GM%</w:t>
            </w:r>
          </w:p>
        </w:tc>
        <w:tc>
          <w:tcPr>
            <w:tcW w:type="dxa" w:w="31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 vs. 2025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75.1% (current)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41.9%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+0.9pt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65.0%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42.8%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+1.8pt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43.7%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+2.7pt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55.0%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44.6%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+3.6pt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45.5%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+4.5pt</w:t>
            </w:r>
          </w:p>
        </w:tc>
      </w:tr>
    </w:tbl>
    <w:p>
      <w:pPr>
        <w:pStyle w:val="Heading2"/>
        <w:spacing w:after="120" w:before="240"/>
      </w:pPr>
      <w:r>
        <w:t xml:space="preserve">4.2 Grounded scenario — the actual, already-approved plan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Adding the Item 4 new-store run-rate (181.8M SEK, full ramp ~2029, per the MTP slide) on top of an otherwise-unchanged 2025 base, at existing-Retail-level margin (49.0%): Wholesale share falls from 75.1% to 62.2%, and blended margin rises from 41.0% to 42.4% -- worth +1.36pt.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Honest verdict: this lever is real but not the answer. Even a genuinely aggressive mix shift -- cutting Wholesale's share by a third, from 75% to 50%, far beyond anything currently planned -- is only worth +4.5pt. The plan that's actually been approved (the 16 new stores) is worth +1.4pt. Against a residual in the 9-11pt range, channel mix closes at most half of it under an aggressive scenario, and about an eighth of it under the approved plan.</w:t>
      </w:r>
    </w:p>
    <w:p>
      <w:pPr>
        <w:pStyle w:val="Heading1"/>
        <w:spacing w:after="160" w:before="320"/>
      </w:pPr>
      <w:r>
        <w:t xml:space="preserve">5. Portfolio tier-mix optimization — sized this round</w:t>
      </w:r>
    </w:p>
    <w:p>
      <w:pPr>
        <w:spacing w:after="160"/>
      </w:pPr>
      <w:r>
        <w:t xml:space="preserve">The original margin bridge sized only a conservative 'floor fix' for Problem Child (bring the 129-franchise, 88.5M SEK 'Core Pricing Fix' bucket from 33.4% up to the 40% GM floor used to define the tier). This section asks a bigger question: what if the fix is a genuine turnaround, not just clearing a floor -- and what if the Thin tier's exited volume is replaced by equivalent-value product rather than simply deleted?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650"/>
        <w:gridCol w:w="2900"/>
      </w:tblGrid>
      <w:tr>
        <w:trPr>
          <w:tblHeader/>
        </w:trPr>
        <w:tc>
          <w:tcPr>
            <w:tcW w:type="dxa" w:w="33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15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SEK impact</w:t>
            </w:r>
          </w:p>
        </w:tc>
        <w:tc>
          <w:tcPr>
            <w:tcW w:type="dxa" w:w="16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 of company sales</w:t>
            </w:r>
          </w:p>
        </w:tc>
        <w:tc>
          <w:tcPr>
            <w:tcW w:type="dxa" w:w="2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A: Problem Child -&gt; 40% GM floor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5.8M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+0.69pt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Conservative — floor only (original bridge figure)</w:t>
            </w:r>
          </w:p>
        </w:tc>
      </w:tr>
      <w:tr>
        <w:tc>
          <w:tcPr>
            <w:tcW w:type="dxa" w:w="3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B1: Problem Child -&gt; Workhorse-level margin (47.5%)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12.4M</w:t>
            </w:r>
          </w:p>
        </w:tc>
        <w:tc>
          <w:tcPr>
            <w:tcW w:type="dxa" w:w="16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+1.47pt</w:t>
            </w:r>
          </w:p>
        </w:tc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Moderate — genuine turnaround, not just floor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B2: Thin tier (8.1M) replaced at Workhorse-level margin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+0.18pt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Moderate — assumes exited volume is replaced by equivalent product, not just deleted</w:t>
            </w:r>
          </w:p>
        </w:tc>
      </w:tr>
      <w:tr>
        <w:tc>
          <w:tcPr>
            <w:tcW w:type="dxa" w:w="3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 total (B1+B2) — used in Section 2's running total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14.0M</w:t>
            </w:r>
          </w:p>
        </w:tc>
        <w:tc>
          <w:tcPr>
            <w:tcW w:type="dxa" w:w="16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</w:t>
            </w:r>
          </w:p>
        </w:tc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Recommended working assumption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C: ENTIRE core portfolio (649.8M) -&gt; Hero-level margin (53.5%)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46.5M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+5.49pt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Theoretical ceiling only — would require all 1,860 franchises, incl. Harvest/Thin/Exited, to perform like the best 34</w:t>
            </w:r>
          </w:p>
        </w:tc>
      </w:tr>
    </w:tbl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Harvest is deliberately excluded from this exercise: at 50.6% GM it already runs a healthier margin than Workhorse (47.5%) or Hero (53.5%) is only slightly better — Harvest's problem (Item 3) is volume decline, not margin, so 'fixing' its margin would be solving a problem it doesn't have.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Scenario C's +5.49pt ceiling looks tempting next to the 9.2pt residual, but it is explicitly not achievable — it requires the entire portfolio, including the 864-franchise Thin tier and the declining-but-already-profitable Harvest tier, to perform like the top 34 Hero/Near-Hero franchises. The moderate, defensible reading (B, +1.65pt) is what's carried into Section 2.</w:t>
      </w:r>
    </w:p>
    <w:p>
      <w:pPr>
        <w:pStyle w:val="Heading1"/>
        <w:spacing w:after="160" w:before="320"/>
      </w:pPr>
      <w:r>
        <w:t xml:space="preserve">6. Base-year normalization — was FY2025 artificially depressed?</w:t>
      </w:r>
    </w:p>
    <w:p>
      <w:pPr>
        <w:spacing w:after="160"/>
      </w:pPr>
      <w:r>
        <w:t xml:space="preserve">The hypothesis: heavy, one-off COVID-era inventory clearance (per the CEO's own early framing) made FY2025A an abnormally bad base year, so part of the +14.3pt gap isn't a lever to pull, it's just 2025 not repeating. Tested directly against the P&amp;L's Cost of Sales detail — the answer is more specific and more useful than the hypothesis predicted.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50"/>
        <w:gridCol w:w="1700"/>
        <w:gridCol w:w="1900"/>
        <w:gridCol w:w="1400"/>
      </w:tblGrid>
      <w:tr>
        <w:trPr>
          <w:tblHeader/>
        </w:trPr>
        <w:tc>
          <w:tcPr>
            <w:tcW w:type="dxa" w:w="2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  <w:tc>
          <w:tcPr>
            <w:tcW w:type="dxa" w:w="14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Net Sales</w:t>
            </w:r>
          </w:p>
        </w:tc>
        <w:tc>
          <w:tcPr>
            <w:tcW w:type="dxa" w:w="17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Direct COGS % of sales</w:t>
            </w:r>
          </w:p>
        </w:tc>
        <w:tc>
          <w:tcPr>
            <w:tcW w:type="dxa" w:w="1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Other COGS lines % of sales</w:t>
            </w:r>
          </w:p>
        </w:tc>
        <w:tc>
          <w:tcPr>
            <w:tcW w:type="dxa" w:w="14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Gross Margin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FY2024A (full year)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737.0M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56.9%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−8.15%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39.0%</w:t>
            </w:r>
          </w:p>
        </w:tc>
      </w:tr>
      <w:tr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FY2025A (full year)</w:t>
            </w:r>
          </w:p>
        </w:tc>
        <w:tc>
          <w:tcPr>
            <w:tcW w:type="dxa" w:w="1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846.3M</w:t>
            </w:r>
          </w:p>
        </w:tc>
        <w:tc>
          <w:tcPr>
            <w:tcW w:type="dxa" w:w="1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60.4%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−0.89%</w:t>
            </w:r>
          </w:p>
        </w:tc>
        <w:tc>
          <w:tcPr>
            <w:tcW w:type="dxa" w:w="1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YTD 2025 (comparative, same period as YTD26)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371.1M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61.2%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+0.84%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</w:t>
            </w:r>
          </w:p>
        </w:tc>
      </w:tr>
      <w:tr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YTD 2026 (current)</w:t>
            </w:r>
          </w:p>
        </w:tc>
        <w:tc>
          <w:tcPr>
            <w:tcW w:type="dxa" w:w="1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294.7M</w:t>
            </w:r>
          </w:p>
        </w:tc>
        <w:tc>
          <w:tcPr>
            <w:tcW w:type="dxa" w:w="1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56.1%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−4.32%</w:t>
            </w:r>
          </w:p>
        </w:tc>
        <w:tc>
          <w:tcPr>
            <w:tcW w:type="dxa" w:w="1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41.7%</w:t>
            </w:r>
          </w:p>
        </w:tc>
      </w:tr>
    </w:tbl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Finding 1 — the original hypothesis is NOT supported: the 'Other Cost of Sales / Defectives / Inventory Provision / FX Difference' lines actually swing +52.5M SEK (+6.2pt) FAVOURABLY from FY2024A to FY2025A -- 2024 had the heavier one-off charges (Other COS −30.0M, Defectives −7.1M, an Inventory Provision CHARGE of −5.7M, Other COS2 −15.1M), not 2025, where Inventory Provision is actually a +5.9M release. FY2025A is not artificially depressed by one-off inventory charges relative to 2024 — if anything it already reflects an improvement, and this swing is already fully embedded in the FY2025A base, not a forward lever.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Finding 2 — a different, real anomaly: the DIRECT Cost of Sales ratio itself spiked specifically in FY2025 (56.9% -&gt; 60.4% of Net Sales, a −3.5pt deterioration) and was even worse in the comparable YTD2025 period (61.2%). This is the company-wide P&amp;L confirmation of the per-unit COGS increases already found in Item 2 (Wholesale Reorder COGS/unit +12-44% across most layers, Retail COGS/unit +13.6%), attributed to FX per CEO direction but never verified against transaction-level data — exactly the verification gap flagged again this turn.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Finding 3 — and it is already reverting, in the most current data available: YTD2026's Direct COGS ratio is 56.1%, DOWN 5.1pt from the same period last year (61.2%) on a like-for-like, apples-to-apples YTD basis. YTD2026 Gross Margin (41.7%) is already 2.5pt above the same period last year (39.2%) and above the FY2025A full-year base.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This is genuinely encouraging, but it is NOT added to the Section 2 running total. The YTD2026 improvement is very likely entangled with the XXL mix collapse (Item 5: XXL Wholesale sell-in was −100% in Q2 2026, removing a large low-margin-mix drag) rather than being purely a cost-structure recovery — and it cannot be disentangled without 2026 article/account-level data, which does not exist in the files available to this engagement (only the aggregate P&amp;L covers 2026). Treat the +2.5pt YTD momentum as a strong, real, positive signal worth investigating directly with Finance, not as a confirmed, incremental bridge point on top of everything else already counted.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Can Finance provide 2026 sales data at the same article/account granularity as the FY2024-2025 extract used throughout this engagement? Without it, the YTD2026 margin improvement (+2.5pt) cannot be split into 'genuine cost normalization' vs. 'XXL mix effect' vs. 'other' — and that split matters enormously for how much of the 53.5% target should be considered already de-risked. Owner: CFO / Finance data owner.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Is the FY2025 Direct-COGS-ratio spike (and its apparent 2026 reversal) explained by FX movements, a specific sourcing/landed-cost event, or something else? This is the same verification gap flagged in Section 3/7 for Legwear and Sleeping Bags specifically, now confirmed at the whole-company level and sized at 3.5pt — materially larger than the two-layer anecdote suggested. Owner: CFO / Sourcing.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A fourth, more basic problem: the starting point itself doesn't reconcile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4000"/>
      </w:tblGrid>
      <w:tr>
        <w:trPr>
          <w:tblHeader/>
        </w:trPr>
        <w:tc>
          <w:tcPr>
            <w:tcW w:type="dxa" w:w="5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40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Gross Margin, FY2025A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Net Sales, FY2025A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846.3M SEK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Gross Profit, FY2025A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331.4M SEK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Sales-extract blended margin, FY2025 (all channels+accounts, same year)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Gap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1.8pt — unreconciled</w:t>
            </w:r>
          </w:p>
        </w:tc>
      </w:tr>
    </w:tbl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Every article-level, account-level and channel-level analysis in Items 1-6 was built on the sales extract (Garp SEK Margin), because that is the only data with the granularity needed for franchise/account/article work. But that extract's own blended margin (41.0%) does not match the P&amp;L's official Gross Margin (39.2%) for the identical year. A 1.8-point gap exists before a single lever is even discussed. Plausible causes — different cost inclusions (e.g. logistics/freight allocated in the P&amp;L's Cost of Sales but not in the Garp-level COGS field), different revenue scope, or a consolidation/timing difference — have not been verified. Until this is resolved, every granular finding in this engagement is measured on a base that is subtly different from the number the 53.5% target is actually stated against.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Can Finance reconcile the sales-extract margin (Garp SEK Margin basis) to the official P&amp;L Gross Margin line, and identify exactly what the 1.8pt difference consists of? This affects how literally every SEK figure in Items 1-6 should be read against the 53.5% target. Owner: CFO / Finance data owner.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What's genuinely missing — the honest punch list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residual: ~9.2pt of the +14.3pt target still has no CONFIRMED, disentangled source anywhere in this engagement, even after sizing channel mix, tier-mix and the base-year investigation this round. The strongest new lead — the Direct-COGS-ratio reversal already visible in YTD2026 (potentially +2.5 to +5pt) — is real but not yet separable from the XXL mix effect, so it is deliberately not counted in Section 2's total.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SG&amp;A / overhead leverage sits below Gross Profit in the P&amp;L structure, so it mechanically CANNOT move a Gross Margin figure — worth confirming the 53.5% target is genuinely a Gross Margin number and not being conflated with an EBIT-margin ambition, since the two would need very different levers.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FX-vs-true-overrun question is now sized, not just anecdotal: the FY2025 Direct-COGS-ratio spike is worth −3.5pt at the whole-company level (Section 6), materially larger than the Legwear/Sleeping Bags two-layer example from Item 2 suggested. Still unverified against transaction-level FX data, which does not exist in the files available.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New-store start-up losses (Item 4) are a real, negative drag on the 2026-2029 window specifically — they work against the bridge in the near term even though the underlying stores may be a 2029+/2032 growth story. This note could not size the drag in Gross Margin terms because the MTP slide reports it as an EBIT figure (which includes store opex), not a Gross Margin figure.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special-account mix effect moved the WRONG way in the one year of history available (−0.43pt, FY24-&gt;FY25) — but Section 6 shows something changed favorably in 2026 (XXL's Wholesale sell-in went to −100% in Q2 2026). Whether that flips the mix effect from headwind to tailwind through 2029, or is offset by other special-account growth (China, Zalando), is unconfirmed without 2026 article-level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FY2029E sales, channel-mix, or account-mix target breakdown was available to this engagement — only the single headline GM% figure. Without it, the ~9.2pt residual can't be tested against a real target composition, only against what's currently identified (which isn't enough on its own).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Whether the FW27 target-margin-gap methodology (Item 2) could be extended beyond its current 172M-SEK Wholesale-only matched sample to Retail/E-com and a fuller style-match set remains untested — the true addressable base for 'get to the plan's own target margins' may be larger than what's counted in Section 2.</w:t>
      </w:r>
    </w:p>
    <w:p>
      <w:pPr>
        <w:pStyle w:val="Heading1"/>
        <w:spacing w:after="160" w:before="320"/>
      </w:pPr>
      <w:r>
        <w:t xml:space="preserve">9. Recommended next step</w:t>
      </w:r>
    </w:p>
    <w:p>
      <w:pPr>
        <w:spacing w:after="160"/>
      </w:pPr>
      <w:r>
        <w:t xml:space="preserve">This note is a reconciliation, not a finished bridge — consistent with what was asked. The single highest-value next step changed this round: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PRIORITY: get 2026 sales data at article/account granularity from Finance/IT, matching the FY2024-2025 extract structure used throughout this engagement. This is now the single most valuable data request in this note — it is the only way to confirm how much of the YTD2026 Direct-COGS reversal (potentially +2.5 to +5pt) is genuine cost normalization versus the XXL mix effect versus something else, and that split could materially change the size of the true residual.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the FY2029E target's underlying assumptions (sales, channel mix, account mix) from whoever built the MTP, so the residual can be tested against a real target composition rather than a single headline percentage.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Resolve the 1.8pt sales-extract-vs-P&amp;L basis mismatch with Finance before the workshop — otherwise every lever in this note is being measured against a base that may not be the one the 53.5% target is actually stated on.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Is there a cost, sourcing, or overhead-leverage workstream already underway elsewhere in the business that is expected to contribute to the +14.3pt target but simply falls outside this engagement's sales-data-driven scope? If so, this note's residual may be smaller than it appears — but that needs to be confirmed explicitly, not assumed. Owner: CFO.</w:t>
      </w:r>
    </w:p>
    <w:p>
      <w:pPr>
        <w:pStyle w:val="Heading1"/>
        <w:spacing w:after="160" w:before="320"/>
      </w:pPr>
      <w:r>
        <w:t xml:space="preserve">10. Backup data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bob_marginbridge_backup.xlsx — the reconciliation summary, full lever detail with formulas, channel-mix current/sensitivity data, portfolio tier-mix scenarios, the base-year normalization detail and findings, the basis-mismatch check, and the fresh special-account mix/rate decomposition.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Source items: item2_fullprice_recovery_backup.xlsx (Sections 3, 7, 8), bob_item3_portfolio_backup.xlsx (Problem Child detail), item5_wholesale_account_preorder_reorder.xlsx (Reorder margin detail), Bridge_Item4_New_Retail_PreRead.docx (new-store EBIT shape).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bob_financialdata_2025.xlsx — source for the P&amp;L Gross Margin, Net Sales and Gross Profit figures used in Section 4.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underlying analysis is reproducible from analysis.py / config.py / load_data.py in the project_bob repository, branch claude/project-bob-data-load-uywk15.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444444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2026-07-26T14:16:53.778Z</dcterms:created>
  <dcterms:modified xsi:type="dcterms:W3CDTF">2026-07-26T14:16:53.797Z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