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Bridge Item 3: Channel Mix, Hero Products &amp; the Full Commercial Portfolio</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every core franchise (1,860 Base+Gender product lines, 649.8M SEK of 2025 core sales) has been classified into one of eight mutually-exclusive tiers — Hero, Near-Hero, Workhorse, Harvest, Problem Child, New/Test, Exited, Thin — using consistent, auditable rules (Section 4). This is the portfolio map the 2029 plan needs to be built against: which 34 franchises (98.2M SEK) are the proven growth engine, which 129 franchises (88.5M SEK) have a real core-channel pricing problem, which 211 franchises (87.4M SEK) have no confirmed place in FW27 at all, and which ~700 Thin/Exited franchises are noise that should simply be formalized as exited. As with Item 2, margin- and judgment-heavy conclusions are marked ASK rather than asserted as fact.</w:t>
      </w:r>
    </w:p>
    <w:p>
      <w:pPr>
        <w:pStyle w:val="Heading1"/>
        <w:spacing w:after="160" w:before="320"/>
      </w:pPr>
      <w:r>
        <w:t xml:space="preserve">1. Purpose, scope and method</w:t>
      </w:r>
    </w:p>
    <w:p>
      <w:pPr>
        <w:spacing w:after="160"/>
      </w:pPr>
      <w:r>
        <w:t xml:space="preserve">Items 1 and 2 sized the bridge from the top down (like-for-like volume, full-price recovery). Item 3 asks a different question: at the level of the individual product line, what does the current portfolio actually look like, and what does that imply for the 2029 assortment and channel strategy? This requires classifying every Base+Gender franchise — not just the top movers — into a consistent framework, then asking the same three questions of every tier: is this a channel problem, a pricing problem, or a product problem, and does it have a confirmed place in FW27.</w:t>
      </w:r>
    </w:p>
    <w:p>
      <w:pPr>
        <w:pBdr>
          <w:left w:val="single" w:color="3C8A4C" w:sz="18"/>
        </w:pBdr>
        <w:shd w:fill="EAF3EA" w:val="clear"/>
        <w:spacing w:after="120" w:before="100"/>
        <w:ind w:left="150" w:right="100"/>
      </w:pPr>
      <w:r>
        <w:rPr>
          <w:b/>
          <w:bCs/>
          <w:color w:val="1F5C2E"/>
        </w:rPr>
        <w:t xml:space="preserve">DATA SHOWS: </w:t>
      </w:r>
      <w:r>
        <w:t xml:space="preserve">Scope and exclusions are identical to Items 1–2: special accounts (XXL, Zalando, Zalando Marketplace, China, Stadium Outlet) are excluded from the core 1,860-franchise classification, but every tier carries a SpecialAcctExposure% cross-check column so a tier that looks small in the core view but is actually alive in outlet/special channels is not silently miscounted as dead (see Section 9, Thin).</w:t>
      </w:r>
    </w:p>
    <w:p>
      <w:pPr>
        <w:pBdr>
          <w:left w:val="single" w:color="3C8A4C" w:sz="18"/>
        </w:pBdr>
        <w:shd w:fill="EAF3EA" w:val="clear"/>
        <w:spacing w:after="120" w:before="100"/>
        <w:ind w:left="150" w:right="100"/>
      </w:pPr>
      <w:r>
        <w:rPr>
          <w:b/>
          <w:bCs/>
          <w:color w:val="1F5C2E"/>
        </w:rPr>
        <w:t xml:space="preserve">DATA SHOWS: </w:t>
      </w:r>
      <w:r>
        <w:t xml:space="preserve">Franchise identity uses the same Base+Gender grouping validated in Item 1 (version-token and gender-token stripping, e.g. 'Astral GTX Jacket Men' and 'Astral GTX II Jacket Men' are one franchise). 'Real trading' uses the same ≥100 units/year threshold as Items 1–2. FW27 continuation status uses the same fuzzy first-significant-word + gender match against the Assortment Attribution Review used in Item 2 — imperfect (no reliable franchise/REF_CODE key exists in source data) but the best available signal; treat individual misses as a prompt to check manually, not as certain fact.</w:t>
      </w:r>
    </w:p>
    <w:p>
      <w:pPr>
        <w:pStyle w:val="Heading1"/>
        <w:spacing w:after="160" w:before="320"/>
      </w:pPr>
      <w:r>
        <w:t xml:space="preserve">2. Executive summary</w:t>
      </w:r>
    </w:p>
    <w:p>
      <w:pPr>
        <w:pStyle w:val="ListParagraph"/>
        <w:numPr>
          <w:ilvl w:val="0"/>
          <w:numId w:val="2"/>
        </w:numPr>
        <w:spacing w:after="80"/>
      </w:pPr>
      <w:r>
        <w:t xml:space="preserve">The portfolio splits cleanly into a working core and a long, thin tail: 34 Hero/Near-Hero franchises (98.2M SEK, 15% of core sales) are genuinely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pStyle w:val="ListParagraph"/>
        <w:numPr>
          <w:ilvl w:val="0"/>
          <w:numId w:val="2"/>
        </w:numPr>
        <w:spacing w:after="80"/>
      </w:pPr>
      <w:r>
        <w:t xml:space="preserve">Heroes are not primarily a channel-cannibalization story: of the 34 Hero/Near-Hero franchises, 20 (59%) sit in the genuine DTC-incremental-growth pattern, only 9 show the substitution pattern, and 5 are actually Wholesale-led. The Hero cohort's growth is mostly additive, not moved from Wholesale.</w:t>
      </w:r>
    </w:p>
    <w:p>
      <w:pPr>
        <w:pStyle w:val="ListParagraph"/>
        <w:numPr>
          <w:ilvl w:val="0"/>
          <w:numId w:val="2"/>
        </w:numPr>
        <w:spacing w:after="8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w:t>
      </w:r>
    </w:p>
    <w:p>
      <w:pPr>
        <w:pStyle w:val="ListParagraph"/>
        <w:numPr>
          <w:ilvl w:val="0"/>
          <w:numId w:val="2"/>
        </w:numPr>
        <w:spacing w:after="80"/>
      </w:pPr>
      <w:r>
        <w:t xml:space="preserve">Workhorse (202 franchises, 197.3M SEK, the single largest tier by revenue) has a specific, addressable pattern: 90 franchises (31.0M SEK) sell in only one of Wholesale/DTC. Of those, 57 are clean scale-up candidates worth 21.9M SEK today, already at 54-63% of the volume needed in their missing channel — only 1.85M SEK combined gap to cross that bar, not a Hero-scale story.</w:t>
      </w:r>
    </w:p>
    <w:p>
      <w:pPr>
        <w:pStyle w:val="ListParagraph"/>
        <w:numPr>
          <w:ilvl w:val="0"/>
          <w:numId w:val="2"/>
        </w:numPr>
        <w:spacing w:after="80"/>
      </w:pPr>
      <w:r>
        <w:t xml:space="preserve">Harvest (236 franchises) lost more revenue year-over-year than any other tier — 216.2M SEK in 2024 to 120.2M in 2025, a −96.0M SEK swing — while still running a healthy 50.6% margin. This is a volume/relevance problem on otherwise-profitable product, and 94 of these franchises (31.5M SEK) have no confirmed FW27 continuation.</w:t>
      </w:r>
    </w:p>
    <w:p>
      <w:pPr>
        <w:pStyle w:val="ListParagraph"/>
        <w:numPr>
          <w:ilvl w:val="0"/>
          <w:numId w:val="2"/>
        </w:numPr>
        <w:spacing w:after="8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pStyle w:val="ListParagraph"/>
        <w:numPr>
          <w:ilvl w:val="0"/>
          <w:numId w:val="2"/>
        </w:numPr>
        <w:spacing w:after="80"/>
      </w:pPr>
      <w:r>
        <w:t xml:space="preserve">Across Problem Child, Harvest and Workhorse combined, 211 franchises worth 87.4M SEK have no confirmed FW27 continuation found in the Assortment file — including 42 franchises (33.5M SEK) that are still growing today with apparently no plan. This is the single highest-urgency cross-tier list for the workshop.</w:t>
      </w:r>
    </w:p>
    <w:p>
      <w:pPr>
        <w:pStyle w:val="ListParagraph"/>
        <w:numPr>
          <w:ilvl w:val="0"/>
          <w:numId w:val="2"/>
        </w:numPr>
        <w:spacing w:after="80"/>
      </w:pPr>
      <w:r>
        <w:t xml:space="preserve">2026 YTD check-in (Section 14): margin is up in 5 of 7 tiers, including Problem Child (+4.3pt), but Hero, Workhorse, Harvest and Problem Child — the four largest, most-established tiers — are all running below the on-pace volume benchmark for the year, while New/Test and Near-Hero run well ahead of it.</w:t>
      </w:r>
    </w:p>
    <w:p>
      <w:r>
        <w:br w:type="page"/>
      </w:r>
    </w:p>
    <w:p>
      <w:pPr>
        <w:pStyle w:val="Heading1"/>
        <w:spacing w:after="160" w:before="320"/>
      </w:pPr>
      <w:r>
        <w:t xml:space="preserve">3. Channel Mix Shift: is DTC growth cannibalizing Wholesale?</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700"/>
        <w:gridCol w:w="1700"/>
        <w:gridCol w:w="1700"/>
        <w:gridCol w:w="2050"/>
      </w:tblGrid>
      <w:tr>
        <w:trPr>
          <w:tblHeader/>
        </w:trPr>
        <w:tc>
          <w:tcPr>
            <w:tcW w:type="dxa" w:w="3200"/>
            <w:shd w:fill="2F2F2F" w:val="clear"/>
            <w:tcMar>
              <w:top w:type="dxa" w:w="60"/>
              <w:left w:type="dxa" w:w="100"/>
              <w:bottom w:type="dxa" w:w="60"/>
              <w:right w:type="dxa" w:w="100"/>
            </w:tcMar>
            <w:vAlign w:val="center"/>
          </w:tcPr>
          <w:p>
            <w:pPr>
              <w:jc w:val="left"/>
            </w:pPr>
            <w:r>
              <w:rPr>
                <w:b/>
                <w:bCs/>
                <w:color w:val="FFFFFF"/>
                <w:sz w:val="19"/>
                <w:szCs w:val="19"/>
              </w:rPr>
              <w:t xml:space="preserve">Pattern</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Wholesale Δ (SEK)</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DTC Δ (SEK)</w:t>
            </w:r>
          </w:p>
        </w:tc>
        <w:tc>
          <w:tcPr>
            <w:tcW w:type="dxa" w:w="20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SUBSTITUTION candidate (WS down, DTC up)</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218</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−85.5M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+40.4M</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Only 47% of the WS loss shows up as DTC gain — see below</w:t>
            </w:r>
          </w:p>
        </w:tc>
      </w:tr>
      <w:tr>
        <w:tc>
          <w:tcPr>
            <w:tcW w:type="dxa" w:w="3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Both declining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183</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−49.0M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Genuine share/demand loss, not a channel story</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DTC growth, WS not declining (incremental)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122</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+116.1M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+48.3M</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Real, additive DTC growth — the healthy pattern</w:t>
            </w:r>
          </w:p>
        </w:tc>
      </w:tr>
      <w:tr>
        <w:tc>
          <w:tcPr>
            <w:tcW w:type="dxa" w:w="3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WS growing, DTC flat/declining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100</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+48.5M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−12.9M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Wholesale-led growth, small DTC give-back</w:t>
            </w:r>
          </w:p>
        </w:tc>
      </w:tr>
    </w:tbl>
    <w:p>
      <w:pPr>
        <w:pBdr>
          <w:left w:val="single" w:color="3C8A4C" w:sz="18"/>
        </w:pBdr>
        <w:shd w:fill="EAF3EA" w:val="clear"/>
        <w:spacing w:after="120" w:before="100"/>
        <w:ind w:left="150" w:right="100"/>
      </w:pPr>
      <w:r>
        <w:rPr>
          <w:b/>
          <w:bCs/>
          <w:color w:val="1F5C2E"/>
        </w:rPr>
        <w:t xml:space="preserve">DATA SHOWS: </w:t>
      </w:r>
      <w:r>
        <w:t xml:space="preserve">The 'substitution' framing undersells the problem. Of the 85.5M SEK lost in Wholesale by these 218 franchises, only 40.4M reappeared in DTC — a 45.1M SEK net shortfall. If this were pure channel-shift (a customer simply buying the same product DTC instead of at a Wholesale partner), the two numbers would be much closer to matching. Roughly half of what looks like 'moving to DTC' is actually net demand loss with a channel-shift story attached to it.</w:t>
      </w:r>
    </w:p>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a deliberate distribution pull-back, or lost sell-through at retail? This determines whether the fix is a DTC investment (if genuine channel preference) or a distribution-recovery effort (if it's really a listing/sell-through problem). Owner: Wholesale Director, cross-checked with Merchandising Director.</w:t>
      </w:r>
    </w:p>
    <w:p>
      <w:pPr>
        <w:pStyle w:val="Heading2"/>
        <w:spacing w:after="120" w:before="240"/>
      </w:pPr>
      <w:r>
        <w:t xml:space="preserve">3.1 Are the Hero products part of the DTC-incremental pattern?</w:t>
      </w:r>
    </w:p>
    <w:p>
      <w:pPr>
        <w:spacing w:after="160"/>
      </w:pPr>
      <w:r>
        <w:t xml:space="preserve">Direct answer, matched against the Section 4 Hero/Near-Hero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550"/>
        <w:gridCol w:w="3000"/>
        <w:gridCol w:w="1800"/>
      </w:tblGrid>
      <w:tr>
        <w:trPr>
          <w:tblHeader/>
        </w:trPr>
        <w:tc>
          <w:tcPr>
            <w:tcW w:type="dxa" w:w="4550"/>
            <w:shd w:fill="2F2F2F" w:val="clear"/>
            <w:tcMar>
              <w:top w:type="dxa" w:w="60"/>
              <w:left w:type="dxa" w:w="100"/>
              <w:bottom w:type="dxa" w:w="60"/>
              <w:right w:type="dxa" w:w="100"/>
            </w:tcMar>
            <w:vAlign w:val="center"/>
          </w:tcPr>
          <w:p>
            <w:pPr>
              <w:jc w:val="left"/>
            </w:pPr>
            <w:r>
              <w:rPr>
                <w:b/>
                <w:bCs/>
                <w:color w:val="FFFFFF"/>
                <w:sz w:val="19"/>
                <w:szCs w:val="19"/>
              </w:rPr>
              <w:t xml:space="preserve">Pattern</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N of 34 Hero/Near-Hero franchises</w:t>
            </w:r>
          </w:p>
        </w:tc>
        <w:tc>
          <w:tcPr>
            <w:tcW w:type="dxa" w:w="1800"/>
            <w:shd w:fill="2F2F2F" w:val="clear"/>
            <w:tcMar>
              <w:top w:type="dxa" w:w="60"/>
              <w:left w:type="dxa" w:w="100"/>
              <w:bottom w:type="dxa" w:w="60"/>
              <w:right w:type="dxa" w:w="100"/>
            </w:tcMar>
            <w:vAlign w:val="center"/>
          </w:tcPr>
          <w:p>
            <w:pPr>
              <w:jc w:val="center"/>
            </w:pPr>
            <w:r>
              <w:rPr>
                <w:b/>
                <w:bCs/>
                <w:color w:val="FFFFFF"/>
                <w:sz w:val="19"/>
                <w:szCs w:val="19"/>
              </w:rPr>
              <w:t xml:space="preserve">Share</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DTC growth, WS not declining (incremental)</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20</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59%</w:t>
            </w:r>
          </w:p>
        </w:tc>
      </w:tr>
      <w:tr>
        <w:tc>
          <w:tcPr>
            <w:tcW w:type="dxa" w:w="45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SUBSTITUTION candidate (WS down, DTC up)</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WS growing, DTC flat/declining</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15%</w:t>
            </w:r>
          </w:p>
        </w:tc>
      </w:tr>
    </w:tbl>
    <w:p>
      <w:pPr>
        <w:pBdr>
          <w:left w:val="single" w:color="3C8A4C" w:sz="18"/>
        </w:pBdr>
        <w:shd w:fill="EAF3EA" w:val="clear"/>
        <w:spacing w:after="120" w:before="100"/>
        <w:ind w:left="150" w:right="100"/>
      </w:pPr>
      <w:r>
        <w:rPr>
          <w:b/>
          <w:bCs/>
          <w:color w:val="1F5C2E"/>
        </w:rPr>
        <w:t xml:space="preserve">DATA SHOWS: </w:t>
      </w: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Style w:val="Heading1"/>
        <w:spacing w:after="160" w:before="320"/>
      </w:pPr>
      <w:r>
        <w:t xml:space="preserve">4. Hero and Near-Hero: definition and the current list</w:t>
      </w:r>
    </w:p>
    <w:p>
      <w:pPr>
        <w:spacing w:after="160"/>
      </w:pPr>
      <w:r>
        <w:t xml:space="preserve">A franchise qualifies as Hero or Near-Hero only if it clears every one of four bars simultaneously — scale, growth, channel breadth and margin. This is deliberately strict: the goal is a short, credible list the room can trust, not an aspirational long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74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7450"/>
            <w:shd w:fill="2F2F2F" w:val="clear"/>
            <w:tcMar>
              <w:top w:type="dxa" w:w="60"/>
              <w:left w:type="dxa" w:w="100"/>
              <w:bottom w:type="dxa" w:w="60"/>
              <w:right w:type="dxa" w:w="100"/>
            </w:tcMar>
            <w:vAlign w:val="center"/>
          </w:tcPr>
          <w:p>
            <w:pPr>
              <w:jc w:val="center"/>
            </w:pPr>
            <w:r>
              <w:rPr>
                <w:b/>
                <w:bCs/>
                <w:color w:val="FFFFFF"/>
                <w:sz w:val="19"/>
                <w:szCs w:val="19"/>
              </w:rPr>
              <w:t xml:space="preserve">Rule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Hero</w:t>
            </w:r>
          </w:p>
        </w:tc>
        <w:tc>
          <w:tcPr>
            <w:tcW w:type="dxa" w:w="7450"/>
            <w:tcMar>
              <w:top w:type="dxa" w:w="60"/>
              <w:left w:type="dxa" w:w="100"/>
              <w:bottom w:type="dxa" w:w="60"/>
              <w:right w:type="dxa" w:w="100"/>
            </w:tcMar>
            <w:vAlign w:val="center"/>
          </w:tcPr>
          <w:p>
            <w:pPr>
              <w:jc w:val="center"/>
            </w:pPr>
            <w:r>
              <w:rPr>
                <w:b w:val="false"/>
                <w:bCs w:val="false"/>
                <w:color w:val="000000"/>
                <w:sz w:val="19"/>
                <w:szCs w:val="19"/>
              </w:rPr>
              <w:t xml:space="preserve">2025 sales ≥2M SEK, YoY growth &gt;0%, cross-channel (Wholesale &gt;100K AND DTC &gt;50K), GM% ≥46.6% (core company average)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Near-Hero (Rising Star)</w:t>
            </w:r>
          </w:p>
        </w:tc>
        <w:tc>
          <w:tcPr>
            <w:tcW w:type="dxa" w:w="7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2025 sales ≥1M SEK, YoY growth &gt;15%, cross-channel, GM% ≥46.6%</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700"/>
        <w:gridCol w:w="1450"/>
        <w:gridCol w:w="1450"/>
        <w:gridCol w:w="1350"/>
        <w:gridCol w:w="1200"/>
      </w:tblGrid>
      <w:tr>
        <w:trPr>
          <w:tblHeader/>
        </w:trPr>
        <w:tc>
          <w:tcPr>
            <w:tcW w:type="dxa" w:w="320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45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1450"/>
            <w:shd w:fill="2F2F2F" w:val="clear"/>
            <w:tcMar>
              <w:top w:type="dxa" w:w="60"/>
              <w:left w:type="dxa" w:w="100"/>
              <w:bottom w:type="dxa" w:w="60"/>
              <w:right w:type="dxa" w:w="100"/>
            </w:tcMar>
            <w:vAlign w:val="center"/>
          </w:tcPr>
          <w:p>
            <w:pPr>
              <w:jc w:val="center"/>
            </w:pPr>
            <w:r>
              <w:rPr>
                <w:b/>
                <w:bCs/>
                <w:color w:val="FFFFFF"/>
                <w:sz w:val="19"/>
                <w:szCs w:val="19"/>
              </w:rPr>
              <w:t xml:space="preserve">Sales 2024</w:t>
            </w:r>
          </w:p>
        </w:tc>
        <w:tc>
          <w:tcPr>
            <w:tcW w:type="dxa" w:w="1350"/>
            <w:shd w:fill="2F2F2F" w:val="clear"/>
            <w:tcMar>
              <w:top w:type="dxa" w:w="60"/>
              <w:left w:type="dxa" w:w="100"/>
              <w:bottom w:type="dxa" w:w="60"/>
              <w:right w:type="dxa" w:w="100"/>
            </w:tcMar>
            <w:vAlign w:val="center"/>
          </w:tcPr>
          <w:p>
            <w:pPr>
              <w:jc w:val="center"/>
            </w:pPr>
            <w:r>
              <w:rPr>
                <w:b/>
                <w:bCs/>
                <w:color w:val="FFFFFF"/>
                <w:sz w:val="19"/>
                <w:szCs w:val="19"/>
              </w:rPr>
              <w:t xml:space="preserve">Growth%</w:t>
            </w:r>
          </w:p>
        </w:tc>
        <w:tc>
          <w:tcPr>
            <w:tcW w:type="dxa" w:w="1200"/>
            <w:shd w:fill="2F2F2F" w:val="clear"/>
            <w:tcMar>
              <w:top w:type="dxa" w:w="60"/>
              <w:left w:type="dxa" w:w="100"/>
              <w:bottom w:type="dxa" w:w="60"/>
              <w:right w:type="dxa" w:w="100"/>
            </w:tcMar>
            <w:vAlign w:val="center"/>
          </w:tcPr>
          <w:p>
            <w:pPr>
              <w:jc w:val="center"/>
            </w:pPr>
            <w:r>
              <w:rPr>
                <w:b/>
                <w:bCs/>
                <w:color w:val="FFFFFF"/>
                <w:sz w:val="19"/>
                <w:szCs w:val="19"/>
              </w:rPr>
              <w:t xml:space="preserve">GM% 2025</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Hero</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73.8M</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62.7M</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+17.7%</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53.5%</w:t>
            </w:r>
          </w:p>
        </w:tc>
      </w:tr>
      <w:tr>
        <w:tc>
          <w:tcPr>
            <w:tcW w:type="dxa" w:w="3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Near-Hero (Rising Star)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24.1M</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17.4M</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52.1%</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Combined</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34</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98.2M</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80.1M</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+22.6%</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53.2%</w:t>
            </w:r>
          </w:p>
        </w:tc>
      </w:tr>
    </w:tbl>
    <w:p>
      <w:pPr>
        <w:pBdr>
          <w:left w:val="single" w:color="3C8A4C" w:sz="18"/>
        </w:pBdr>
        <w:shd w:fill="EAF3EA" w:val="clear"/>
        <w:spacing w:after="120" w:before="100"/>
        <w:ind w:left="150" w:right="100"/>
      </w:pPr>
      <w:r>
        <w:rPr>
          <w:b/>
          <w:bCs/>
          <w:color w:val="1F5C2E"/>
        </w:rPr>
        <w:t xml:space="preserve">DATA SHOWS: </w:t>
      </w:r>
      <w:r>
        <w:t xml:space="preserve">34 franchises, 98.2M SEK — 15% of core 2025 sales — meet the full Hero/Near-Hero bar. Full list with layer, channel split and FW27 status is in the backup workbook (sheet 'Hero and Near-Hero').</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 This is a strategy decision, not a data question. Owner: CEO / Brand &amp; Marketing Director.</w:t>
      </w:r>
    </w:p>
    <w:p>
      <w:r>
        <w:br w:type="page"/>
      </w:r>
    </w:p>
    <w:p>
      <w:pPr>
        <w:pStyle w:val="Heading1"/>
        <w:spacing w:after="160" w:before="320"/>
      </w:pPr>
      <w:r>
        <w:t xml:space="preserve">5.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700"/>
        <w:gridCol w:w="1300"/>
        <w:gridCol w:w="1300"/>
        <w:gridCol w:w="1300"/>
        <w:gridCol w:w="1100"/>
        <w:gridCol w:w="10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2024</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Growth%</w:t>
            </w:r>
          </w:p>
        </w:tc>
        <w:tc>
          <w:tcPr>
            <w:tcW w:type="dxa" w:w="1100"/>
            <w:shd w:fill="2F2F2F" w:val="clear"/>
            <w:tcMar>
              <w:top w:type="dxa" w:w="60"/>
              <w:left w:type="dxa" w:w="100"/>
              <w:bottom w:type="dxa" w:w="60"/>
              <w:right w:type="dxa" w:w="100"/>
            </w:tcMar>
            <w:vAlign w:val="center"/>
          </w:tcPr>
          <w:p>
            <w:pPr>
              <w:jc w:val="center"/>
            </w:pPr>
            <w:r>
              <w:rPr>
                <w:b/>
                <w:bCs/>
                <w:color w:val="FFFFFF"/>
                <w:sz w:val="19"/>
                <w:szCs w:val="19"/>
              </w:rPr>
              <w:t xml:space="preserve">GM% 2025</w:t>
            </w:r>
          </w:p>
        </w:tc>
        <w:tc>
          <w:tcPr>
            <w:tcW w:type="dxa" w:w="1000"/>
            <w:shd w:fill="2F2F2F" w:val="clear"/>
            <w:tcMar>
              <w:top w:type="dxa" w:w="60"/>
              <w:left w:type="dxa" w:w="100"/>
              <w:bottom w:type="dxa" w:w="60"/>
              <w:right w:type="dxa" w:w="100"/>
            </w:tcMar>
            <w:vAlign w:val="center"/>
          </w:tcPr>
          <w:p>
            <w:pPr>
              <w:jc w:val="center"/>
            </w:pPr>
            <w:r>
              <w:rPr>
                <w:b/>
                <w:bCs/>
                <w:color w:val="FFFFFF"/>
                <w:sz w:val="19"/>
                <w:szCs w:val="19"/>
              </w:rPr>
              <w:t xml:space="preserve">SpecialAcctExp%</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202</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197.3M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168.6M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+17.1%</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47.5%</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New / Test</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197</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123.9M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n/m (new)</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46.4%</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Harvest (Cash Cow)</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236</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120.2M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216.2M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−44.4%</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50.6%</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151</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94.8M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107.4M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−11.8%</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33.4%</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Hero</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73.8M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62.7M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+17.7%</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53.5%</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Near-Hero (Rising Star)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24.1M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17.4M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+38.6%</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52.1%</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Thin / Immaterial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864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8.1M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8.4M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−3.2%</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28.4%</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see Section 9</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Exited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176</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7.4M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36.6M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n/m (exited)</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40.4%</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TOTAL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1,860</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649.8M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629.2M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+3.3%</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45.9%</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w:t>
            </w:r>
          </w:p>
        </w:tc>
      </w:tr>
    </w:tbl>
    <w:p>
      <w:pPr>
        <w:spacing w:after="200"/>
      </w:pPr>
      <w:r>
        <w:rPr>
          <w:i/>
          <w:iCs/>
          <w:color w:val="555555"/>
          <w:sz w:val="18"/>
          <w:szCs w:val="18"/>
        </w:rPr>
        <w:t xml:space="preserve">Full 1,860-row detail with every metric and tier assignment is in the backup workbook, sheet 'Full Portfolio (1860)'. Tier definitions and thresholds: sheet 'Tier Definitions'.</w:t>
      </w:r>
    </w:p>
    <w:p>
      <w:pPr>
        <w:pBdr>
          <w:left w:val="single" w:color="3C8A4C" w:sz="18"/>
        </w:pBdr>
        <w:shd w:fill="EAF3EA" w:val="clear"/>
        <w:spacing w:after="120" w:before="100"/>
        <w:ind w:left="150" w:right="100"/>
      </w:pPr>
      <w:r>
        <w:rPr>
          <w:b/>
          <w:bCs/>
          <w:color w:val="1F5C2E"/>
        </w:rPr>
        <w:t xml:space="preserve">DATA SHOWS: </w:t>
      </w:r>
      <w:r>
        <w:t xml:space="preserve">Read the shape, not just the tiers individually: the two largest tiers by revenue (Workhorse, 197.3M; New/Test, 123.9M) are both healthy and growing. The third and fourth largest (Harvest, 120.2M; Problem Child, 94.8M) are both shrinking. Hero/Near-Hero, the smallest 'good' tier by count, punches well above its 34-franchise size on margin quality. The long tail (Thin + Exited, 1,040 franchises) is 15.5M SEK combined — 2.4% of core sales — confirming it is safe to manage with a small number of default rules rather than 1,040 individual decisions (Section 9).</w:t>
      </w:r>
    </w:p>
    <w:p>
      <w:pPr>
        <w:pStyle w:val="Heading1"/>
        <w:spacing w:after="160" w:before="320"/>
      </w:pPr>
      <w:r>
        <w:t xml:space="preserve">6. Problem Child (151 franchises, 94.8M SEK, GM 33.4%): two different problems</w:t>
      </w:r>
    </w:p>
    <w:p>
      <w:pPr>
        <w:spacing w:after="160"/>
      </w:pPr>
      <w:r>
        <w:t xml:space="preserve">Every Problem Child franchise was split by where its sales actually land, because a low blended margin can mean two very different things: a genuine core-channel pricing/cost problem, or a franchise that has effectively already migrated to outlet/special-account channels (where low margin is expected and not a discipline failure, per the Item 1 special-account findings).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700"/>
        <w:gridCol w:w="1300"/>
        <w:gridCol w:w="4950"/>
      </w:tblGrid>
      <w:tr>
        <w:trPr>
          <w:tblHeader/>
        </w:trPr>
        <w:tc>
          <w:tcPr>
            <w:tcW w:type="dxa" w:w="2400"/>
            <w:shd w:fill="2F2F2F" w:val="clear"/>
            <w:tcMar>
              <w:top w:type="dxa" w:w="60"/>
              <w:left w:type="dxa" w:w="100"/>
              <w:bottom w:type="dxa" w:w="60"/>
              <w:right w:type="dxa" w:w="100"/>
            </w:tcMar>
            <w:vAlign w:val="center"/>
          </w:tcPr>
          <w:p>
            <w:pPr>
              <w:jc w:val="left"/>
            </w:pPr>
            <w:r>
              <w:rPr>
                <w:b/>
                <w:bCs/>
                <w:color w:val="FFFFFF"/>
                <w:sz w:val="19"/>
                <w:szCs w:val="19"/>
              </w:rPr>
              <w:t xml:space="preserve">Bucket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49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Core Pricing Fix</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88.5M</w:t>
            </w:r>
          </w:p>
        </w:tc>
        <w:tc>
          <w:tcPr>
            <w:tcW w:type="dxa" w:w="4950"/>
            <w:tcMar>
              <w:top w:type="dxa" w:w="60"/>
              <w:left w:type="dxa" w:w="100"/>
              <w:bottom w:type="dxa" w:w="60"/>
              <w:right w:type="dxa" w:w="100"/>
            </w:tcMar>
            <w:vAlign w:val="center"/>
          </w:tcPr>
          <w:p>
            <w:pPr>
              <w:jc w:val="center"/>
            </w:pPr>
            <w:r>
              <w:rPr>
                <w:b w:val="false"/>
                <w:bCs w:val="false"/>
                <w:color w:val="000000"/>
                <w:sz w:val="19"/>
                <w:szCs w:val="19"/>
              </w:rPr>
              <w:t xml:space="preserve">Genuine core-channel margin problem — pricing, discount discipline, or cost, needs a per-franchise or per-layer fix</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Outlet-Migrated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6.3M</w:t>
            </w:r>
          </w:p>
        </w:tc>
        <w:tc>
          <w:tcPr>
            <w:tcW w:type="dxa" w:w="4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Sales concentrated in outlet/special accounts — the low margin is structural, not a discipline failure; re-tag rather than 'fix'</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Not in FW27 (subset of above)</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49</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15.4M</w:t>
            </w:r>
          </w:p>
        </w:tc>
        <w:tc>
          <w:tcPr>
            <w:tcW w:type="dxa" w:w="4950"/>
            <w:tcMar>
              <w:top w:type="dxa" w:w="60"/>
              <w:left w:type="dxa" w:w="100"/>
              <w:bottom w:type="dxa" w:w="60"/>
              <w:right w:type="dxa" w:w="100"/>
            </w:tcMar>
            <w:vAlign w:val="center"/>
          </w:tcPr>
          <w:p>
            <w:pPr>
              <w:jc w:val="center"/>
            </w:pPr>
            <w:r>
              <w:rPr>
                <w:b w:val="false"/>
                <w:bCs w:val="false"/>
                <w:color w:val="000000"/>
                <w:sz w:val="19"/>
                <w:szCs w:val="19"/>
              </w:rPr>
              <w:t xml:space="preserve">No confirmed FW27 continuation found — cross-referenced in Section 10's consolidated list</w:t>
            </w:r>
          </w:p>
        </w:tc>
      </w:tr>
    </w:tbl>
    <w:p>
      <w:pPr>
        <w:pBdr>
          <w:left w:val="single" w:color="3C8A4C" w:sz="18"/>
        </w:pBdr>
        <w:shd w:fill="EAF3EA" w:val="clear"/>
        <w:spacing w:after="120" w:before="100"/>
        <w:ind w:left="150" w:right="100"/>
      </w:pPr>
      <w:r>
        <w:rPr>
          <w:b/>
          <w:bCs/>
          <w:color w:val="1F5C2E"/>
        </w:rPr>
        <w:t xml:space="preserve">DATA SHOWS: </w:t>
      </w:r>
      <w:r>
        <w:t xml:space="preserve">129 franchises worth 88.5M SEK — 93% of Problem Child sales — are a real core-channel pricing/margin problem, not an outlet-migration artifact. This is the single largest concentrated pricing-discipline opportunity found anywhere in the portfolio classification (larger in SEK terms than the ~16M SEK found in Item 2's channel-level ASP analysis, because Item 2 looked at aggregate channel trend while this looks at which specific franchises are structurally below the 40% GM floor).</w:t>
      </w:r>
    </w:p>
    <w:p>
      <w:pPr>
        <w:pBdr>
          <w:left w:val="single" w:color="C97A1A" w:sz="18"/>
        </w:pBdr>
        <w:shd w:fill="FCEFDC" w:val="clear"/>
        <w:spacing w:after="120" w:before="100"/>
        <w:ind w:left="150" w:right="100"/>
      </w:pPr>
      <w:r>
        <w:rPr>
          <w:b/>
          <w:bCs/>
          <w:color w:val="8A4B00"/>
        </w:rPr>
        <w:t xml:space="preserve">NOT ANSWERABLE FROM DATA — ASK: </w:t>
      </w:r>
      <w:r>
        <w:t xml:space="preserve">For the 129 Core Pricing Fix franchises, is the fix pricing (raise), cost (reduce), or exit (the product doesn't clear a viable margin at any realistic price)? This needs a merchandising/product judgment call per franchise or per layer group, not a single company-wide answer. Owner: CPO, with Merchandising Director on pricing feasibility.</w:t>
      </w:r>
    </w:p>
    <w:p>
      <w:r>
        <w:br w:type="page"/>
      </w:r>
    </w:p>
    <w:p>
      <w:pPr>
        <w:pStyle w:val="Heading1"/>
        <w:spacing w:after="160" w:before="320"/>
      </w:pPr>
      <w:r>
        <w:t xml:space="preserve">7. Workhorse (202 franchises, 197.3M SEK, GM 47.5%): the single-channel scale-up opportunity</w:t>
      </w:r>
    </w:p>
    <w:p>
      <w:pPr>
        <w:spacing w:after="160"/>
      </w:pPr>
      <w:r>
        <w:t xml:space="preserve">Workhorse is the largest tier by revenue and structurally healthy (margin and growth both clear the bar). The addressable opportunity here is not fixing a problem — it's closing a gap: which Workhorse franchises are selling well in one channel but are effectively absent from the other.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700"/>
        <w:gridCol w:w="1300"/>
        <w:gridCol w:w="3750"/>
      </w:tblGrid>
      <w:tr>
        <w:trPr>
          <w:tblHeader/>
        </w:trPr>
        <w:tc>
          <w:tcPr>
            <w:tcW w:type="dxa" w:w="3600"/>
            <w:shd w:fill="2F2F2F" w:val="clear"/>
            <w:tcMar>
              <w:top w:type="dxa" w:w="60"/>
              <w:left w:type="dxa" w:w="100"/>
              <w:bottom w:type="dxa" w:w="60"/>
              <w:right w:type="dxa" w:w="100"/>
            </w:tcMar>
            <w:vAlign w:val="center"/>
          </w:tcPr>
          <w:p>
            <w:pPr>
              <w:jc w:val="left"/>
            </w:pPr>
            <w:r>
              <w:rPr>
                <w:b/>
                <w:bCs/>
                <w:color w:val="FFFFFF"/>
                <w:sz w:val="19"/>
                <w:szCs w:val="19"/>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3750"/>
            <w:shd w:fill="2F2F2F" w:val="clear"/>
            <w:tcMar>
              <w:top w:type="dxa" w:w="60"/>
              <w:left w:type="dxa" w:w="100"/>
              <w:bottom w:type="dxa" w:w="60"/>
              <w:right w:type="dxa" w:w="100"/>
            </w:tcMar>
            <w:vAlign w:val="center"/>
          </w:tcPr>
          <w:p>
            <w:pPr>
              <w:jc w:val="center"/>
            </w:pPr>
            <w:r>
              <w:rPr>
                <w:b/>
                <w:bCs/>
                <w:color w:val="FFFFFF"/>
                <w:sz w:val="19"/>
                <w:szCs w:val="19"/>
              </w:rPr>
              <w:t xml:space="preserve">Detail</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Single-channel (missing WS or DTC entirely)</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90</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31.0M</w:t>
            </w:r>
          </w:p>
        </w:tc>
        <w:tc>
          <w:tcPr>
            <w:tcW w:type="dxa" w:w="3750"/>
            <w:tcMar>
              <w:top w:type="dxa" w:w="60"/>
              <w:left w:type="dxa" w:w="100"/>
              <w:bottom w:type="dxa" w:w="60"/>
              <w:right w:type="dxa" w:w="100"/>
            </w:tcMar>
            <w:vAlign w:val="center"/>
          </w:tcPr>
          <w:p>
            <w:pPr>
              <w:jc w:val="center"/>
            </w:pPr>
            <w:r>
              <w:rPr>
                <w:b w:val="false"/>
                <w:bCs w:val="false"/>
                <w:color w:val="000000"/>
                <w:sz w:val="19"/>
                <w:szCs w:val="19"/>
              </w:rPr>
              <w:t xml:space="preserve">52 Wholesale-missing (DTC only) / 38 DTC-missing (Wholesale only)</w:t>
            </w:r>
          </w:p>
        </w:tc>
      </w:tr>
      <w:tr>
        <w:tc>
          <w:tcPr>
            <w:tcW w:type="dxa" w:w="3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Clean scale-up shortlist (near-miss: missing channel already ≥20% of the way to a real presence)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57</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21.9M</w:t>
            </w:r>
          </w:p>
        </w:tc>
        <w:tc>
          <w:tcPr>
            <w:tcW w:type="dxa" w:w="3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1.85M SEK combined gap to cross the channel-presence bar (Wholesale &gt;100K SEK or DTC &gt;50K SEK) — not a scale-to-2M-SEK story</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700"/>
        <w:gridCol w:w="900"/>
        <w:gridCol w:w="2750"/>
      </w:tblGrid>
      <w:tr>
        <w:trPr>
          <w:tblHeader/>
        </w:trPr>
        <w:tc>
          <w:tcPr>
            <w:tcW w:type="dxa" w:w="5700"/>
            <w:shd w:fill="2F2F2F" w:val="clear"/>
            <w:tcMar>
              <w:top w:type="dxa" w:w="60"/>
              <w:left w:type="dxa" w:w="100"/>
              <w:bottom w:type="dxa" w:w="60"/>
              <w:right w:type="dxa" w:w="100"/>
            </w:tcMar>
            <w:vAlign w:val="center"/>
          </w:tcPr>
          <w:p>
            <w:pPr>
              <w:jc w:val="left"/>
            </w:pPr>
            <w:r>
              <w:rPr>
                <w:b/>
                <w:bCs/>
                <w:color w:val="FFFFFF"/>
                <w:sz w:val="19"/>
                <w:szCs w:val="19"/>
              </w:rPr>
              <w:t xml:space="preserve">Lever needed (shortlist of 57)</w:t>
            </w:r>
          </w:p>
        </w:tc>
        <w:tc>
          <w:tcPr>
            <w:tcW w:type="dxa" w:w="9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275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r>
      <w:tr>
        <w:tc>
          <w:tcPr>
            <w:tcW w:type="dxa" w:w="5700"/>
            <w:tcMar>
              <w:top w:type="dxa" w:w="60"/>
              <w:left w:type="dxa" w:w="100"/>
              <w:bottom w:type="dxa" w:w="60"/>
              <w:right w:type="dxa" w:w="100"/>
            </w:tcMar>
            <w:vAlign w:val="center"/>
          </w:tcPr>
          <w:p>
            <w:pPr>
              <w:jc w:val="left"/>
            </w:pPr>
            <w:r>
              <w:rPr>
                <w:b w:val="false"/>
                <w:bCs w:val="false"/>
                <w:color w:val="000000"/>
                <w:sz w:val="19"/>
                <w:szCs w:val="19"/>
              </w:rPr>
              <w:t xml:space="preserve">Wholesale distribution (DTC already works, Wholesale near-miss)</w:t>
            </w:r>
          </w:p>
        </w:tc>
        <w:tc>
          <w:tcPr>
            <w:tcW w:type="dxa" w:w="900"/>
            <w:tcMar>
              <w:top w:type="dxa" w:w="60"/>
              <w:left w:type="dxa" w:w="100"/>
              <w:bottom w:type="dxa" w:w="60"/>
              <w:right w:type="dxa" w:w="100"/>
            </w:tcMar>
            <w:vAlign w:val="center"/>
          </w:tcPr>
          <w:p>
            <w:pPr>
              <w:jc w:val="center"/>
            </w:pPr>
            <w:r>
              <w:rPr>
                <w:b w:val="false"/>
                <w:bCs w:val="false"/>
                <w:color w:val="000000"/>
                <w:sz w:val="19"/>
                <w:szCs w:val="19"/>
              </w:rPr>
              <w:t xml:space="preserve">39</w:t>
            </w:r>
          </w:p>
        </w:tc>
        <w:tc>
          <w:tcPr>
            <w:tcW w:type="dxa" w:w="2750"/>
            <w:tcMar>
              <w:top w:type="dxa" w:w="60"/>
              <w:left w:type="dxa" w:w="100"/>
              <w:bottom w:type="dxa" w:w="60"/>
              <w:right w:type="dxa" w:w="100"/>
            </w:tcMar>
            <w:vAlign w:val="center"/>
          </w:tcPr>
          <w:p>
            <w:pPr>
              <w:jc w:val="center"/>
            </w:pPr>
            <w:r>
              <w:rPr>
                <w:b w:val="false"/>
                <w:bCs w:val="false"/>
                <w:color w:val="000000"/>
                <w:sz w:val="19"/>
                <w:szCs w:val="19"/>
              </w:rPr>
              <w:t xml:space="preserve">9.9M</w:t>
            </w:r>
          </w:p>
        </w:tc>
      </w:tr>
      <w:tr>
        <w:tc>
          <w:tcPr>
            <w:tcW w:type="dxa" w:w="5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DTC content/marketing (Wholesale already works, DTC near-miss)</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2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12.0M</w:t>
            </w:r>
          </w:p>
        </w:tc>
      </w:tr>
    </w:tbl>
    <w:p>
      <w:pPr>
        <w:pBdr>
          <w:left w:val="single" w:color="3C8A4C" w:sz="18"/>
        </w:pBdr>
        <w:shd w:fill="EAF3EA" w:val="clear"/>
        <w:spacing w:after="120" w:before="100"/>
        <w:ind w:left="150" w:right="100"/>
      </w:pPr>
      <w:r>
        <w:rPr>
          <w:b/>
          <w:bCs/>
          <w:color w:val="1F5C2E"/>
        </w:rPr>
        <w:t xml:space="preserve">DATA SHOWS: </w:t>
      </w:r>
      <w:r>
        <w:t xml:space="preserve">This is a concrete, low-ambiguity list: 57 named franchises, each already proven in one channel and sitting at an average 54-63% of the volume needed to count as a genuine presence in the other (Wholesale &gt;100K SEK, DTC &gt;50K SEK — the same thresholds used for the Hero cross-channel test in Section 4). The combined gap to close is only 1.85M SEK, not the 39.5M-SEK 'headroom to Hero scale' figure in an earlier draft of this section — that number came from a different, unrelated cut (Workhorse franchises already selling in both channels but under 2M SEK) that this section's text had mislabeled as the single-channel shortlist. Corrected here; full detail in the backup workbook.</w:t>
      </w:r>
    </w:p>
    <w:p>
      <w:pPr>
        <w:spacing w:after="200"/>
      </w:pPr>
      <w:r>
        <w:rPr>
          <w:i/>
          <w:iCs/>
          <w:color w:val="555555"/>
          <w:sz w:val="18"/>
          <w:szCs w:val="18"/>
        </w:rPr>
        <w:t xml:space="preserve">A further 12 franchises (0.66M SEK) are near-miss on the smaller of the two thresholds only because their total scale is tiny (small-ticket accessories — shoelaces, headbands, a facemask) and clear neither channel's bar outright. These are excluded from the 57-franchise shortlist above: the fix for them isn't a specific channel lever, it's a different question (why this SKU is this small at all), so bundling them into the Wholesale/DTC lever count would overstate how 'clean' that list is.</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specifically — is the gap a listing/account problem (Sales can act on this directly) or a genuine lack of Wholesale buyer interest in the product (a product/positioning problem)? Owner: Wholesale Director.</w:t>
      </w:r>
    </w:p>
    <w:p>
      <w:pPr>
        <w:pStyle w:val="Heading1"/>
        <w:spacing w:after="160" w:before="320"/>
      </w:pPr>
      <w:r>
        <w:t xml:space="preserve">8. Harvest (236 franchises, 120.2M SEK, GM 50.6%): the biggest revenue swing in the portfolio</w:t>
      </w:r>
    </w:p>
    <w:p>
      <w:pPr>
        <w:spacing w:after="160"/>
      </w:pPr>
      <w:r>
        <w:t xml:space="preserve">Harvest lost more absolute revenue year-over-year than any other tier — 216.2M SEK in 2024 down to 120.2M in 2025 — while holding a healthy 50.6% margin. This is not a margin problem; it's a volume/relevance problem on product that is still profitable per unit sold.</w:t>
      </w:r>
    </w:p>
    <w:p>
      <w:pPr>
        <w:pBdr>
          <w:left w:val="single" w:color="3C8A4C" w:sz="18"/>
        </w:pBdr>
        <w:shd w:fill="EAF3EA" w:val="clear"/>
        <w:spacing w:after="120" w:before="100"/>
        <w:ind w:left="150" w:right="100"/>
      </w:pPr>
      <w:r>
        <w:rPr>
          <w:b/>
          <w:bCs/>
          <w:color w:val="1F5C2E"/>
        </w:rPr>
        <w:t xml:space="preserve">DATA SHOWS: </w:t>
      </w:r>
      <w:r>
        <w:t xml:space="preserve">An early pass looking for 'sibling' franchises (older/newer naming variants within Harvest that might explain the decline as a version-transition rather than genuine decline) initially found 83 apparent matches worth 57.7M SEK using a loose first-word match — but this was a false positive: the matched words were Haglöfs collection prefixes (L.I.M, ROC, Mimic, Rugged), not real family names. Corrected to exact Base-name matching, only 4 genuine sibling pairs were found. The Harvest decline is overwhelmingly genuine demand/relevance loss, not an artifact of miscounted product-version transitions.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700"/>
        <w:gridCol w:w="1300"/>
        <w:gridCol w:w="3750"/>
      </w:tblGrid>
      <w:tr>
        <w:trPr>
          <w:tblHeader/>
        </w:trPr>
        <w:tc>
          <w:tcPr>
            <w:tcW w:type="dxa" w:w="3600"/>
            <w:shd w:fill="2F2F2F" w:val="clear"/>
            <w:tcMar>
              <w:top w:type="dxa" w:w="60"/>
              <w:left w:type="dxa" w:w="100"/>
              <w:bottom w:type="dxa" w:w="60"/>
              <w:right w:type="dxa" w:w="100"/>
            </w:tcMar>
            <w:vAlign w:val="center"/>
          </w:tcPr>
          <w:p>
            <w:pPr>
              <w:jc w:val="left"/>
            </w:pPr>
            <w:r>
              <w:rPr>
                <w:b/>
                <w:bCs/>
                <w:color w:val="FFFFFF"/>
                <w:sz w:val="19"/>
                <w:szCs w:val="19"/>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37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No confirmed FW27 continuation</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94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31.5M</w:t>
            </w:r>
          </w:p>
        </w:tc>
        <w:tc>
          <w:tcPr>
            <w:tcW w:type="dxa" w:w="3750"/>
            <w:tcMar>
              <w:top w:type="dxa" w:w="60"/>
              <w:left w:type="dxa" w:w="100"/>
              <w:bottom w:type="dxa" w:w="60"/>
              <w:right w:type="dxa" w:w="100"/>
            </w:tcMar>
            <w:vAlign w:val="center"/>
          </w:tcPr>
          <w:p>
            <w:pPr>
              <w:jc w:val="center"/>
            </w:pPr>
            <w:r>
              <w:rPr>
                <w:b w:val="false"/>
                <w:bCs w:val="false"/>
                <w:color w:val="000000"/>
                <w:sz w:val="19"/>
                <w:szCs w:val="19"/>
              </w:rPr>
              <w:t xml:space="preserve">Highest-value FW27 gap of any single tier — see Section 10</w:t>
            </w:r>
          </w:p>
        </w:tc>
      </w:tr>
      <w:tr>
        <w:tc>
          <w:tcPr>
            <w:tcW w:type="dxa" w:w="3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Confirmed continuing in FW27</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88.7M</w:t>
            </w:r>
          </w:p>
        </w:tc>
        <w:tc>
          <w:tcPr>
            <w:tcW w:type="dxa" w:w="3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Product is planned to continue despite the decline — worth checking why</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142 Harvest franchises that ARE confirmed continuing in FW27 despite a ≥10% decline, is there a specific reason (e.g. hero-adjacent, contractual, brand-statement product) or is this simply not being reviewed? Owner: whoever owns the FW27 range-planning sign-off.</w:t>
      </w:r>
    </w:p>
    <w:p>
      <w:r>
        <w:br w:type="page"/>
      </w:r>
    </w:p>
    <w:p>
      <w:pPr>
        <w:pStyle w:val="Heading1"/>
        <w:spacing w:after="160" w:before="320"/>
      </w:pPr>
      <w:r>
        <w:t xml:space="preserve">9. New/Test (197 launches, 123.9M SEK): a launch-follow-through gap</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 per your direction.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550"/>
        <w:gridCol w:w="700"/>
        <w:gridCol w:w="4100"/>
      </w:tblGrid>
      <w:tr>
        <w:trPr>
          <w:tblHeader/>
        </w:trPr>
        <w:tc>
          <w:tcPr>
            <w:tcW w:type="dxa" w:w="4550"/>
            <w:shd w:fill="2F2F2F" w:val="clear"/>
            <w:tcMar>
              <w:top w:type="dxa" w:w="60"/>
              <w:left w:type="dxa" w:w="100"/>
              <w:bottom w:type="dxa" w:w="60"/>
              <w:right w:type="dxa" w:w="100"/>
            </w:tcMar>
            <w:vAlign w:val="center"/>
          </w:tcPr>
          <w:p>
            <w:pPr>
              <w:jc w:val="left"/>
            </w:pPr>
            <w:r>
              <w:rPr>
                <w:b/>
                <w:bCs/>
                <w:color w:val="FFFFFF"/>
                <w:sz w:val="19"/>
                <w:szCs w:val="19"/>
              </w:rPr>
              <w:t xml:space="preserve">Segment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41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Clean — no flags</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111</w:t>
            </w:r>
          </w:p>
        </w:tc>
        <w:tc>
          <w:tcPr>
            <w:tcW w:type="dxa" w:w="4100"/>
            <w:tcMar>
              <w:top w:type="dxa" w:w="60"/>
              <w:left w:type="dxa" w:w="100"/>
              <w:bottom w:type="dxa" w:w="60"/>
              <w:right w:type="dxa" w:w="100"/>
            </w:tcMar>
            <w:vAlign w:val="center"/>
          </w:tcPr>
          <w:p>
            <w:pPr>
              <w:jc w:val="center"/>
            </w:pPr>
            <w:r>
              <w:rPr>
                <w:b w:val="false"/>
                <w:bCs w:val="false"/>
                <w:color w:val="000000"/>
                <w:sz w:val="19"/>
                <w:szCs w:val="19"/>
              </w:rPr>
              <w:t xml:space="preserve">91.9M</w:t>
            </w:r>
          </w:p>
        </w:tc>
      </w:tr>
      <w:tr>
        <w:tc>
          <w:tcPr>
            <w:tcW w:type="dxa" w:w="45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1 flag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56</w:t>
            </w:r>
          </w:p>
        </w:tc>
        <w:tc>
          <w:tcPr>
            <w:tcW w:type="dxa" w:w="4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 — mixed</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2+ flags (priority watchlist)</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4100"/>
            <w:tcMar>
              <w:top w:type="dxa" w:w="60"/>
              <w:left w:type="dxa" w:w="100"/>
              <w:bottom w:type="dxa" w:w="60"/>
              <w:right w:type="dxa" w:w="100"/>
            </w:tcMar>
            <w:vAlign w:val="center"/>
          </w:tcPr>
          <w:p>
            <w:pPr>
              <w:jc w:val="center"/>
            </w:pPr>
            <w:r>
              <w:rPr>
                <w:b w:val="false"/>
                <w:bCs w:val="false"/>
                <w:color w:val="000000"/>
                <w:sz w:val="19"/>
                <w:szCs w:val="19"/>
              </w:rPr>
              <w:t xml:space="preserve">3.9M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150"/>
        <w:gridCol w:w="2200"/>
      </w:tblGrid>
      <w:tr>
        <w:trPr>
          <w:tblHeader/>
        </w:trPr>
        <w:tc>
          <w:tcPr>
            <w:tcW w:type="dxa" w:w="7150"/>
            <w:shd w:fill="2F2F2F" w:val="clear"/>
            <w:tcMar>
              <w:top w:type="dxa" w:w="60"/>
              <w:left w:type="dxa" w:w="100"/>
              <w:bottom w:type="dxa" w:w="60"/>
              <w:right w:type="dxa" w:w="100"/>
            </w:tcMar>
            <w:vAlign w:val="center"/>
          </w:tcPr>
          <w:p>
            <w:pPr>
              <w:jc w:val="left"/>
            </w:pPr>
            <w:r>
              <w:rPr>
                <w:b/>
                <w:bCs/>
                <w:color w:val="FFFFFF"/>
                <w:sz w:val="19"/>
                <w:szCs w:val="19"/>
              </w:rPr>
              <w:t xml:space="preserve">Flag</w:t>
            </w:r>
          </w:p>
        </w:tc>
        <w:tc>
          <w:tcPr>
            <w:tcW w:type="dxa" w:w="2200"/>
            <w:shd w:fill="2F2F2F" w:val="clear"/>
            <w:tcMar>
              <w:top w:type="dxa" w:w="60"/>
              <w:left w:type="dxa" w:w="100"/>
              <w:bottom w:type="dxa" w:w="60"/>
              <w:right w:type="dxa" w:w="100"/>
            </w:tcMar>
            <w:vAlign w:val="center"/>
          </w:tcPr>
          <w:p>
            <w:pPr>
              <w:jc w:val="center"/>
            </w:pPr>
            <w:r>
              <w:rPr>
                <w:b/>
                <w:bCs/>
                <w:color w:val="FFFFFF"/>
                <w:sz w:val="19"/>
                <w:szCs w:val="19"/>
              </w:rPr>
              <w:t xml:space="preserve">N of 197</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No DTC presence in year 1</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34</w:t>
            </w:r>
          </w:p>
        </w:tc>
      </w:tr>
      <w:tr>
        <w:tc>
          <w:tcPr>
            <w:tcW w:type="dxa" w:w="71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No confirmed FW27 continuation plan</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Low margin at launch (&lt;35% GM)</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28</w:t>
            </w:r>
          </w:p>
        </w:tc>
      </w:tr>
      <w:tr>
        <w:tc>
          <w:tcPr>
            <w:tcW w:type="dxa" w:w="71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Outlet-leaking (&gt;50% special-account exposure)</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Zero reorder despite &gt;100K Preorder (Wholesale)</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8</w:t>
            </w:r>
          </w:p>
        </w:tc>
      </w:tr>
    </w:tbl>
    <w:p>
      <w:pPr>
        <w:pBdr>
          <w:left w:val="single" w:color="3C8A4C" w:sz="18"/>
        </w:pBdr>
        <w:shd w:fill="EAF3EA" w:val="clear"/>
        <w:spacing w:after="120" w:before="100"/>
        <w:ind w:left="150" w:right="100"/>
      </w:pPr>
      <w:r>
        <w:rPr>
          <w:b/>
          <w:bCs/>
          <w:color w:val="1F5C2E"/>
        </w:rPr>
        <w:t xml:space="preserve">DATA SHOWS: </w:t>
      </w:r>
      <w:r>
        <w:t xml:space="preserve">Company-wide Wholesale reorder conversion for New/Test launches is 13.0% — i.e. roughly 1 in 8 Wholesale-launched styles gets reordered at all in its first real trading year. This is the concrete evidence behind the 'launches aren't being followed up' concern: most new product either lands and holds (clean, 111 franchises) or launches and is never reordered, with comparatively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1"/>
        <w:spacing w:after="160" w:before="320"/>
      </w:pPr>
      <w:r>
        <w:t xml:space="preserve">10. Exited &amp; Thin: what to actually do with 1,040 low-value franchises</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700"/>
        <w:gridCol w:w="1550"/>
        <w:gridCol w:w="1900"/>
        <w:gridCol w:w="27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9"/>
                <w:szCs w:val="19"/>
              </w:rPr>
              <w:t xml:space="preserve">Segment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550"/>
            <w:shd w:fill="2F2F2F" w:val="clear"/>
            <w:tcMar>
              <w:top w:type="dxa" w:w="60"/>
              <w:left w:type="dxa" w:w="100"/>
              <w:bottom w:type="dxa" w:w="60"/>
              <w:right w:type="dxa" w:w="100"/>
            </w:tcMar>
            <w:vAlign w:val="center"/>
          </w:tcPr>
          <w:p>
            <w:pPr>
              <w:jc w:val="center"/>
            </w:pPr>
            <w:r>
              <w:rPr>
                <w:b/>
                <w:bCs/>
                <w:color w:val="FFFFFF"/>
                <w:sz w:val="19"/>
                <w:szCs w:val="19"/>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Special-Acct Sales 2025</w:t>
            </w:r>
          </w:p>
        </w:tc>
        <w:tc>
          <w:tcPr>
            <w:tcW w:type="dxa" w:w="2700"/>
            <w:shd w:fill="2F2F2F" w:val="clear"/>
            <w:tcMar>
              <w:top w:type="dxa" w:w="60"/>
              <w:left w:type="dxa" w:w="100"/>
              <w:bottom w:type="dxa" w:w="60"/>
              <w:right w:type="dxa" w:w="100"/>
            </w:tcMar>
            <w:vAlign w:val="center"/>
          </w:tcPr>
          <w:p>
            <w:pPr>
              <w:jc w:val="center"/>
            </w:pPr>
            <w:r>
              <w:rPr>
                <w:b/>
                <w:bCs/>
                <w:color w:val="FFFFFF"/>
                <w:sz w:val="19"/>
                <w:szCs w:val="19"/>
              </w:rPr>
              <w:t xml:space="preserve">Recommended default action</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Shrinking trace, still limping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393</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0.4M</w:t>
            </w:r>
          </w:p>
        </w:tc>
        <w:tc>
          <w:tcPr>
            <w:tcW w:type="dxa" w:w="2700"/>
            <w:tcMar>
              <w:top w:type="dxa" w:w="60"/>
              <w:left w:type="dxa" w:w="100"/>
              <w:bottom w:type="dxa" w:w="60"/>
              <w:right w:type="dxa" w:w="100"/>
            </w:tcMar>
            <w:vAlign w:val="center"/>
          </w:tcPr>
          <w:p>
            <w:pPr>
              <w:jc w:val="center"/>
            </w:pPr>
            <w:r>
              <w:rPr>
                <w:b w:val="false"/>
                <w:bCs w:val="false"/>
                <w:color w:val="000000"/>
                <w:sz w:val="19"/>
                <w:szCs w:val="19"/>
              </w:rPr>
              <w:t xml:space="preserve">Kill candidate — formalize exit, lowest-effort largest cleanup</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Faded to zero</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227</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Kill candidate — already effectively dead, formalize the exit record</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Too new to judge</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0.3M</w:t>
            </w:r>
          </w:p>
        </w:tc>
        <w:tc>
          <w:tcPr>
            <w:tcW w:type="dxa" w:w="2700"/>
            <w:tcMar>
              <w:top w:type="dxa" w:w="60"/>
              <w:left w:type="dxa" w:w="100"/>
              <w:bottom w:type="dxa" w:w="60"/>
              <w:right w:type="dxa" w:w="100"/>
            </w:tcMar>
            <w:vAlign w:val="center"/>
          </w:tcPr>
          <w:p>
            <w:pPr>
              <w:jc w:val="center"/>
            </w:pPr>
            <w:r>
              <w:rPr>
                <w:b w:val="false"/>
                <w:bCs w:val="false"/>
                <w:color w:val="000000"/>
                <w:sz w:val="19"/>
                <w:szCs w:val="19"/>
              </w:rPr>
              <w:t xml:space="preserve">Give it another season before any decision</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Actually alive in outlet</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40.2M</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NOT a kill candidate — re-tag as outlet/clearance, not exited</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No presence either year</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79</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2700"/>
            <w:tcMar>
              <w:top w:type="dxa" w:w="60"/>
              <w:left w:type="dxa" w:w="100"/>
              <w:bottom w:type="dxa" w:w="60"/>
              <w:right w:type="dxa" w:w="100"/>
            </w:tcMar>
            <w:vAlign w:val="center"/>
          </w:tcPr>
          <w:p>
            <w:pPr>
              <w:jc w:val="center"/>
            </w:pPr>
            <w:r>
              <w:rPr>
                <w:b w:val="false"/>
                <w:bCs w:val="false"/>
                <w:color w:val="000000"/>
                <w:sz w:val="19"/>
                <w:szCs w:val="19"/>
              </w:rPr>
              <w:t xml:space="preserve">Data noise — ignore, no decision needed</w:t>
            </w:r>
          </w:p>
        </w:tc>
      </w:tr>
    </w:tbl>
    <w:p>
      <w:pPr>
        <w:pBdr>
          <w:left w:val="single" w:color="3C8A4C" w:sz="18"/>
        </w:pBdr>
        <w:shd w:fill="EAF3EA" w:val="clear"/>
        <w:spacing w:after="120" w:before="100"/>
        <w:ind w:left="150" w:right="100"/>
      </w:pPr>
      <w:r>
        <w:rPr>
          <w:b/>
          <w:bCs/>
          <w:color w:val="1F5C2E"/>
        </w:rPr>
        <w:t xml:space="preserve">DATA SHOWS: </w:t>
      </w:r>
      <w:r>
        <w:t xml:space="preserve">The 81-franchise 'alive in outlet' segment is the one genuine trap in this tier: it looks worthless in the core-scope view (2.1M SEK) but carries 40.2M SEK of special-account/outlet sales — nearly 20x the core figure. Applying a blanket 'Thin = kill' rule without this check would have wrongly flagged 40.2M SEK of real (if low-margin) outlet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9) once they clear the 100-unit real-trading threshold.</w:t>
      </w:r>
    </w:p>
    <w:p>
      <w:pPr>
        <w:pBdr>
          <w:left w:val="single" w:color="C97A1A" w:sz="18"/>
        </w:pBdr>
        <w:shd w:fill="FCEFDC" w:val="clear"/>
        <w:spacing w:after="120" w:before="100"/>
        <w:ind w:left="150" w:right="100"/>
      </w:pPr>
      <w:r>
        <w:rPr>
          <w:b/>
          <w:bCs/>
          <w:color w:val="8A4B00"/>
        </w:rPr>
        <w:t xml:space="preserve">NOT ANSWERABLE FROM DATA — ASK: </w:t>
      </w:r>
      <w:r>
        <w:t xml:space="preserve">Is there an appetite to formally close ~620 dead SKUs as a batch housekeeping exercise (system/catalog cleanup), even though the SEK impact is immaterial — i.e. is this worth doing for catalog hygiene and team time saved, not for P&amp;L impact? Owner: whoever owns the article master/catalog system.</w:t>
      </w:r>
    </w:p>
    <w:p>
      <w:r>
        <w:br w:type="page"/>
      </w:r>
    </w:p>
    <w:p>
      <w:pPr>
        <w:pStyle w:val="Heading1"/>
        <w:spacing w:after="160" w:before="320"/>
      </w:pPr>
      <w:r>
        <w:t xml:space="preserve">11. Cross-tier FW27 Confirm-or-Exit list (211 franchises, 87.4M SEK)</w:t>
      </w:r>
    </w:p>
    <w:p>
      <w:pPr>
        <w:spacing w:after="160"/>
      </w:pPr>
      <w:r>
        <w:t xml:space="preserve">The single most time-sensitive list in this pack. Every Problem Child, Harvest and Workhorse franchise was checked against the Assortment Attribution Review for a confirmed FW27 continuation. These 211 franchises — split across three tiers with very different underlying stories — have none found.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700"/>
        <w:gridCol w:w="1300"/>
        <w:gridCol w:w="3450"/>
      </w:tblGrid>
      <w:tr>
        <w:trPr>
          <w:tblHeader/>
        </w:trPr>
        <w:tc>
          <w:tcPr>
            <w:tcW w:type="dxa" w:w="2200"/>
            <w:shd w:fill="2F2F2F" w:val="clear"/>
            <w:tcMar>
              <w:top w:type="dxa" w:w="60"/>
              <w:left w:type="dxa" w:w="100"/>
              <w:bottom w:type="dxa" w:w="60"/>
              <w:right w:type="dxa" w:w="100"/>
            </w:tcMar>
            <w:vAlign w:val="center"/>
          </w:tcPr>
          <w:p>
            <w:pPr>
              <w:jc w:val="left"/>
            </w:pPr>
            <w:r>
              <w:rPr>
                <w:b/>
                <w:bCs/>
                <w:color w:val="FFFFFF"/>
                <w:sz w:val="19"/>
                <w:szCs w:val="19"/>
              </w:rPr>
              <w:t xml:space="preserve">Source tier</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Growth direction</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34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Harvest</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Flat/declining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94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31.5M</w:t>
            </w:r>
          </w:p>
        </w:tc>
        <w:tc>
          <w:tcPr>
            <w:tcW w:type="dxa" w:w="3450"/>
            <w:tcMar>
              <w:top w:type="dxa" w:w="60"/>
              <w:left w:type="dxa" w:w="100"/>
              <w:bottom w:type="dxa" w:w="60"/>
              <w:right w:type="dxa" w:w="100"/>
            </w:tcMar>
            <w:vAlign w:val="center"/>
          </w:tcPr>
          <w:p>
            <w:pPr>
              <w:jc w:val="center"/>
            </w:pPr>
            <w:r>
              <w:rPr>
                <w:b w:val="false"/>
                <w:bCs w:val="false"/>
                <w:color w:val="000000"/>
                <w:sz w:val="19"/>
                <w:szCs w:val="19"/>
              </w:rPr>
              <w:t xml:space="preserve">Consistent with the broader Harvest decline — plausibly a deliberate range cut</w:t>
            </w:r>
          </w:p>
        </w:tc>
      </w:tr>
      <w:tr>
        <w:tc>
          <w:tcPr>
            <w:tcW w:type="dxa" w:w="2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Growing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26.9M</w:t>
            </w:r>
          </w:p>
        </w:tc>
        <w:tc>
          <w:tcPr>
            <w:tcW w:type="dxa" w:w="3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HIGHEST URGENCY — a working, growing product with apparently no FW27 plan</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Flat/declining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13.6M</w:t>
            </w:r>
          </w:p>
        </w:tc>
        <w:tc>
          <w:tcPr>
            <w:tcW w:type="dxa" w:w="3450"/>
            <w:tcMar>
              <w:top w:type="dxa" w:w="60"/>
              <w:left w:type="dxa" w:w="100"/>
              <w:bottom w:type="dxa" w:w="60"/>
              <w:right w:type="dxa" w:w="100"/>
            </w:tcMar>
            <w:vAlign w:val="center"/>
          </w:tcPr>
          <w:p>
            <w:pPr>
              <w:jc w:val="center"/>
            </w:pPr>
            <w:r>
              <w:rPr>
                <w:b w:val="false"/>
                <w:bCs w:val="false"/>
                <w:color w:val="000000"/>
                <w:sz w:val="19"/>
                <w:szCs w:val="19"/>
              </w:rPr>
              <w:t xml:space="preserve">Lower urgency — declining anyway, exit is plausibly already the right call</w:t>
            </w:r>
          </w:p>
        </w:tc>
      </w:tr>
      <w:tr>
        <w:tc>
          <w:tcPr>
            <w:tcW w:type="dxa" w:w="2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Growing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10.8M</w:t>
            </w:r>
          </w:p>
        </w:tc>
        <w:tc>
          <w:tcPr>
            <w:tcW w:type="dxa" w:w="3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Growing despite a margin problem — worth checking if it's a pricing fix, not an exit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Flat/declining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29</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4.6M</w:t>
            </w:r>
          </w:p>
        </w:tc>
        <w:tc>
          <w:tcPr>
            <w:tcW w:type="dxa" w:w="3450"/>
            <w:tcMar>
              <w:top w:type="dxa" w:w="60"/>
              <w:left w:type="dxa" w:w="100"/>
              <w:bottom w:type="dxa" w:w="60"/>
              <w:right w:type="dxa" w:w="100"/>
            </w:tcMar>
            <w:vAlign w:val="center"/>
          </w:tcPr>
          <w:p>
            <w:pPr>
              <w:jc w:val="center"/>
            </w:pPr>
            <w:r>
              <w:rPr>
                <w:b w:val="false"/>
                <w:bCs w:val="false"/>
                <w:color w:val="000000"/>
                <w:sz w:val="19"/>
                <w:szCs w:val="19"/>
              </w:rPr>
              <w:t xml:space="preserve">Lowest urgency — declining and already a margin problem, exit is plausibly correct</w:t>
            </w:r>
          </w:p>
        </w:tc>
      </w:tr>
    </w:tbl>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Priority subset: 42 franchises (33.5M SEK) are GROWING today with no confirmed FW27 plan found. Whatever the right call is per franchise — confirm, formally exit, or investigate a matching-heuristic miss — these are the ones that risk silently disappearing from FW27 despite being commercially healthy right now. This list should go to whoever owns range-planning sign-off before the workshop, not be a workshop discussion item itself.</w:t>
      </w:r>
    </w:p>
    <w:p>
      <w:pPr>
        <w:pBdr>
          <w:left w:val="single" w:color="C97A1A" w:sz="18"/>
        </w:pBdr>
        <w:shd w:fill="FCEFDC" w:val="clear"/>
        <w:spacing w:after="120" w:before="100"/>
        <w:ind w:left="150" w:right="100"/>
      </w:pPr>
      <w:r>
        <w:rPr>
          <w:b/>
          <w:bCs/>
          <w:color w:val="8A4B00"/>
        </w:rPr>
        <w:t xml:space="preserve">NOT ANSWERABLE FROM DATA — ASK: </w:t>
      </w:r>
      <w:r>
        <w:t xml:space="preserve">For the 211-franchise list: how many of these are genuine range-planning decisions already made (and simply not yet reflected as this fuzzy-matching heuristic can't confirm), versus items that fell through the cracks? A direct reconciliation against the FW27 range plan (not just the Assortment Attribution Review extract) would resolve this in one pass. Owner: whoever owns FW27 range-planning sign-off.</w:t>
      </w:r>
    </w:p>
    <w:p>
      <w:pPr>
        <w:pStyle w:val="Heading1"/>
        <w:spacing w:after="160" w:before="320"/>
      </w:pPr>
      <w:r>
        <w:t xml:space="preserve">12.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7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9"/>
                <w:szCs w:val="19"/>
              </w:rPr>
              <w:t xml:space="preserve">Lever</w:t>
            </w:r>
          </w:p>
        </w:tc>
        <w:tc>
          <w:tcPr>
            <w:tcW w:type="dxa" w:w="3300"/>
            <w:shd w:fill="2F2F2F" w:val="clear"/>
            <w:tcMar>
              <w:top w:type="dxa" w:w="60"/>
              <w:left w:type="dxa" w:w="100"/>
              <w:bottom w:type="dxa" w:w="60"/>
              <w:right w:type="dxa" w:w="100"/>
            </w:tcMar>
            <w:vAlign w:val="center"/>
          </w:tcPr>
          <w:p>
            <w:pPr>
              <w:jc w:val="center"/>
            </w:pPr>
            <w:r>
              <w:rPr>
                <w:b/>
                <w:bCs/>
                <w:color w:val="FFFFFF"/>
                <w:sz w:val="19"/>
                <w:szCs w:val="19"/>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2050"/>
            <w:shd w:fill="2F2F2F" w:val="clear"/>
            <w:tcMar>
              <w:top w:type="dxa" w:w="60"/>
              <w:left w:type="dxa" w:w="100"/>
              <w:bottom w:type="dxa" w:w="60"/>
              <w:right w:type="dxa" w:w="100"/>
            </w:tcMar>
            <w:vAlign w:val="center"/>
          </w:tcPr>
          <w:p>
            <w:pPr>
              <w:jc w:val="center"/>
            </w:pPr>
            <w:r>
              <w:rPr>
                <w:b/>
                <w:bCs/>
                <w:color w:val="FFFFFF"/>
                <w:sz w:val="19"/>
                <w:szCs w:val="19"/>
              </w:rPr>
              <w:t xml:space="preserve">SEK</w:t>
            </w:r>
          </w:p>
        </w:tc>
      </w:tr>
      <w:tr>
        <w:tc>
          <w:tcPr>
            <w:tcW w:type="dxa" w:w="3300"/>
            <w:tcMar>
              <w:top w:type="dxa" w:w="60"/>
              <w:left w:type="dxa" w:w="100"/>
              <w:bottom w:type="dxa" w:w="60"/>
              <w:right w:type="dxa" w:w="100"/>
            </w:tcMar>
            <w:vAlign w:val="center"/>
          </w:tcPr>
          <w:p>
            <w:pPr>
              <w:jc w:val="left"/>
            </w:pPr>
            <w:r>
              <w:rPr>
                <w:b w:val="false"/>
                <w:bCs w:val="false"/>
                <w:color w:val="000000"/>
                <w:sz w:val="19"/>
                <w:szCs w:val="19"/>
              </w:rPr>
              <w:t xml:space="preserve">1. Core pricing/margin discipline</w:t>
            </w:r>
          </w:p>
        </w:tc>
        <w:tc>
          <w:tcPr>
            <w:tcW w:type="dxa" w:w="3300"/>
            <w:tcMar>
              <w:top w:type="dxa" w:w="60"/>
              <w:left w:type="dxa" w:w="100"/>
              <w:bottom w:type="dxa" w:w="60"/>
              <w:right w:type="dxa" w:w="100"/>
            </w:tcMar>
            <w:vAlign w:val="center"/>
          </w:tcPr>
          <w:p>
            <w:pPr>
              <w:jc w:val="center"/>
            </w:pPr>
            <w:r>
              <w:rPr>
                <w:b w:val="false"/>
                <w:bCs w:val="false"/>
                <w:color w:val="000000"/>
                <w:sz w:val="19"/>
                <w:szCs w:val="19"/>
              </w:rPr>
              <w:t xml:space="preserve">Problem Child — Core Pricing Fix (Section 6)</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129</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88.5M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 FW27 confirm-or-exit</w:t>
            </w:r>
          </w:p>
        </w:tc>
        <w:tc>
          <w:tcPr>
            <w:tcW w:type="dxa" w:w="3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Problem Child + Harvest + Workhorse, no FW27 match (Section 11)</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211</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87.4M</w:t>
            </w:r>
          </w:p>
        </w:tc>
      </w:tr>
      <w:tr>
        <w:tc>
          <w:tcPr>
            <w:tcW w:type="dxa" w:w="3300"/>
            <w:tcMar>
              <w:top w:type="dxa" w:w="60"/>
              <w:left w:type="dxa" w:w="100"/>
              <w:bottom w:type="dxa" w:w="60"/>
              <w:right w:type="dxa" w:w="100"/>
            </w:tcMar>
            <w:vAlign w:val="center"/>
          </w:tcPr>
          <w:p>
            <w:pPr>
              <w:jc w:val="left"/>
            </w:pPr>
            <w:r>
              <w:rPr>
                <w:b w:val="false"/>
                <w:bCs w:val="false"/>
                <w:color w:val="000000"/>
                <w:sz w:val="19"/>
                <w:szCs w:val="19"/>
              </w:rPr>
              <w:t xml:space="preserve">3. Wholesale distribution expansion</w:t>
            </w:r>
          </w:p>
        </w:tc>
        <w:tc>
          <w:tcPr>
            <w:tcW w:type="dxa" w:w="3300"/>
            <w:tcMar>
              <w:top w:type="dxa" w:w="60"/>
              <w:left w:type="dxa" w:w="100"/>
              <w:bottom w:type="dxa" w:w="60"/>
              <w:right w:type="dxa" w:w="100"/>
            </w:tcMar>
            <w:vAlign w:val="center"/>
          </w:tcPr>
          <w:p>
            <w:pPr>
              <w:jc w:val="center"/>
            </w:pPr>
            <w:r>
              <w:rPr>
                <w:b w:val="false"/>
                <w:bCs w:val="false"/>
                <w:color w:val="000000"/>
                <w:sz w:val="19"/>
                <w:szCs w:val="19"/>
              </w:rPr>
              <w:t xml:space="preserve">Workhorse scale-up shortlist, WS-lever franchises (Section 7)</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39</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of 21.9M shortlist</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 DTC content/marketing investment</w:t>
            </w:r>
          </w:p>
        </w:tc>
        <w:tc>
          <w:tcPr>
            <w:tcW w:type="dxa" w:w="3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Workhorse scale-up shortlist, DTC-lever franchises (Section 7)</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of 21.9M shortlist</w:t>
            </w:r>
          </w:p>
        </w:tc>
      </w:tr>
      <w:tr>
        <w:tc>
          <w:tcPr>
            <w:tcW w:type="dxa" w:w="3300"/>
            <w:tcMar>
              <w:top w:type="dxa" w:w="60"/>
              <w:left w:type="dxa" w:w="100"/>
              <w:bottom w:type="dxa" w:w="60"/>
              <w:right w:type="dxa" w:w="100"/>
            </w:tcMar>
            <w:vAlign w:val="center"/>
          </w:tcPr>
          <w:p>
            <w:pPr>
              <w:jc w:val="left"/>
            </w:pPr>
            <w:r>
              <w:rPr>
                <w:b w:val="false"/>
                <w:bCs w:val="false"/>
                <w:color w:val="000000"/>
                <w:sz w:val="19"/>
                <w:szCs w:val="19"/>
              </w:rPr>
              <w:t xml:space="preserve">5. Outlet/special-account re-tagging (not a 'fix' — a reclassification)</w:t>
            </w:r>
          </w:p>
        </w:tc>
        <w:tc>
          <w:tcPr>
            <w:tcW w:type="dxa" w:w="3300"/>
            <w:tcMar>
              <w:top w:type="dxa" w:w="60"/>
              <w:left w:type="dxa" w:w="100"/>
              <w:bottom w:type="dxa" w:w="60"/>
              <w:right w:type="dxa" w:w="100"/>
            </w:tcMar>
            <w:vAlign w:val="center"/>
          </w:tcPr>
          <w:p>
            <w:pPr>
              <w:jc w:val="center"/>
            </w:pPr>
            <w:r>
              <w:rPr>
                <w:b w:val="false"/>
                <w:bCs w:val="false"/>
                <w:color w:val="000000"/>
                <w:sz w:val="19"/>
                <w:szCs w:val="19"/>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103</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8.4M core / 40.2M special</w:t>
            </w:r>
          </w:p>
        </w:tc>
      </w:tr>
    </w:tbl>
    <w:p>
      <w:pPr>
        <w:pStyle w:val="ListParagraph"/>
        <w:numPr>
          <w:ilvl w:val="0"/>
          <w:numId w:val="2"/>
        </w:numPr>
        <w:spacing w:after="80"/>
      </w:pPr>
      <w:r>
        <w:t xml:space="preserve">Levers 1 and 2 are the two big-ticket items (88.5M and 87.4M SEK respectively) and should anchor the workshop discussion — both are concentrated, well-defined lists ready for named-owner follow-up, not open-ended investigations.</w:t>
      </w:r>
    </w:p>
    <w:p>
      <w:pPr>
        <w:pStyle w:val="ListParagraph"/>
        <w:numPr>
          <w:ilvl w:val="0"/>
          <w:numId w:val="2"/>
        </w:numPr>
        <w:spacing w:after="80"/>
      </w:pPr>
      <w:r>
        <w:t xml:space="preserve">Levers 3–4 are smaller in SEK today (21.9M current sales across 57 franchises) but have a genuinely small gap to close (1.85M SEK to cross the missing-channel presence bar) and are the cleanest 'quick win'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w:t>
      </w:r>
    </w:p>
    <w:p>
      <w:pPr>
        <w:pStyle w:val="ListParagraph"/>
        <w:numPr>
          <w:ilvl w:val="0"/>
          <w:numId w:val="2"/>
        </w:numPr>
        <w:spacing w:after="80"/>
      </w:pPr>
      <w:r>
        <w:t xml:space="preserve">Not yet a lever, deliberately: New/Test (Section 9) and Harvest's non-FW27-gap remainder (Section 8) both need a person, not a rule — a launch-review checkpoint and a range-planning reconciliation respectively — these are process asks, covered in Section 13, not SEK-sized levers.</w:t>
      </w:r>
    </w:p>
    <w:p>
      <w:r>
        <w:br w:type="page"/>
      </w:r>
    </w:p>
    <w:p>
      <w:pPr>
        <w:pStyle w:val="Heading1"/>
        <w:spacing w:after="160" w:before="320"/>
      </w:pPr>
      <w:r>
        <w:t xml:space="preserve">13. Action plan by owner</w:t>
      </w:r>
    </w:p>
    <w:p>
      <w:pPr>
        <w:pStyle w:val="Heading3"/>
        <w:spacing w:after="100" w:before="200"/>
      </w:pPr>
      <w:r>
        <w:t xml:space="preserve">CPO / Merchandising Director — pricing and product</w:t>
      </w:r>
    </w:p>
    <w:p>
      <w:pPr>
        <w:pStyle w:val="ListParagraph"/>
        <w:numPr>
          <w:ilvl w:val="0"/>
          <w:numId w:val="2"/>
        </w:numPr>
        <w:spacing w:after="80"/>
      </w:pPr>
      <w:r>
        <w:t xml:space="preserve">Own the 129-franchise (88.5M SEK) Core Pricing Fix list: decide pricing fix, cost fix, or exit, per franchise or layer group.</w:t>
      </w:r>
    </w:p>
    <w:p>
      <w:pPr>
        <w:pStyle w:val="ListParagraph"/>
        <w:numPr>
          <w:ilvl w:val="0"/>
          <w:numId w:val="2"/>
        </w:numPr>
        <w:spacing w:after="80"/>
      </w:pPr>
      <w:r>
        <w:t xml:space="preserve">Own the Legwear/Sleeping Bags cost-overrun review flagged in Item 2, which overlaps this tier's diagnosis.</w:t>
      </w:r>
    </w:p>
    <w:p>
      <w:pPr>
        <w:pStyle w:val="Heading3"/>
        <w:spacing w:after="100" w:before="200"/>
      </w:pPr>
      <w:r>
        <w:t xml:space="preserve">Whoever owns FW27 range-planning sign-off</w:t>
      </w:r>
    </w:p>
    <w:p>
      <w:pPr>
        <w:pStyle w:val="ListParagraph"/>
        <w:numPr>
          <w:ilvl w:val="0"/>
          <w:numId w:val="2"/>
        </w:numPr>
        <w:spacing w:after="80"/>
      </w:pPr>
      <w:r>
        <w:t xml:space="preserve">Reconcile the 211-franchise (87.4M SEK) FW27 gap list against the actual range plan, prioritizing the 42 growing-with-no-plan franchises (33.5M SEK) first.</w:t>
      </w:r>
    </w:p>
    <w:p>
      <w:pPr>
        <w:pStyle w:val="ListParagraph"/>
        <w:numPr>
          <w:ilvl w:val="0"/>
          <w:numId w:val="2"/>
        </w:numPr>
        <w:spacing w:after="80"/>
      </w:pPr>
      <w:r>
        <w:t xml:space="preserve">Confirm whether the 142 Harvest franchises continuing in FW27 despite decline are deliberate keeps.</w:t>
      </w:r>
    </w:p>
    <w:p>
      <w:pPr>
        <w:pStyle w:val="Heading3"/>
        <w:spacing w:after="100" w:before="200"/>
      </w:pPr>
      <w:r>
        <w:t xml:space="preserve">Wholesale Director — distribution</w:t>
      </w:r>
    </w:p>
    <w:p>
      <w:pPr>
        <w:pStyle w:val="ListParagraph"/>
        <w:numPr>
          <w:ilvl w:val="0"/>
          <w:numId w:val="2"/>
        </w:numPr>
        <w:spacing w:after="80"/>
      </w:pPr>
      <w:r>
        <w:t xml:space="preserve">Own the 39-franchise Wholesale-distribution-lever shortlist from the Workhorse scale-up list.</w:t>
      </w:r>
    </w:p>
    <w:p>
      <w:pPr>
        <w:pStyle w:val="ListParagraph"/>
        <w:numPr>
          <w:ilvl w:val="0"/>
          <w:numId w:val="2"/>
        </w:numPr>
        <w:spacing w:after="80"/>
      </w:pPr>
      <w:r>
        <w:t xml:space="preserve">Investigate whether the 218-franchise channel-substitution pattern (Section 3) reflects a distribution pull-back.</w:t>
      </w:r>
    </w:p>
    <w:p>
      <w:pPr>
        <w:pStyle w:val="Heading3"/>
        <w:spacing w:after="100" w:before="200"/>
      </w:pPr>
      <w:r>
        <w:t xml:space="preserve">Merchandising Director / Brand &amp; Marketing — DTC and Hero</w:t>
      </w:r>
    </w:p>
    <w:p>
      <w:pPr>
        <w:pStyle w:val="ListParagraph"/>
        <w:numPr>
          <w:ilvl w:val="0"/>
          <w:numId w:val="2"/>
        </w:numPr>
        <w:spacing w:after="80"/>
      </w:pPr>
      <w:r>
        <w:t xml:space="preserve">Own the 18-franchise DTC-content-lever shortlist from the Workhorse scale-up list.</w:t>
      </w:r>
    </w:p>
    <w:p>
      <w:pPr>
        <w:pStyle w:val="ListParagraph"/>
        <w:numPr>
          <w:ilvl w:val="0"/>
          <w:numId w:val="2"/>
        </w:numPr>
        <w:spacing w:after="80"/>
      </w:pPr>
      <w:r>
        <w:t xml:space="preserve">Decide whether the 34-franchise Hero/Near-Hero list becomes the formal basis for content/marketing investment prioritization.</w:t>
      </w:r>
    </w:p>
    <w:p>
      <w:pPr>
        <w:pStyle w:val="Heading3"/>
        <w:spacing w:after="100" w:before="200"/>
      </w:pPr>
      <w:r>
        <w:t xml:space="preserve">Whoever owns the product lifecycle process</w:t>
      </w:r>
    </w:p>
    <w:p>
      <w:pPr>
        <w:pStyle w:val="ListParagraph"/>
        <w:numPr>
          <w:ilvl w:val="0"/>
          <w:numId w:val="2"/>
        </w:numPr>
        <w:spacing w:after="80"/>
      </w:pPr>
      <w:r>
        <w:t xml:space="preserve">Stand up a first-season launch review using the New/Test Tier-1 scorecard (13.0% reorder conversion, 30 priority-flagged launches) as the starting checkpoint.</w:t>
      </w:r>
    </w:p>
    <w:p>
      <w:pPr>
        <w:pStyle w:val="Heading3"/>
        <w:spacing w:after="100" w:before="200"/>
      </w:pPr>
      <w:r>
        <w:t xml:space="preserve">Whoever owns the article master/catalog system</w:t>
      </w:r>
    </w:p>
    <w:p>
      <w:pPr>
        <w:pStyle w:val="ListParagraph"/>
        <w:numPr>
          <w:ilvl w:val="0"/>
          <w:numId w:val="2"/>
        </w:numPr>
        <w:spacing w:after="80"/>
      </w:pPr>
      <w:r>
        <w:t xml:space="preserve">Batch-close the ~620 dead Thin-tier SKUs (Shrinking trace + Faded to zero) as a housekeeping exercise; re-tag the 103 outlet-migrated/alive-in-outlet franchises rather than treating them as core underperformers.</w:t>
      </w:r>
    </w:p>
    <w:p>
      <w:pPr>
        <w:pStyle w:val="Heading1"/>
        <w:spacing w:after="160" w:before="320"/>
      </w:pPr>
      <w:r>
        <w:t xml:space="preserve">14. 2026 YTD check-in: margin is up in almost every tier, volume is lagging in the biggest ones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A 2026 YTD sales extract (as of 2026-07-28) arrived after this note was written. Caveat: neither this file nor the FY2024/2025 extracts have a date field, so the comparison period can't be matched exactly -- this cut covers an estimated 40-44% of a year, cross-checked against the P&amp;L's YTD columns. Every year in this data has shown its own one-off distortions, so treat this as a strong directional read, not a confirmed annual number. Each FY2025 franchise (Base+Gender) was matched to its Item 3 tier and its YTD2026 sales, on the same core (ex-special-account) basis used throughout this bridge.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29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FY2025 GM%</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YTD2026 GM%</w:t>
            </w:r>
          </w:p>
        </w:tc>
        <w:tc>
          <w:tcPr>
            <w:tcW w:type="dxa" w:w="2950"/>
            <w:shd w:fill="2F2F2F" w:val="clear"/>
            <w:tcMar>
              <w:top w:type="dxa" w:w="60"/>
              <w:left w:type="dxa" w:w="100"/>
              <w:bottom w:type="dxa" w:w="60"/>
              <w:right w:type="dxa" w:w="100"/>
            </w:tcMar>
            <w:vAlign w:val="center"/>
          </w:tcPr>
          <w:p>
            <w:pPr>
              <w:jc w:val="center"/>
            </w:pPr>
            <w:r>
              <w:rPr>
                <w:b/>
                <w:bCs/>
                <w:color w:val="FFFFFF"/>
                <w:sz w:val="19"/>
                <w:szCs w:val="19"/>
              </w:rPr>
              <w:t xml:space="preserve">YTD2026 sales as % of FY2025 full year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Hero</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53.5%</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56.0%</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33.9%</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Near-Hero</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52.1%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52.4%</w:t>
            </w:r>
          </w:p>
        </w:tc>
        <w:tc>
          <w:tcPr>
            <w:tcW w:type="dxa" w:w="2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49.1%</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47.5%</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50.1%</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36.8%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Harvest (Cash Cow)</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50.6%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49.3%</w:t>
            </w:r>
          </w:p>
        </w:tc>
        <w:tc>
          <w:tcPr>
            <w:tcW w:type="dxa" w:w="2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33.4%</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37.7%</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25.0%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New / Test</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46.4%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52.4%</w:t>
            </w:r>
          </w:p>
        </w:tc>
        <w:tc>
          <w:tcPr>
            <w:tcW w:type="dxa" w:w="2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61.8%</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Exited</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40.4%</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39.4%</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42.0%</w:t>
            </w:r>
          </w:p>
        </w:tc>
      </w:tr>
    </w:tbl>
    <w:p>
      <w:pPr>
        <w:pBdr>
          <w:left w:val="single" w:color="3C8A4C" w:sz="18"/>
        </w:pBdr>
        <w:shd w:fill="EAF3EA" w:val="clear"/>
        <w:spacing w:after="120" w:before="100"/>
        <w:ind w:left="150" w:right="100"/>
      </w:pPr>
      <w:r>
        <w:rPr>
          <w:b/>
          <w:bCs/>
          <w:color w:val="1F5C2E"/>
        </w:rPr>
        <w:t xml:space="preserve">DATA SHOWS: </w:t>
      </w:r>
      <w:r>
        <w:t xml:space="preserve">Margin is up YTD2026 in 5 of 7 tiers, including a meaningful +4.3pt move on Problem Child (33.4% -&gt; 37.7%) -- consistent with the whole-portfolio, cost-driven margin improvement already found in Item 2 Section 9 and the Margin Bridge, not isolated to one channel or tier. Harvest is the one tier moving the wrong way on margin (50.6% -&gt; 49.3%), on top of already being the weakest-pace tier by volume (30.3% of its FY2025 full-year total booked YTD, versus a ~40-44% on-pace benchmark) -- this reinforces, rather than changes, Section 8's read of Harvest as the portfolio's biggest ongoing revenue swing.</w:t>
      </w:r>
    </w:p>
    <w:p>
      <w:pPr>
        <w:pBdr>
          <w:left w:val="single" w:color="3C8A4C" w:sz="18"/>
        </w:pBdr>
        <w:shd w:fill="EAF3EA" w:val="clear"/>
        <w:spacing w:after="120" w:before="100"/>
        <w:ind w:left="150" w:right="100"/>
      </w:pPr>
      <w:r>
        <w:rPr>
          <w:b/>
          <w:bCs/>
          <w:color w:val="1F5C2E"/>
        </w:rPr>
        <w:t xml:space="preserve">DATA SHOWS: </w:t>
      </w:r>
      <w:r>
        <w:t xml:space="preserve">The volume-pace column splits the portfolio in two: Hero, Workhorse, Harvest and Problem Child -- the four largest, most-established tiers -- are all running BELOW the on-pace benchmark (25-37%), while New/Test and Near-Hero are running well ABOVE it (49-62%). Read cautiously (no month field means this can't be confirmed as a true growth-rate difference), but the pattern is consistent with growth concentrating in newer, smaller franchises while the established base treads water on volume even as its margin improves -- worth testing directly against whichever teams own the Hero and Workhorse scale-up plans in Sections 4 and 7.</w:t>
      </w:r>
    </w:p>
    <w:p>
      <w:pPr>
        <w:spacing w:after="200"/>
      </w:pPr>
      <w:r>
        <w:rPr>
          <w:i/>
          <w:iCs/>
          <w:color w:val="555555"/>
          <w:sz w:val="18"/>
          <w:szCs w:val="18"/>
        </w:rPr>
        <w:t xml:space="preserve">A residual 'Thin / Immaterial' cohort is excluded from this table: it shows an apparent 600%+ pace figure driven almost entirely by SS26/FW26 launch articles with ~0 FY2025 sales (e.g. Aska Proof Jacket, Alert GTX Jacket, L.I.M Horizon Hike GTX) that the FY2025-based tier system has no way to classify yet -- a real ~15-20M SEK pool of new-launch volume, but a tier-pace artifact, not a genuine 'immaterial franchises are booming' finding. See Item 6 for the SS28/launch-pipeline discussion this actually belongs to.</w:t>
      </w:r>
    </w:p>
    <w:p>
      <w:pPr>
        <w:pStyle w:val="Heading1"/>
        <w:spacing w:after="160" w:before="320"/>
      </w:pPr>
      <w:r>
        <w:t xml:space="preserve">15. Full list of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300"/>
        <w:gridCol w:w="265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6300"/>
            <w:shd w:fill="2F2F2F" w:val="clear"/>
            <w:tcMar>
              <w:top w:type="dxa" w:w="60"/>
              <w:left w:type="dxa" w:w="100"/>
              <w:bottom w:type="dxa" w:w="60"/>
              <w:right w:type="dxa" w:w="100"/>
            </w:tcMar>
            <w:vAlign w:val="center"/>
          </w:tcPr>
          <w:p>
            <w:pPr>
              <w:jc w:val="center"/>
            </w:pPr>
            <w:r>
              <w:rPr>
                <w:b/>
                <w:bCs/>
                <w:color w:val="FFFFFF"/>
                <w:sz w:val="19"/>
                <w:szCs w:val="19"/>
              </w:rPr>
              <w:t xml:space="preserve">Question</w:t>
            </w:r>
          </w:p>
        </w:tc>
        <w:tc>
          <w:tcPr>
            <w:tcW w:type="dxa" w:w="2650"/>
            <w:shd w:fill="2F2F2F" w:val="clear"/>
            <w:tcMar>
              <w:top w:type="dxa" w:w="60"/>
              <w:left w:type="dxa" w:w="100"/>
              <w:bottom w:type="dxa" w:w="60"/>
              <w:right w:type="dxa" w:w="100"/>
            </w:tcMar>
            <w:vAlign w:val="center"/>
          </w:tcPr>
          <w:p>
            <w:pPr>
              <w:jc w:val="center"/>
            </w:pPr>
            <w:r>
              <w:rPr>
                <w:b/>
                <w:bCs/>
                <w:color w:val="FFFFFF"/>
                <w:sz w:val="19"/>
                <w:szCs w:val="19"/>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6300"/>
            <w:tcMar>
              <w:top w:type="dxa" w:w="60"/>
              <w:left w:type="dxa" w:w="100"/>
              <w:bottom w:type="dxa" w:w="60"/>
              <w:right w:type="dxa" w:w="100"/>
            </w:tcMar>
            <w:vAlign w:val="center"/>
          </w:tcPr>
          <w:p>
            <w:pPr>
              <w:jc w:val="center"/>
            </w:pPr>
            <w:r>
              <w:rPr>
                <w:b w:val="false"/>
                <w:bCs w:val="false"/>
                <w:color w:val="000000"/>
                <w:sz w:val="19"/>
                <w:szCs w:val="19"/>
              </w:rPr>
              <w:t xml:space="preserve">For the 218 substitution-pattern franchises — is the Wholesale decline a distribution pull-back, a sell-through problem, or genuine channel preference?</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6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Should the 34-franchise Hero/Near-Hero list become the formal basis for marketing/content investment prioritization?</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6300"/>
            <w:tcMar>
              <w:top w:type="dxa" w:w="60"/>
              <w:left w:type="dxa" w:w="100"/>
              <w:bottom w:type="dxa" w:w="60"/>
              <w:right w:type="dxa" w:w="100"/>
            </w:tcMar>
            <w:vAlign w:val="center"/>
          </w:tcPr>
          <w:p>
            <w:pPr>
              <w:jc w:val="center"/>
            </w:pPr>
            <w:r>
              <w:rPr>
                <w:b w:val="false"/>
                <w:bCs w:val="false"/>
                <w:color w:val="000000"/>
                <w:sz w:val="19"/>
                <w:szCs w:val="19"/>
              </w:rPr>
              <w:t xml:space="preserve">For the 129 Core Pricing Fix franchises — pricing, cost, or exit, per franchise/layer?</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6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For the 13 franchises needing Wholesale distribution — listing/account gap, or genuine lack of buyer interest?</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6300"/>
            <w:tcMar>
              <w:top w:type="dxa" w:w="60"/>
              <w:left w:type="dxa" w:w="100"/>
              <w:bottom w:type="dxa" w:w="60"/>
              <w:right w:type="dxa" w:w="100"/>
            </w:tcMar>
            <w:vAlign w:val="center"/>
          </w:tcPr>
          <w:p>
            <w:pPr>
              <w:jc w:val="center"/>
            </w:pPr>
            <w:r>
              <w:rPr>
                <w:b w:val="false"/>
                <w:bCs w:val="false"/>
                <w:color w:val="000000"/>
                <w:sz w:val="19"/>
                <w:szCs w:val="19"/>
              </w:rPr>
              <w:t xml:space="preserve">For the 142 Harvest franchises confirmed continuing in FW27 despite decline — deliberate keeps or unreviewed?</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FW27 range-planning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6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there appetite to batch-close ~620 dead Thin-tier SKUs for catalog hygiene, independent of the immaterial P&amp;L impact?</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Article master/catalog system 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7</w:t>
            </w:r>
          </w:p>
        </w:tc>
        <w:tc>
          <w:tcPr>
            <w:tcW w:type="dxa" w:w="6300"/>
            <w:tcMar>
              <w:top w:type="dxa" w:w="60"/>
              <w:left w:type="dxa" w:w="100"/>
              <w:bottom w:type="dxa" w:w="60"/>
              <w:right w:type="dxa" w:w="100"/>
            </w:tcMar>
            <w:vAlign w:val="center"/>
          </w:tcPr>
          <w:p>
            <w:pPr>
              <w:jc w:val="center"/>
            </w:pPr>
            <w:r>
              <w:rPr>
                <w:b w:val="false"/>
                <w:bCs w:val="false"/>
                <w:color w:val="000000"/>
                <w:sz w:val="19"/>
                <w:szCs w:val="19"/>
              </w:rPr>
              <w:t xml:space="preserve">For the 211-franchise FW27 gap list — how many are already-made range decisions vs. genuine gaps, especially the 42 growing-with-no-plan franchises?</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FW27 range-planning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8</w:t>
            </w:r>
          </w:p>
        </w:tc>
        <w:tc>
          <w:tcPr>
            <w:tcW w:type="dxa" w:w="6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there a formal post-launch review checkpoint for New/Test styles today, or should the Tier-1 scorecard become that process?</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CPO / Merchandising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9</w:t>
            </w:r>
          </w:p>
        </w:tc>
        <w:tc>
          <w:tcPr>
            <w:tcW w:type="dxa" w:w="6300"/>
            <w:tcMar>
              <w:top w:type="dxa" w:w="60"/>
              <w:left w:type="dxa" w:w="100"/>
              <w:bottom w:type="dxa" w:w="60"/>
              <w:right w:type="dxa" w:w="100"/>
            </w:tcMar>
            <w:vAlign w:val="center"/>
          </w:tcPr>
          <w:p>
            <w:pPr>
              <w:jc w:val="center"/>
            </w:pPr>
            <w:r>
              <w:rPr>
                <w:b w:val="false"/>
                <w:bCs w:val="false"/>
                <w:color w:val="000000"/>
                <w:sz w:val="19"/>
                <w:szCs w:val="19"/>
              </w:rPr>
              <w:t xml:space="preserve">Given Hero, Workhorse, Harvest and Problem Child are all running below the 2026 YTD on-pace volume benchmark while margin improves in most of them (Section 14), is this a genuine base-erosion risk, or is growth simply concentrated in newer franchises this year for explainable reasons (launch calendar, timing)?</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CEO / Merchandising Director</w:t>
            </w:r>
          </w:p>
        </w:tc>
      </w:tr>
    </w:tbl>
    <w:p>
      <w:pPr>
        <w:spacing w:after="160"/>
      </w:pPr>
      <w:r>
        <w:t xml:space="preserve">One standing caveat, carried from Item 2 and applicable everywhere in this note: FW27-continuation matching is a fuzzy string-match heuristic with no reliable franchise key in the source data — treat any single franchise's 'no match found' status as a prompt to verify manually before acting on it, not as a confirmed fact. Aggregated across 200+ franchises the pattern is reliable; any individual franchise may be a false miss.</w:t>
      </w:r>
    </w:p>
    <w:p>
      <w:pPr>
        <w:pStyle w:val="Heading1"/>
        <w:spacing w:after="160" w:before="320"/>
      </w:pPr>
      <w:r>
        <w:t xml:space="preserve">16. Backup data</w:t>
      </w:r>
    </w:p>
    <w:p>
      <w:pPr>
        <w:pStyle w:val="ListParagraph"/>
        <w:numPr>
          <w:ilvl w:val="0"/>
          <w:numId w:val="2"/>
        </w:numPr>
        <w:spacing w:after="80"/>
      </w:pPr>
      <w:r>
        <w:t xml:space="preserve">bob_item3_portfolio_backup.xlsx — consolidated backup for this note: 19 sheets covering tier definitions, the full 1,860-franchise portfolio, Hero/Near-Hero detail, channel-mix patterns, Problem Child/Workhorse/Harvest/New-Test/Thin per-tier detail, the FW27 confirm-or-exit list, and the gender margin-gap check. Now also includes a 'YTD2026 Tier Check-in' sheet, the basis for Section 14.</w:t>
      </w:r>
    </w:p>
    <w:p>
      <w:pPr>
        <w:pStyle w:val="ListParagraph"/>
        <w:numPr>
          <w:ilvl w:val="0"/>
          <w:numId w:val="2"/>
        </w:numPr>
        <w:spacing w:after="80"/>
      </w:pPr>
      <w:r>
        <w:t xml:space="preserve">bob_salesdata_YTD2026.xlsx — the raw 2026 YTD extract behind Section 14.</w:t>
      </w:r>
    </w:p>
    <w:p>
      <w:pPr>
        <w:pStyle w:val="ListParagraph"/>
        <w:numPr>
          <w:ilvl w:val="0"/>
          <w:numId w:val="2"/>
        </w:numPr>
        <w:spacing w:after="80"/>
      </w:pPr>
      <w:r>
        <w:t xml:space="preserve">channel_mix_substitution_analysis.xlsx, full_commercial_portfolio_v2.xlsx, workhorse_scaleup_shortlist_final.xlsx, fw27_confirm_or_exit_list.xlsx, new_test_launch_scorecard.xlsx — the individual working files this note's backup consolidates from.</w:t>
      </w:r>
    </w:p>
    <w:p>
      <w:pPr>
        <w:pStyle w:val="ListParagraph"/>
        <w:numPr>
          <w:ilvl w:val="0"/>
          <w:numId w:val="2"/>
        </w:numPr>
        <w:spacing w:after="80"/>
      </w:pPr>
      <w:r>
        <w:t xml:space="preserve">Assortment_Attribution_ReviewF27.xlsx — source for all FW27 continuation-status checks in Sections 6, 8, 11.</w:t>
      </w:r>
    </w:p>
    <w:p>
      <w:pPr>
        <w:pStyle w:val="ListParagraph"/>
        <w:numPr>
          <w:ilvl w:val="0"/>
          <w:numId w:val="2"/>
        </w:numPr>
        <w:spacing w:after="80"/>
      </w:pPr>
      <w:r>
        <w:t xml:space="preserve">All underlying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2026-07-28T22:10:32.918Z</dcterms:created>
  <dcterms:modified xsi:type="dcterms:W3CDTF">2026-07-28T22:10:32.918Z</dcterms:modified>
</cp:coreProperties>
</file>

<file path=docProps/custom.xml><?xml version="1.0" encoding="utf-8"?>
<Properties xmlns="http://schemas.openxmlformats.org/officeDocument/2006/custom-properties" xmlns:vt="http://schemas.openxmlformats.org/officeDocument/2006/docPropsVTypes"/>
</file>