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The Consolidated Margin Bridge — a Reconciliation, Not a Finished Answer</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UPDATED this round with a 2026 YTD data check-in (Section 9), on top of the prior round's four additions (channel mix shift, portfolio tier-mix optimization, base-year normalization, competitive benchmark). Quantified, counted total remains ~5.1pt against the +14.3pt target -- still about a third of the target, leaving a ~9.2pt residual -- but the new YTD2026 data resolves a question this note previously flagged as unanswerable: the base-year margin improvement IS real even after controlling for the XXL mix effect (+2.8pt genuine, sales-extract basis), but it is a COST story, not the PRICE-realization story this bridge was built around -- same-franchise pricing is flat-to-worse in both Wholesale and Retail, and the entire gain is coming from unit COGS falling faster than price. Deliberately not yet added to the counted total pending full-year confirmation, per the same conservative standard this note has applied throughout, but the finding changes what the workshop should be asking about the residual.</w:t>
      </w:r>
    </w:p>
    <w:p>
      <w:pPr>
        <w:pStyle w:val="Heading1"/>
        <w:spacing w:after="160" w:before="320"/>
      </w:pPr>
      <w:r>
        <w:t xml:space="preserve">1. Purpose and method</w:t>
      </w:r>
    </w:p>
    <w:p>
      <w:pPr>
        <w:spacing w:after="160"/>
      </w:pPr>
      <w:r>
        <w:t xml:space="preserve">Items 1-6 were built as separate, sales-and-channel-focused workstreams; margin was a running thread through most of them but was never assembled into one waterfall. This note does that assembly: every margin-relevant finding across the six items is restated here in a common unit — points of FY2025A company Net Sales (846.3M SEK, per the P&amp;L) — so they can be summed and compared honestly against the stated target. Where a lever's SEK basis does not obviously convert to a company-wide margin point without an assumption, that assumption is stated explicitly rather than hidden in a formula.</w:t>
      </w:r>
    </w:p>
    <w:p>
      <w:pPr>
        <w:pBdr>
          <w:left w:val="single" w:color="3C8A4C" w:sz="18"/>
        </w:pBdr>
        <w:shd w:fill="EAF3EA" w:val="clear"/>
        <w:spacing w:after="120" w:before="100"/>
        <w:ind w:left="150" w:right="100"/>
      </w:pPr>
      <w:r>
        <w:rPr>
          <w:b/>
          <w:bCs/>
          <w:color w:val="1F5C2E"/>
        </w:rPr>
        <w:t xml:space="preserve">DATA SHOWS: </w:t>
      </w:r>
      <w:r>
        <w:t xml:space="preserve">Per your direction this turn: COGS/sourcing is noted here as a verification item, not re-analyzed. Item 2 found the Wholesale FW27 cost variance is essentially on-target in aggregate (-0.3%), with two named exceptions (Legwear +15.4%, Sleeping Bags +11.9%) that are real cost overruns, not explained by the general price-realization story. Whether those two exceptions are genuine landed-cost overruns or an FX effect has never been verified against transaction-level data (none exists in the files available) — this remains open, flagged in Section 5.</w:t>
      </w:r>
    </w:p>
    <w:p>
      <w:pPr>
        <w:pStyle w:val="Heading1"/>
        <w:spacing w:after="160" w:before="320"/>
      </w:pPr>
      <w:r>
        <w:t xml:space="preserve">2. The headline reconciliation (updated)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Target: FY2025A -&gt; FY2029E Gross Margin</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39.2% -&gt; 53.5% (+14.3pt)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General mix-adjusted price erosion (Item 2), if reversed</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+1.89pt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Portfolio tier-mix, moderate scenario (Sec. 5) -- supersedes the old floor-fix-only figure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+1.65pt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margin gap (Item 5), if closed</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+0.19pt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Channel mix shift, grounded to the approved Item 4 store plan (Sec. 4)</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+1.36pt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UPDATED quantified total (grounded/moderate reading)</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~5.1pt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UPDATED RESIDUAL — still unexplained</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~9.2pt (64% of the target)</w:t>
            </w:r>
          </w:p>
        </w:tc>
      </w:tr>
    </w:tbl>
    <w:p>
      <w:pPr>
        <w:spacing w:after="200"/>
      </w:pPr>
      <w:r>
        <w:rPr>
          <w:i/>
          <w:iCs/>
          <w:color w:val="555555"/>
          <w:sz w:val="18"/>
          <w:szCs w:val="18"/>
        </w:rPr>
        <w:t xml:space="preserve">Outer-bound context, not additive with the above (alternative aggressive scenarios of overlapping populations): channel mix pushed to 50% Wholesale share would be worth +4.47pt; the entire core portfolio performing at Hero-tier margin would be worth +5.49pt. Neither is a real plan.</w:t>
      </w:r>
    </w:p>
    <w:p>
      <w:pPr>
        <w:pBdr>
          <w:left w:val="single" w:color="B23A3A" w:sz="18"/>
        </w:pBdr>
        <w:shd w:fill="FBE7E7" w:val="clear"/>
        <w:spacing w:after="120" w:before="100"/>
        <w:ind w:left="150" w:right="100"/>
      </w:pPr>
      <w:r>
        <w:rPr>
          <w:b/>
          <w:bCs/>
          <w:color w:val="7A1F1F"/>
        </w:rPr>
        <w:t xml:space="preserve">UNEXPLAINED GAP: </w:t>
      </w:r>
      <w:r>
        <w:t xml:space="preserve">Progress, but the majority of the margin bridge is still not backed by named, sized levers. This is not a criticism of Items 1-6 — each was scoped deliberately to answer a specific question, not to build the full bridge — it is the direct, honest result of assembling them and then actively searching for the largest remaining candidates. The workshop should treat the 53.5% target as still substantially unsubstantiated by bottom-up analysis until the ~9.2pt residual is addressed.</w:t>
      </w:r>
    </w:p>
    <w:p>
      <w:r>
        <w:br w:type="page"/>
      </w:r>
    </w:p>
    <w:p>
      <w:pPr>
        <w:pStyle w:val="Heading1"/>
        <w:spacing w:after="160" w:before="320"/>
      </w:pPr>
      <w:r>
        <w:t xml:space="preserve">3. Every margin lever found so far, in one place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900"/>
        <w:gridCol w:w="900"/>
        <w:gridCol w:w="1200"/>
        <w:gridCol w:w="2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Lever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SEK basis</w:t>
            </w:r>
          </w:p>
        </w:tc>
        <w:tc>
          <w:tcPr>
            <w:tcW w:type="dxa" w:w="900"/>
            <w:shd w:fill="2F2F2F" w:val="clear"/>
            <w:tcMar>
              <w:top w:type="dxa" w:w="60"/>
              <w:left w:type="dxa" w:w="100"/>
              <w:bottom w:type="dxa" w:w="60"/>
              <w:right w:type="dxa" w:w="100"/>
            </w:tcMar>
            <w:vAlign w:val="center"/>
          </w:tcPr>
          <w:p>
            <w:pPr>
              <w:jc w:val="center"/>
            </w:pPr>
            <w:r>
              <w:rPr>
                <w:b/>
                <w:bCs/>
                <w:color w:val="FFFFFF"/>
                <w:sz w:val="19"/>
                <w:szCs w:val="19"/>
              </w:rPr>
              <w:t xml:space="preserve">Rate gap</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Pt of company sales</w:t>
            </w:r>
          </w:p>
        </w:tc>
        <w:tc>
          <w:tcPr>
            <w:tcW w:type="dxa" w:w="2150"/>
            <w:shd w:fill="2F2F2F" w:val="clear"/>
            <w:tcMar>
              <w:top w:type="dxa" w:w="60"/>
              <w:left w:type="dxa" w:w="100"/>
              <w:bottom w:type="dxa" w:w="60"/>
              <w:right w:type="dxa" w:w="100"/>
            </w:tcMar>
            <w:vAlign w:val="center"/>
          </w:tcPr>
          <w:p>
            <w:pPr>
              <w:jc w:val="center"/>
            </w:pPr>
            <w:r>
              <w:rPr>
                <w:b/>
                <w:bCs/>
                <w:color w:val="FFFFFF"/>
                <w:sz w:val="19"/>
                <w:szCs w:val="19"/>
              </w:rPr>
              <w:t xml:space="preserve">Status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Wholesale FW27 price-realization gap, if fully closed</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171.9M (matched carry-over styles)</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14.4pt</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+2.92pt</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GAP SIZE, not achieved. Overlaps with the line below.</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General mix-adjusted price erosion, all channels, if reversed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16.0M SEK/yr</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+1.89pt</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Opportunity. Likely double-counts the Wholesale portion of the row above.</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Problem Child 'Core Pricing Fix', brought to 40% GM floor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88.5M (129 franchises, 33.4% GM)</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6.6pt</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+0.69pt (superseded, see Sec. 5)</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Conservative floor-only estimate -- kept for reference, replaced by Sec. 5's moderate scenario in the running total.</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margin brought up to Preorder level</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5</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71.2M (2025 Reorder sales)</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2.2pt</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+0.19pt</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Small; same underlying Wholesale discounting problem as the two rows above, viewed a third way.</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Special-account mix shift, FY24-&gt;FY25 actual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This note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−0.43pt</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ALREADY HAPPENED. Mix got worse, not better — a warning sign, not an opportunity, if it continues.</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Channel mix shift (Wholesale -&gt; DTC)</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This note, Sec. 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see Sec. 4</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see Sec. 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+1.36pt (grounded) to +4.47pt (aggressive)</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NEW this round. Real but smaller than hoped -- see Sec. 4.</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Portfolio tier-mix optimization (Problem Child + Thin)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This note, Sec. 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see Sec. 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see Sec. 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+1.65pt (moderate) to +5.49pt (ceiling)</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NEW this round. Moderate reading now used in Section 2's running total.</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 retail store start-up losses, 2026-2029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 EBIT effect, not GM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unsized</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Negative drag on the bridge period. Cannot be expressed in GM-point terms without opex allocation data.</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COGS / sourcing: true overrun vs. FX</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2 / this direction</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Legwear +15.4%, Sleeping Bags +11.9% cost overrun</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unsized</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Flagged for verification only, not sized here, per direction.</w:t>
            </w:r>
          </w:p>
        </w:tc>
      </w:tr>
    </w:tbl>
    <w:p>
      <w:pPr>
        <w:spacing w:after="200"/>
      </w:pPr>
      <w:r>
        <w:rPr>
          <w:i/>
          <w:iCs/>
          <w:color w:val="555555"/>
          <w:sz w:val="18"/>
          <w:szCs w:val="18"/>
        </w:rPr>
        <w:t xml:space="preserve">Full detail, including the exact formulas used for each conversion, is in the backup workbook, sheet 'Lever Detail'.</w:t>
      </w:r>
    </w:p>
    <w:p>
      <w:pPr>
        <w:pBdr>
          <w:left w:val="single" w:color="3C8A4C" w:sz="18"/>
        </w:pBdr>
        <w:shd w:fill="EAF3EA" w:val="clear"/>
        <w:spacing w:after="120" w:before="100"/>
        <w:ind w:left="150" w:right="100"/>
      </w:pPr>
      <w:r>
        <w:rPr>
          <w:b/>
          <w:bCs/>
          <w:color w:val="1F5C2E"/>
        </w:rPr>
        <w:t xml:space="preserve">DATA SHOWS: </w:t>
      </w:r>
      <w:r>
        <w:t xml:space="preserve">Reading the table honestly: the FW27 gap, the general price-erosion line, and the Reorder-margin line are three different lenses on the SAME underlying problem — Wholesale is discounting more than planned. They should not simply be added together; Section 2 uses the general erosion line as the primary Wholesale-pricing figure to avoid double-counting.</w:t>
      </w:r>
    </w:p>
    <w:p>
      <w:r>
        <w:br w:type="page"/>
      </w:r>
    </w:p>
    <w:p>
      <w:pPr>
        <w:pStyle w:val="Heading1"/>
        <w:spacing w:after="160" w:before="320"/>
      </w:pPr>
      <w:r>
        <w:t xml:space="preserve">4. Channel mix shift (Wholesale → DTC) — sized this round</w:t>
      </w:r>
    </w:p>
    <w:p>
      <w:pPr>
        <w:spacing w:after="160"/>
      </w:pPr>
      <w:r>
        <w:t xml:space="preserve">Requested as the first candidate to close the residual. Current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Share</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GM%</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658.4M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75.1%</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36.6%</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123.0M</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49.0%</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94.1M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10.7%</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61.2%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Marketplace</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1.6M</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71.4%</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Blended</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877.2M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41.0%</w:t>
            </w:r>
          </w:p>
        </w:tc>
      </w:tr>
    </w:tbl>
    <w:p>
      <w:pPr>
        <w:pStyle w:val="Heading2"/>
        <w:spacing w:after="120" w:before="240"/>
      </w:pPr>
      <w:r>
        <w:t xml:space="preserve">4.1 Pure sensitivity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9"/>
                <w:szCs w:val="19"/>
              </w:rPr>
              <w:t xml:space="preserve">Wholesale share</w:t>
            </w:r>
          </w:p>
        </w:tc>
        <w:tc>
          <w:tcPr>
            <w:tcW w:type="dxa" w:w="3100"/>
            <w:shd w:fill="2F2F2F" w:val="clear"/>
            <w:tcMar>
              <w:top w:type="dxa" w:w="60"/>
              <w:left w:type="dxa" w:w="100"/>
              <w:bottom w:type="dxa" w:w="60"/>
              <w:right w:type="dxa" w:w="100"/>
            </w:tcMar>
            <w:vAlign w:val="center"/>
          </w:tcPr>
          <w:p>
            <w:pPr>
              <w:jc w:val="center"/>
            </w:pPr>
            <w:r>
              <w:rPr>
                <w:b/>
                <w:bCs/>
                <w:color w:val="FFFFFF"/>
                <w:sz w:val="19"/>
                <w:szCs w:val="19"/>
              </w:rPr>
              <w:t xml:space="preserve">Blended GM%</w:t>
            </w:r>
          </w:p>
        </w:tc>
        <w:tc>
          <w:tcPr>
            <w:tcW w:type="dxa" w:w="3150"/>
            <w:shd w:fill="2F2F2F" w:val="clear"/>
            <w:tcMar>
              <w:top w:type="dxa" w:w="60"/>
              <w:left w:type="dxa" w:w="100"/>
              <w:bottom w:type="dxa" w:w="60"/>
              <w:right w:type="dxa" w:w="100"/>
            </w:tcMar>
            <w:vAlign w:val="center"/>
          </w:tcPr>
          <w:p>
            <w:pPr>
              <w:jc w:val="center"/>
            </w:pPr>
            <w:r>
              <w:rPr>
                <w:b/>
                <w:bCs/>
                <w:color w:val="FFFFFF"/>
                <w:sz w:val="19"/>
                <w:szCs w:val="19"/>
              </w:rPr>
              <w:t xml:space="preserve">Change vs. 2025</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75.1% (current)</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41.0%</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70.0%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41.9%</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+0.9pt</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65.0%</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42.8%</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+1.8pt</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43.7%</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+2.7pt</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55.0%</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44.6%</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+3.6pt</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50.0%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45.5%</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+4.5pt</w:t>
            </w:r>
          </w:p>
        </w:tc>
      </w:tr>
    </w:tbl>
    <w:p>
      <w:pPr>
        <w:pStyle w:val="Heading2"/>
        <w:spacing w:after="120" w:before="240"/>
      </w:pPr>
      <w:r>
        <w:t xml:space="preserve">4.2 Grounded scenario — the actual, already-approved plan</w:t>
      </w:r>
    </w:p>
    <w:p>
      <w:pPr>
        <w:pBdr>
          <w:left w:val="single" w:color="3C8A4C" w:sz="18"/>
        </w:pBdr>
        <w:shd w:fill="EAF3EA" w:val="clear"/>
        <w:spacing w:after="120" w:before="100"/>
        <w:ind w:left="150" w:right="100"/>
      </w:pPr>
      <w:r>
        <w:rPr>
          <w:b/>
          <w:bCs/>
          <w:color w:val="1F5C2E"/>
        </w:rPr>
        <w:t xml:space="preserve">DATA SHOWS: </w:t>
      </w:r>
      <w:r>
        <w:t xml:space="preserve">Adding the Item 4 new-store run-rate (181.8M SEK, full ramp ~2029, per the MTP slide) on top of an otherwise-unchanged 2025 base, at existing-Retail-level margin (49.0%): Wholesale share falls from 75.1% to 62.2%, and blended margin rises from 41.0% to 42.4% -- worth +1.36pt.</w:t>
      </w:r>
    </w:p>
    <w:p>
      <w:pPr>
        <w:pBdr>
          <w:left w:val="single" w:color="B23A3A" w:sz="18"/>
        </w:pBdr>
        <w:shd w:fill="FBE7E7" w:val="clear"/>
        <w:spacing w:after="120" w:before="100"/>
        <w:ind w:left="150" w:right="100"/>
      </w:pPr>
      <w:r>
        <w:rPr>
          <w:b/>
          <w:bCs/>
          <w:color w:val="7A1F1F"/>
        </w:rPr>
        <w:t xml:space="preserve">UNEXPLAINED GAP: </w:t>
      </w:r>
      <w:r>
        <w:t xml:space="preserve">Honest verdict: this lever is real but not the answer. Even a genuinely aggressive mix shift -- cutting Wholesale's share by a third, from 75% to 50%, far beyond anything currently planned -- is only worth +4.5pt. The plan that's actually been approved (the 16 new stores) is worth +1.4pt. Against a residual in the 9-11pt range, channel mix closes at most half of it under an aggressive scenario, and about an eighth of it under the approved plan.</w:t>
      </w:r>
    </w:p>
    <w:p>
      <w:pPr>
        <w:pStyle w:val="Heading1"/>
        <w:spacing w:after="160" w:before="320"/>
      </w:pPr>
      <w:r>
        <w:t xml:space="preserve">5. Portfolio tier-mix optimization — sized this round</w:t>
      </w:r>
    </w:p>
    <w:p>
      <w:pPr>
        <w:spacing w:after="160"/>
      </w:pPr>
      <w:r>
        <w:t xml:space="preserve">The original margin bridge sized only a conservative 'floor fix' for Problem Child (bring the 129-franchise, 88.5M SEK 'Core Pricing Fix' bucket from 33.4% up to the 40% GM floor used to define the tier). This section asks a bigger question: what if the fix is a genuine turnaround, not just clearing a floor -- and what if the Thin tier's exited volume is replaced by equivalent-value product rather than simply deleted?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650"/>
        <w:gridCol w:w="290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9"/>
                <w:szCs w:val="19"/>
              </w:rPr>
              <w:t xml:space="preserve">Scenario</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SEK impact</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Pt of company sales</w:t>
            </w:r>
          </w:p>
        </w:tc>
        <w:tc>
          <w:tcPr>
            <w:tcW w:type="dxa" w:w="290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A: Problem Child -&gt; 40% GM floor</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5.8M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+0.69pt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Conservative — floor only (original bridge figure)</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B1: Problem Child -&gt; Workhorse-level margin (47.5%)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12.4M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+1.47pt</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Moderate — genuine turnaround, not just floor</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B2: Thin tier (8.1M) replaced at Workhorse-level margin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1.6M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+0.18pt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Moderate — assumes exited volume is replaced by equivalent product, not just deleted</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 total (B1+B2) — used in Section 2's running total</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14.0M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+1.65pt</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Recommended working assumption</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C: ENTIRE core portfolio (649.8M) -&gt; Hero-level margin (53.5%)</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46.5M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+5.49pt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Theoretical ceiling only — would require all 1,860 franchises, incl. Harvest/Thin/Exited, to perform like the best 34</w:t>
            </w:r>
          </w:p>
        </w:tc>
      </w:tr>
    </w:tbl>
    <w:p>
      <w:pPr>
        <w:pBdr>
          <w:left w:val="single" w:color="3C8A4C" w:sz="18"/>
        </w:pBdr>
        <w:shd w:fill="EAF3EA" w:val="clear"/>
        <w:spacing w:after="120" w:before="100"/>
        <w:ind w:left="150" w:right="100"/>
      </w:pPr>
      <w:r>
        <w:rPr>
          <w:b/>
          <w:bCs/>
          <w:color w:val="1F5C2E"/>
        </w:rPr>
        <w:t xml:space="preserve">DATA SHOWS: </w:t>
      </w:r>
      <w:r>
        <w:t xml:space="preserve">Harvest is deliberately excluded from this exercise: at 50.6% GM it already runs a healthier margin than Workhorse (47.5%) or Hero (53.5%) is only slightly better — Harvest's problem (Item 3) is volume decline, not margin, so 'fixing' its margin would be solving a problem it doesn't have.</w:t>
      </w:r>
    </w:p>
    <w:p>
      <w:pPr>
        <w:pBdr>
          <w:left w:val="single" w:color="B23A3A" w:sz="18"/>
        </w:pBdr>
        <w:shd w:fill="FBE7E7" w:val="clear"/>
        <w:spacing w:after="120" w:before="100"/>
        <w:ind w:left="150" w:right="100"/>
      </w:pPr>
      <w:r>
        <w:rPr>
          <w:b/>
          <w:bCs/>
          <w:color w:val="7A1F1F"/>
        </w:rPr>
        <w:t xml:space="preserve">UNEXPLAINED GAP: </w:t>
      </w:r>
      <w:r>
        <w:t xml:space="preserve">Scenario C's +5.49pt ceiling looks tempting next to the 9.2pt residual, but it is explicitly not achievable — it requires the entire portfolio, including the 864-franchise Thin tier and the declining-but-already-profitable Harvest tier, to perform like the top 34 Hero/Near-Hero franchises. The moderate, defensible reading (B, +1.65pt) is what's carried into Section 2.</w:t>
      </w:r>
    </w:p>
    <w:p>
      <w:pPr>
        <w:pStyle w:val="Heading1"/>
        <w:spacing w:after="160" w:before="320"/>
      </w:pPr>
      <w:r>
        <w:t xml:space="preserve">6. Base-year normalization — was FY2025 artificially depressed?</w:t>
      </w:r>
    </w:p>
    <w:p>
      <w:pPr>
        <w:spacing w:after="160"/>
      </w:pPr>
      <w:r>
        <w:t xml:space="preserve">The hypothesis: heavy, one-off COVID-era inventory clearance (per the CEO's own early framing) made FY2025A an abnormally bad base year, so part of the +14.3pt gap isn't a lever to pull, it's just 2025 not repeating. Tested directly against the P&amp;L's Cost of Sales detail — the answer is more specific and more useful than the hypothesis predicted.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1700"/>
        <w:gridCol w:w="190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Period</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Net Sales</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Direct COGS % of sales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Other COGS lines % of sales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Gross Margin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FY2024A (full year)</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737.0M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56.9%</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−8.15%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39.0%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FY2025A (full year)</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846.3M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−0.89%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YTD 2025 (comparative, same period as YTD26)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371.1M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61.2%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+0.84%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YTD 2026 (current)</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294.7M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41.7%</w:t>
            </w:r>
          </w:p>
        </w:tc>
      </w:tr>
    </w:tbl>
    <w:p>
      <w:pPr>
        <w:pBdr>
          <w:left w:val="single" w:color="3C8A4C" w:sz="18"/>
        </w:pBdr>
        <w:shd w:fill="EAF3EA" w:val="clear"/>
        <w:spacing w:after="120" w:before="100"/>
        <w:ind w:left="150" w:right="100"/>
      </w:pPr>
      <w:r>
        <w:rPr>
          <w:b/>
          <w:bCs/>
          <w:color w:val="1F5C2E"/>
        </w:rPr>
        <w:t xml:space="preserve">DATA SHOWS: </w:t>
      </w:r>
      <w:r>
        <w:t xml:space="preserve">Finding 1 — the original hypothesis is NOT supported: the 'Other Cost of Sales / Defectives / Inventory Provision / FX Difference' lines actually swing +52.5M SEK (+6.2pt) FAVOURABLY from FY2024A to FY2025A -- 2024 had the heavier one-off charges (Other COS −30.0M, Defectives −7.1M, an Inventory Provision CHARGE of −5.7M, Other COS2 −15.1M), not 2025, where Inventory Provision is actually a +5.9M release. FY2025A is not artificially depressed by one-off inventory charges relative to 2024 — if anything it already reflects an improvement, and this swing is already fully embedded in the FY2025A base, not a forward lever.</w:t>
      </w:r>
    </w:p>
    <w:p>
      <w:pPr>
        <w:pBdr>
          <w:left w:val="single" w:color="3C8A4C" w:sz="18"/>
        </w:pBdr>
        <w:shd w:fill="EAF3EA" w:val="clear"/>
        <w:spacing w:after="120" w:before="100"/>
        <w:ind w:left="150" w:right="100"/>
      </w:pPr>
      <w:r>
        <w:rPr>
          <w:b/>
          <w:bCs/>
          <w:color w:val="1F5C2E"/>
        </w:rPr>
        <w:t xml:space="preserve">DATA SHOWS: </w:t>
      </w:r>
      <w:r>
        <w:t xml:space="preserve">Finding 2 — a different, real anomaly: the DIRECT Cost of Sales ratio itself spiked specifically in FY2025 (56.9% -&gt; 60.4% of Net Sales, a −3.5pt deterioration) and was even worse in the comparable YTD2025 period (61.2%). This is the company-wide P&amp;L confirmation of the per-unit COGS increases already found in Item 2 (Wholesale Reorder COGS/unit +12-44% across most layers, Retail COGS/unit +13.6%), attributed to FX per CEO direction but never verified against transaction-level data — exactly the verification gap flagged again this turn.</w:t>
      </w:r>
    </w:p>
    <w:p>
      <w:pPr>
        <w:pBdr>
          <w:left w:val="single" w:color="3C8A4C" w:sz="18"/>
        </w:pBdr>
        <w:shd w:fill="EAF3EA" w:val="clear"/>
        <w:spacing w:after="120" w:before="100"/>
        <w:ind w:left="150" w:right="100"/>
      </w:pPr>
      <w:r>
        <w:rPr>
          <w:b/>
          <w:bCs/>
          <w:color w:val="1F5C2E"/>
        </w:rPr>
        <w:t xml:space="preserve">DATA SHOWS: </w:t>
      </w:r>
      <w:r>
        <w:t xml:space="preserve">Finding 3 — and it is already reverting, in the most current data available: YTD2026's Direct COGS ratio is 56.1%, DOWN 5.1pt from the same period last year (61.2%) on a like-for-like, apples-to-apples YTD basis. YTD2026 Gross Margin (41.7%) is already 2.5pt above the same period last year (39.2%) and above the FY2025A full-year base.</w:t>
      </w:r>
    </w:p>
    <w:p>
      <w:pPr>
        <w:pBdr>
          <w:left w:val="single" w:color="B23A3A" w:sz="18"/>
        </w:pBdr>
        <w:shd w:fill="FBE7E7" w:val="clear"/>
        <w:spacing w:after="120" w:before="100"/>
        <w:ind w:left="150" w:right="100"/>
      </w:pPr>
      <w:r>
        <w:rPr>
          <w:b/>
          <w:bCs/>
          <w:color w:val="7A1F1F"/>
        </w:rPr>
        <w:t xml:space="preserve">UNEXPLAINED GAP: </w:t>
      </w:r>
      <w:r>
        <w:t xml:space="preserve">This is genuinely encouraging, but it is NOT added to the Section 2 running total. The YTD2026 improvement is very likely entangled with the XXL mix collapse (Item 5: XXL Wholesale sell-in was −100% in Q2 2026, removing a large low-margin-mix drag) rather than being purely a cost-structure recovery — and it cannot be disentangled without 2026 article/account-level data, which does not exist in the files available to this engagement (only the aggregate P&amp;L covers 2026). Treat the +2.5pt YTD momentum as a strong, real, positive signal worth investigating directly with Finance, not as a confirmed, incremental bridge point on top of everything else already counted.</w:t>
      </w:r>
    </w:p>
    <w:p>
      <w:pPr>
        <w:pBdr>
          <w:left w:val="single" w:color="C97A1A" w:sz="18"/>
        </w:pBdr>
        <w:shd w:fill="FCEFDC" w:val="clear"/>
        <w:spacing w:after="120" w:before="100"/>
        <w:ind w:left="150" w:right="100"/>
      </w:pPr>
      <w:r>
        <w:rPr>
          <w:b/>
          <w:bCs/>
          <w:color w:val="8A4B00"/>
        </w:rPr>
        <w:t xml:space="preserve">NOT ANSWERABLE FROM DATA — ASK: </w:t>
      </w:r>
      <w:r>
        <w:t xml:space="preserve">Can Finance provide 2026 sales data at the same article/account granularity as the FY2024-2025 extract used throughout this engagement? Without it, the YTD2026 margin improvement (+2.5pt) cannot be split into 'genuine cost normalization' vs. 'XXL mix effect' vs. 'other' — and that split matters enormously for how much of the 53.5% target should be considered already de-risked. Owner: CFO / Finance data owner.</w:t>
      </w:r>
    </w:p>
    <w:p>
      <w:pPr>
        <w:pBdr>
          <w:left w:val="single" w:color="C97A1A" w:sz="18"/>
        </w:pBdr>
        <w:shd w:fill="FCEFDC" w:val="clear"/>
        <w:spacing w:after="120" w:before="100"/>
        <w:ind w:left="150" w:right="100"/>
      </w:pPr>
      <w:r>
        <w:rPr>
          <w:b/>
          <w:bCs/>
          <w:color w:val="8A4B00"/>
        </w:rPr>
        <w:t xml:space="preserve">NOT ANSWERABLE FROM DATA — ASK: </w:t>
      </w:r>
      <w:r>
        <w:t xml:space="preserve">Is the FY2025 Direct-COGS-ratio spike (and its apparent 2026 reversal) explained by FX movements, a specific sourcing/landed-cost event, or something else? This is the same verification gap flagged in Item 2 for Legwear and Sleeping Bags specifically, now confirmed at the whole-company level and sized at 3.5pt — materially larger than the two-layer anecdote suggested. Owner: CFO / Sourcing.</w:t>
      </w:r>
    </w:p>
    <w:p>
      <w:r>
        <w:br w:type="page"/>
      </w:r>
    </w:p>
    <w:p>
      <w:pPr>
        <w:pStyle w:val="Heading1"/>
        <w:spacing w:after="160" w:before="320"/>
      </w:pPr>
      <w:r>
        <w:t xml:space="preserve">7. Competitive benchmark: how do peers get to a healthy margin?</w:t>
      </w:r>
    </w:p>
    <w:p>
      <w:pPr>
        <w:spacing w:after="160"/>
      </w:pPr>
      <w:r>
        <w:t xml:space="preserve">Requested directly: if there is genuinely no more to squeeze from Haglofs' own internal levers, what does the external evidence say about how comparable companies actually achieve a healthy margin? Five public/disclosed comparables, researched directly for this 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350"/>
        <w:gridCol w:w="30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Company</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Gross Margin</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Operating/Net Margin</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How they get there</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Fenix Outdoor (Fjallraven parent)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59.4%</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1.1% EBIT</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Explicitly credits margin gain to 'more direct to consumer sales and less discounting'</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Amer Sports (Arc'teryx parent)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57.7% co-wide</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21.6% op. margin (Technical Apparel/Arc'teryx segment)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~60% DTC mix; curated wholesale (REI/Backcountry only); minimal discount-led marketing; ~$1,928 revenue/sqft across 160+ owned stores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VF Corp (North Face/Vans)</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53.5%</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n/a disclosed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+550bps in FY25 via cost reduction plus deliberately cutting unprofitable distribution channels</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Columbia Sportswear</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~50-51.6%</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disclosed</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Mainstream, wholesale-heavy — closest comparable to Haglofs' current channel mix, still ~11-12pt above Haglofs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Norrona (private, Norwegian family-owned)</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not disclosed</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7.3% net margin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Closest structural peer (small, Nordic, heritage, family-owned) — proof the constraint isn't company size or ownership</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Haglofs (current, FY2025A)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39.2%</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−3.5% EBIT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This engagement's own finding</w:t>
            </w:r>
          </w:p>
        </w:tc>
      </w:tr>
    </w:tbl>
    <w:p>
      <w:pPr>
        <w:pBdr>
          <w:left w:val="single" w:color="3C8A4C" w:sz="18"/>
        </w:pBdr>
        <w:shd w:fill="EAF3EA" w:val="clear"/>
        <w:spacing w:after="120" w:before="100"/>
        <w:ind w:left="150" w:right="100"/>
      </w:pPr>
      <w:r>
        <w:rPr>
          <w:b/>
          <w:bCs/>
          <w:color w:val="1F5C2E"/>
        </w:rPr>
        <w:t xml:space="preserve">DATA SHOWS: </w:t>
      </w:r>
      <w:r>
        <w:t xml:space="preserve">Every comparable researched sits above Haglofs' current margin — and Fenix Outdoor and Amer Sports both sit ABOVE Haglofs' own 53.5% 2029 target. Worth naming plainly at the workshop: reaching 53.5% is 'catching up to VF Corp,' not 'reaching best-in-class.' VF Corp's 53.5% figure matching Haglofs' target exactly is a useful, concrete anchor — it is a real, achieved number, not an aspirational one.</w:t>
      </w:r>
    </w:p>
    <w:p>
      <w:pPr>
        <w:pBdr>
          <w:left w:val="single" w:color="3C8A4C" w:sz="18"/>
        </w:pBdr>
        <w:shd w:fill="EAF3EA" w:val="clear"/>
        <w:spacing w:after="120" w:before="100"/>
        <w:ind w:left="150" w:right="100"/>
      </w:pPr>
      <w:r>
        <w:rPr>
          <w:b/>
          <w:bCs/>
          <w:color w:val="1F5C2E"/>
        </w:rPr>
        <w:t xml:space="preserve">DATA SHOWS: </w:t>
      </w:r>
      <w:r>
        <w:t xml:space="preserve">The 'how' is strikingly consistent across every comparable, and it maps almost exactly onto levers already identified in this engagement: DTC/owned-retail mix (Section 4's channel-mix lever), discount discipline (Item 2's core finding), and — confirmed independently by three of the five — active pruning of unprofitable distribution rather than trying to fix it in place (Item 3's Problem Child and FW27 Confirm-or-Exit work). None of this reveals a brand-new lever on its own; it is evidence that the levers already in this bridge work at scale for direct competitors.</w:t>
      </w:r>
    </w:p>
    <w:p>
      <w:pPr>
        <w:pBdr>
          <w:left w:val="single" w:color="B23A3A" w:sz="18"/>
        </w:pBdr>
        <w:shd w:fill="FBE7E7" w:val="clear"/>
        <w:spacing w:after="120" w:before="100"/>
        <w:ind w:left="150" w:right="100"/>
      </w:pPr>
      <w:r>
        <w:rPr>
          <w:b/>
          <w:bCs/>
          <w:color w:val="7A1F1F"/>
        </w:rPr>
        <w:t xml:space="preserve">UNEXPLAINED GAP: </w:t>
      </w:r>
      <w:r>
        <w:t xml:space="preserve">One genuinely new angle, not analyzed anywhere in Items 1-6: distribution CURATION. Arc'teryx deliberately limits wholesale to a small number of specialty partners (REI, Backcountry) rather than the broad, long-tail account book Haglofs runs (498 Wholesale accounts in the 2025 extract, Item 5). Nobody has asked whether Haglofs' account base is simply too broad and undifferentiated relative to how a premium technical brand curates distribution — this is a structural, strategic question, not a pricing or mix-fix question, and it has not been sized in this engagement.</w:t>
      </w:r>
    </w:p>
    <w:p>
      <w:pPr>
        <w:spacing w:after="160"/>
      </w:pPr>
      <w:r>
        <w:t xml:space="preserve">The honest tradeoff, from VF Corp specifically: their margin recovery required accepting a real revenue decline in the channels being cut (Vans −16% FY25, with 60% of that decline attributed to deliberately dropping unprofitable channels). Worth saying directly at the workshop — closing Haglofs' margin gap may require accepting that total sales shrink before margin recovers, not that both grow together. This is a strategic choice, not a data finding, and belongs with the CEO and PE ownership, not buried in an analysis.</w:t>
      </w:r>
    </w:p>
    <w:p>
      <w:pPr>
        <w:pBdr>
          <w:left w:val="single" w:color="C97A1A" w:sz="18"/>
        </w:pBdr>
        <w:shd w:fill="FCEFDC" w:val="clear"/>
        <w:spacing w:after="120" w:before="100"/>
        <w:ind w:left="150" w:right="100"/>
      </w:pPr>
      <w:r>
        <w:rPr>
          <w:b/>
          <w:bCs/>
          <w:color w:val="8A4B00"/>
        </w:rPr>
        <w:t xml:space="preserve">NOT ANSWERABLE FROM DATA — ASK: </w:t>
      </w:r>
      <w:r>
        <w:t xml:space="preserve">Would the business accept a VF Corp-style tradeoff — deliberately cutting unprofitable Wholesale distribution even at the cost of near-term revenue — to close the margin gap faster? This is the same question underlying the FW27 Confirm-or-Exit list (Item 3, 211 franchises) and the Problem Child pricing-fix work, now framed explicitly as a strategic choice rather than an analytical finding. Owner: CEO / PE ownership.</w:t>
      </w:r>
    </w:p>
    <w:p>
      <w:r>
        <w:br w:type="page"/>
      </w:r>
    </w:p>
    <w:p>
      <w:pPr>
        <w:pStyle w:val="Heading1"/>
        <w:spacing w:after="160" w:before="320"/>
      </w:pPr>
      <w:r>
        <w:t xml:space="preserve">8. A fourth, more basic problem: the starting point itself doesn't reconcile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P&amp;L Gross Margin, FY2025A</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P&amp;L Net Sales, FY2025A</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846.3M SEK</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P&amp;L Gross Profit, FY2025A</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331.4M SEK</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Sales-extract blended margin, FY2025 (all channels+accounts, same year)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1.8pt — unreconciled</w:t>
            </w:r>
          </w:p>
        </w:tc>
      </w:tr>
    </w:tbl>
    <w:p>
      <w:pPr>
        <w:pBdr>
          <w:left w:val="single" w:color="B23A3A" w:sz="18"/>
        </w:pBdr>
        <w:shd w:fill="FBE7E7" w:val="clear"/>
        <w:spacing w:after="120" w:before="100"/>
        <w:ind w:left="150" w:right="100"/>
      </w:pPr>
      <w:r>
        <w:rPr>
          <w:b/>
          <w:bCs/>
          <w:color w:val="7A1F1F"/>
        </w:rPr>
        <w:t xml:space="preserve">UNEXPLAINED GAP: </w:t>
      </w:r>
      <w:r>
        <w:t xml:space="preserve">Every article-level, account-level and channel-level analysis in Items 1-6 was built on the sales extract (Garp SEK Margin), because that is the only data with the granularity needed for franchise/account/article work. But that extract's own blended margin (41.0%) does not match the P&amp;L's official Gross Margin (39.2%) for the identical year. A 1.8-point gap exists before a single lever is even discussed. Plausible causes — different cost inclusions (e.g. logistics/freight allocated in the P&amp;L's Cost of Sales but not in the Garp-level COGS field), different revenue scope, or a consolidation/timing difference — have not been verified. Until this is resolved, every granular finding in this engagement is measured on a base that is subtly different from the number the 53.5% target is actually stated against.</w:t>
      </w:r>
    </w:p>
    <w:p>
      <w:pPr>
        <w:pBdr>
          <w:left w:val="single" w:color="C97A1A" w:sz="18"/>
        </w:pBdr>
        <w:shd w:fill="FCEFDC" w:val="clear"/>
        <w:spacing w:after="120" w:before="100"/>
        <w:ind w:left="150" w:right="100"/>
      </w:pPr>
      <w:r>
        <w:rPr>
          <w:b/>
          <w:bCs/>
          <w:color w:val="8A4B00"/>
        </w:rPr>
        <w:t xml:space="preserve">NOT ANSWERABLE FROM DATA — ASK: </w:t>
      </w:r>
      <w:r>
        <w:t xml:space="preserve">Can Finance reconcile the sales-extract margin (Garp SEK Margin basis) to the official P&amp;L Gross Margin line, and identify exactly what the 1.8pt difference consists of? This affects how literally every SEK figure in Items 1-6 should be read against the 53.5% target. Owner: CFO / Finance data owner.</w:t>
      </w:r>
    </w:p>
    <w:p>
      <w:r>
        <w:br w:type="page"/>
      </w:r>
    </w:p>
    <w:p>
      <w:pPr>
        <w:pStyle w:val="Heading1"/>
        <w:spacing w:after="160" w:before="320"/>
      </w:pPr>
      <w:r>
        <w:t xml:space="preserve">9. 2026 YTD check-in: resolving the base-year question</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2026 YTD sales extract (article/account granularity, as of 2026-07-28) arrived this round — the exact data gap flagged in Section 10's priority ask. Caveat, stated up front and true of every figure below: neither this file nor the FY2024/2025 extracts have a date field, so the comparison period cannot be matched exactly. Cross-checked against the P&amp;L's own YTD columns, this cut covers an estimated 40-44% of a year. Every year in this dataset has shown its own one-off distortions (XXL's cost-plus arrangement, FY2025's Direct-COGS spike) — treat this as a strong directional read, not a confirmed annual number, and prefer rate/share metrics (margin %, mix %) over raw SEK growth, which is mechanically understated by the partial year.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50"/>
      </w:tblGrid>
      <w:tr>
        <w:trPr>
          <w:tblHeader/>
        </w:trPr>
        <w:tc>
          <w:tcPr>
            <w:tcW w:type="dxa" w:w="5000"/>
            <w:shd w:fill="2F2F2F" w:val="clear"/>
            <w:tcMar>
              <w:top w:type="dxa" w:w="60"/>
              <w:left w:type="dxa" w:w="100"/>
              <w:bottom w:type="dxa" w:w="60"/>
              <w:right w:type="dxa" w:w="100"/>
            </w:tcMar>
            <w:vAlign w:val="center"/>
          </w:tcPr>
          <w:p>
            <w:pPr>
              <w:jc w:val="left"/>
            </w:pPr>
            <w:r>
              <w:rPr>
                <w:b/>
                <w:bCs/>
                <w:color w:val="FFFFFF"/>
                <w:sz w:val="19"/>
                <w:szCs w:val="19"/>
              </w:rPr>
              <w:t xml:space="preserve">Cut</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Sales (SEK)</w:t>
            </w:r>
          </w:p>
        </w:tc>
        <w:tc>
          <w:tcPr>
            <w:tcW w:type="dxa" w:w="2150"/>
            <w:shd w:fill="2F2F2F" w:val="clear"/>
            <w:tcMar>
              <w:top w:type="dxa" w:w="60"/>
              <w:left w:type="dxa" w:w="100"/>
              <w:bottom w:type="dxa" w:w="60"/>
              <w:right w:type="dxa" w:w="100"/>
            </w:tcMar>
            <w:vAlign w:val="center"/>
          </w:tcPr>
          <w:p>
            <w:pPr>
              <w:jc w:val="center"/>
            </w:pPr>
            <w:r>
              <w:rPr>
                <w:b/>
                <w:bCs/>
                <w:color w:val="FFFFFF"/>
                <w:sz w:val="19"/>
                <w:szCs w:val="19"/>
              </w:rPr>
              <w:t xml:space="preserve">GM% (sales-extract basis)</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FY2025, incl. XXL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877.2M</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41.0%</w:t>
            </w:r>
          </w:p>
        </w:tc>
      </w:tr>
      <w:tr>
        <w:tc>
          <w:tcPr>
            <w:tcW w:type="dxa" w:w="5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FY2025, XXL only</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115.6M</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30.3%</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FY2025, ex-XXL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761.5M</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42.7%</w:t>
            </w:r>
          </w:p>
        </w:tc>
      </w:tr>
      <w:tr>
        <w:tc>
          <w:tcPr>
            <w:tcW w:type="dxa" w:w="5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YTD2026 (XXL already ~0)</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346.7M</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45.5%</w:t>
            </w:r>
          </w:p>
        </w:tc>
      </w:tr>
    </w:tbl>
    <w:p>
      <w:pPr>
        <w:pBdr>
          <w:left w:val="single" w:color="3C8A4C" w:sz="18"/>
        </w:pBdr>
        <w:shd w:fill="EAF3EA" w:val="clear"/>
        <w:spacing w:after="120" w:before="100"/>
        <w:ind w:left="150" w:right="100"/>
      </w:pPr>
      <w:r>
        <w:rPr>
          <w:b/>
          <w:bCs/>
          <w:color w:val="1F5C2E"/>
        </w:rPr>
        <w:t xml:space="preserve">DATA SHOWS: </w:t>
      </w:r>
      <w:r>
        <w:t xml:space="preserve">The base-year question from Section 6 is now resolved, at least directionally: XXL has gone from 115.6M SEK (13.1% of FY2025 sales) to essentially zero in YTD2026 — the exit is complete, not just the '-100% Q2 sell-in' the KA report flagged. Controlling for that mix shift (comparing FY2025 ex-XXL to YTD2026, which is already ex-XXL in practice), margin is still up +2.8pt (42.7% -&gt; 45.5%). This is a genuine improvement beyond the XXL mix effect, not just an artifact of the exit.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3050"/>
        <w:gridCol w:w="210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3050"/>
            <w:shd w:fill="2F2F2F" w:val="clear"/>
            <w:tcMar>
              <w:top w:type="dxa" w:w="60"/>
              <w:left w:type="dxa" w:w="100"/>
              <w:bottom w:type="dxa" w:w="60"/>
              <w:right w:type="dxa" w:w="100"/>
            </w:tcMar>
            <w:vAlign w:val="center"/>
          </w:tcPr>
          <w:p>
            <w:pPr>
              <w:jc w:val="center"/>
            </w:pPr>
            <w:r>
              <w:rPr>
                <w:b/>
                <w:bCs/>
                <w:color w:val="FFFFFF"/>
                <w:sz w:val="19"/>
                <w:szCs w:val="19"/>
              </w:rPr>
              <w:t xml:space="preserve">FY2025 GM% (core, ex-special-accounts)</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YTD2026 GM%</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Wholesale, incl. closeout</w:t>
            </w:r>
          </w:p>
        </w:tc>
        <w:tc>
          <w:tcPr>
            <w:tcW w:type="dxa" w:w="3050"/>
            <w:tcMar>
              <w:top w:type="dxa" w:w="60"/>
              <w:left w:type="dxa" w:w="100"/>
              <w:bottom w:type="dxa" w:w="60"/>
              <w:right w:type="dxa" w:w="100"/>
            </w:tcMar>
            <w:vAlign w:val="center"/>
          </w:tcPr>
          <w:p>
            <w:pPr>
              <w:jc w:val="center"/>
            </w:pPr>
            <w:r>
              <w:rPr>
                <w:b w:val="false"/>
                <w:bCs w:val="false"/>
                <w:color w:val="000000"/>
                <w:sz w:val="19"/>
                <w:szCs w:val="19"/>
              </w:rPr>
              <w:t xml:space="preserve">42.3%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45.6%</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excl. closeout</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44.6%</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48.0%</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3050"/>
            <w:tcMar>
              <w:top w:type="dxa" w:w="60"/>
              <w:left w:type="dxa" w:w="100"/>
              <w:bottom w:type="dxa" w:w="60"/>
              <w:right w:type="dxa" w:w="100"/>
            </w:tcMar>
            <w:vAlign w:val="center"/>
          </w:tcPr>
          <w:p>
            <w:pPr>
              <w:jc w:val="center"/>
            </w:pPr>
            <w:r>
              <w:rPr>
                <w:b w:val="false"/>
                <w:bCs w:val="false"/>
                <w:color w:val="000000"/>
                <w:sz w:val="19"/>
                <w:szCs w:val="19"/>
              </w:rPr>
              <w:t xml:space="preserve">49.0%</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54.3%</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61.2%</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62.5%</w:t>
            </w:r>
          </w:p>
        </w:tc>
      </w:tr>
    </w:tbl>
    <w:p>
      <w:pPr>
        <w:pBdr>
          <w:left w:val="single" w:color="B23A3A" w:sz="18"/>
        </w:pBdr>
        <w:shd w:fill="FBE7E7" w:val="clear"/>
        <w:spacing w:after="120" w:before="100"/>
        <w:ind w:left="150" w:right="100"/>
      </w:pPr>
      <w:r>
        <w:rPr>
          <w:b/>
          <w:bCs/>
          <w:color w:val="7A1F1F"/>
        </w:rPr>
        <w:t xml:space="preserve">UNEXPLAINED GAP: </w:t>
      </w:r>
      <w:r>
        <w:t xml:space="preserve">But this is not the full-price-recovery story the bridge was built around. Same-franchise decomposition (continuing franchises only, product held constant) shows price is NOT driving the improvement in either DTC channel that was checked: Retail same-franchise ASP is down -1.6% (824 -&gt; 811 SEK/unit) while COGS/unit is down -5.4%; Wholesale same-franchise ASP is down -12.3% (617 -&gt; 541 SEK/unit, core accounts, excl. closeout) while COGS/unit is down -16.1%. In both channels, pricing on the same product is flat-to-worse — if anything, Wholesale price erosion looks like it is continuing or accelerating, not reversing — and the margin gain is being generated entirely by cost coming down faster than price. The Item 2 full-price-recovery lever is not what is showing up in this data.</w:t>
      </w:r>
    </w:p>
    <w:p>
      <w:pPr>
        <w:spacing w:after="200"/>
      </w:pPr>
      <w:r>
        <w:rPr>
          <w:i/>
          <w:iCs/>
          <w:color w:val="555555"/>
          <w:sz w:val="18"/>
          <w:szCs w:val="18"/>
        </w:rPr>
        <w:t xml:space="preserve">Wholesale same-franchise figures exclude special accounts and Closeout, matching Item 2's basis; 293 continuing franchises, &gt;=100 units FY2025 / &gt;=20 units YTD2026. Retail: 360 continuing franchises, same thresholds. Neither test controls for account-mix shift within a channel, which could partly explain the ASP move without any single account's price actually changing -- flagged as a limitation, not resolved here.</w:t>
      </w:r>
    </w:p>
    <w:p>
      <w:pPr>
        <w:pBdr>
          <w:left w:val="single" w:color="C97A1A" w:sz="18"/>
        </w:pBdr>
        <w:shd w:fill="FCEFDC" w:val="clear"/>
        <w:spacing w:after="120" w:before="100"/>
        <w:ind w:left="150" w:right="100"/>
      </w:pPr>
      <w:r>
        <w:rPr>
          <w:b/>
          <w:bCs/>
          <w:color w:val="8A4B00"/>
        </w:rPr>
        <w:t xml:space="preserve">NOT ANSWERABLE FROM DATA — ASK: </w:t>
      </w:r>
      <w:r>
        <w:t xml:space="preserve">Is the same-product cost reduction (-16.1pt Wholesale, -5.4pt Retail, unit-COGS basis) a genuine sourcing/landed-cost win, or an FX tailwind (COGS is substantially USD-denominated; SEK strengthening would show up exactly this way)? This is the FX-vs-true-cost question raised earlier in the engagement, now visible at a company-wide scale rather than in two isolated layers -- and this time the answer would be good news, if confirmed. Owner: CFO / Sourcing.</w:t>
      </w:r>
    </w:p>
    <w:p>
      <w:pPr>
        <w:pStyle w:val="ListParagraph"/>
        <w:numPr>
          <w:ilvl w:val="0"/>
          <w:numId w:val="2"/>
        </w:numPr>
        <w:spacing w:after="80"/>
      </w:pPr>
      <w:r>
        <w:t xml:space="preserve">Wholesale Reorder margin is no longer running below Preorder — the Item 5 finding has reversed in this cut (Preorder 40.9% -&gt; 43.2%, Reorder 38.7% -&gt; 48.5%, both up, Reorder now the stronger of the two). Consistent with a cost-side improvement rather than a demand or pricing-discipline fix. Astral GTX at Intersport specifically shows Reorder (969 units) running ahead of Preorder (586 units) — no sign of the live price-increase costing volume that the Q2 2026 KA report flagged as a risk to watch.</w:t>
      </w:r>
    </w:p>
    <w:p>
      <w:pPr>
        <w:pBdr>
          <w:left w:val="single" w:color="C97A1A" w:sz="18"/>
        </w:pBdr>
        <w:shd w:fill="FCEFDC" w:val="clear"/>
        <w:spacing w:after="120" w:before="100"/>
        <w:ind w:left="150" w:right="100"/>
      </w:pPr>
      <w:r>
        <w:rPr>
          <w:b/>
          <w:bCs/>
          <w:color w:val="8A4B00"/>
        </w:rPr>
        <w:t xml:space="preserve">NOT ANSWERABLE FROM DATA — ASK: </w:t>
      </w:r>
      <w:r>
        <w:t xml:space="preserve">Given the YTD-reliability caveat above, should any part of this +2.8pt genuine (ex-XXL, ex-mix) margin improvement be added to Section 2's quantified total now, or held until a full-year 2026 close confirms it? Recommend holding it out of the counted total for this workshop and revisiting once more of the year is in, consistent with how the original base-year finding was treated -- but the direction and the cost-vs-price finding are solid enough to change the conversation now. Owner: CFO / whoever owns the FY2026 forecast.</w:t>
      </w:r>
    </w:p>
    <w:p>
      <w:r>
        <w:br w:type="page"/>
      </w:r>
    </w:p>
    <w:p>
      <w:pPr>
        <w:pStyle w:val="Heading1"/>
        <w:spacing w:after="160" w:before="320"/>
      </w:pPr>
      <w:r>
        <w:t xml:space="preserve">10. What's genuinely missing — the honest punch list</w:t>
      </w:r>
    </w:p>
    <w:p>
      <w:pPr>
        <w:pStyle w:val="ListParagraph"/>
        <w:numPr>
          <w:ilvl w:val="0"/>
          <w:numId w:val="2"/>
        </w:numPr>
        <w:spacing w:after="80"/>
      </w:pPr>
      <w:r>
        <w:t xml:space="preserve">The residual: ~9.2pt of the +14.3pt target still has no CONFIRMED, disentangled source anywhere in this engagement, even after sizing channel mix, tier-mix and the base-year investigation this round. UPDATED: Section 9's YTD2026 check-in confirms the Direct-COGS-ratio reversal is real and not just the XXL mix effect (+2.8pt genuine, ex-XXL) -- but it is a cost story, not the price-realization story the bridge assumed, and it is still not counted in Section 2's total pending full-year confirmation.</w:t>
      </w:r>
    </w:p>
    <w:p>
      <w:pPr>
        <w:pStyle w:val="ListParagraph"/>
        <w:numPr>
          <w:ilvl w:val="0"/>
          <w:numId w:val="2"/>
        </w:numPr>
        <w:spacing w:after="80"/>
      </w:pPr>
      <w:r>
        <w:t xml:space="preserve">SG&amp;A / overhead leverage sits below Gross Profit in the P&amp;L structure, so it mechanically CANNOT move a Gross Margin figure — worth confirming the 53.5% target is genuinely a Gross Margin number and not being conflated with an EBIT-margin ambition, since the two would need very different levers.</w:t>
      </w:r>
    </w:p>
    <w:p>
      <w:pPr>
        <w:pStyle w:val="ListParagraph"/>
        <w:numPr>
          <w:ilvl w:val="0"/>
          <w:numId w:val="2"/>
        </w:numPr>
        <w:spacing w:after="80"/>
      </w:pPr>
      <w:r>
        <w:t xml:space="preserve">The FX-vs-true-overrun question is now sized, not just anecdotal: the FY2025 Direct-COGS-ratio spike is worth −3.5pt at the whole-company level (Section 6), materially larger than the Legwear/Sleeping Bags two-layer example from Item 2 suggested. Still unverified against transaction-level FX data, which does not exist in the files available.</w:t>
      </w:r>
    </w:p>
    <w:p>
      <w:pPr>
        <w:pStyle w:val="ListParagraph"/>
        <w:numPr>
          <w:ilvl w:val="0"/>
          <w:numId w:val="2"/>
        </w:numPr>
        <w:spacing w:after="80"/>
      </w:pPr>
      <w:r>
        <w:t xml:space="preserve">New-store start-up losses (Item 4) are a real, negative drag on the 2026-2029 window specifically — they work against the bridge in the near term even though the underlying stores may be a 2029+/2032 growth story. This note could not size the drag in Gross Margin terms because the MTP slide reports it as an EBIT figure (which includes store opex), not a Gross Margin figure.</w:t>
      </w:r>
    </w:p>
    <w:p>
      <w:pPr>
        <w:pStyle w:val="ListParagraph"/>
        <w:numPr>
          <w:ilvl w:val="0"/>
          <w:numId w:val="2"/>
        </w:numPr>
        <w:spacing w:after="80"/>
      </w:pPr>
      <w:r>
        <w:t xml:space="preserve">The special-account mix effect moved the WRONG way in the one year of history available (−0.43pt, FY24-&gt;FY25) — but Section 9 confirms it flipped decisively favorable in 2026: XXL's exit is complete, and special accounts overall have dropped from 25.9% to 13.1% of total company sales. Whether that holds as China/Zalando continue growing is still worth watching, but the direction is now confirmed, not just anecdotal.</w:t>
      </w:r>
    </w:p>
    <w:p>
      <w:pPr>
        <w:pStyle w:val="ListParagraph"/>
        <w:numPr>
          <w:ilvl w:val="0"/>
          <w:numId w:val="2"/>
        </w:numPr>
        <w:spacing w:after="80"/>
      </w:pPr>
      <w:r>
        <w:t xml:space="preserve">No FY2029E sales, channel-mix, or account-mix target breakdown was available to this engagement — only the single headline GM% figure. Without it, the ~9.2pt residual can't be tested against a real target composition, only against what's currently identified (which isn't enough on its own).</w:t>
      </w:r>
    </w:p>
    <w:p>
      <w:pPr>
        <w:pStyle w:val="ListParagraph"/>
        <w:numPr>
          <w:ilvl w:val="0"/>
          <w:numId w:val="2"/>
        </w:numPr>
        <w:spacing w:after="80"/>
      </w:pPr>
      <w:r>
        <w:t xml:space="preserve">Whether the FW27 target-margin-gap methodology (Item 2) could be extended beyond its current 172M-SEK Wholesale-only matched sample to Retail/E-com and a fuller style-match set remains untested — the true addressable base for 'get to the plan's own target margins' may be larger than what's counted in Section 2.</w:t>
      </w:r>
    </w:p>
    <w:p>
      <w:pPr>
        <w:pStyle w:val="Heading1"/>
        <w:spacing w:after="160" w:before="320"/>
      </w:pPr>
      <w:r>
        <w:t xml:space="preserve">11. Recommended next step</w:t>
      </w:r>
    </w:p>
    <w:p>
      <w:pPr>
        <w:spacing w:after="160"/>
      </w:pPr>
      <w:r>
        <w:t xml:space="preserve">This note is a reconciliation, not a finished bridge — consistent with what was asked. The single highest-value next step changed this round:</w:t>
      </w:r>
    </w:p>
    <w:p>
      <w:pPr>
        <w:pStyle w:val="ListParagraph"/>
        <w:numPr>
          <w:ilvl w:val="0"/>
          <w:numId w:val="2"/>
        </w:numPr>
        <w:spacing w:after="80"/>
      </w:pPr>
      <w:r>
        <w:t xml:space="preserve">PRIORITY: the 2026 article/account-level data requested last round has arrived and is analyzed in Section 9. The next priority is narrower: get a full-year 2026 close (or at least a later YTD cut) to confirm the +2.8pt genuine margin improvement is durable and not a partial-year artifact, and get Finance/Sourcing input on whether the underlying cost reduction (-16.1% Wholesale, -5.4% Retail, same-franchise COGS/unit) is FX or genuine landed-cost improvement.</w:t>
      </w:r>
    </w:p>
    <w:p>
      <w:pPr>
        <w:pStyle w:val="ListParagraph"/>
        <w:numPr>
          <w:ilvl w:val="0"/>
          <w:numId w:val="2"/>
        </w:numPr>
        <w:spacing w:after="80"/>
      </w:pPr>
      <w:r>
        <w:t xml:space="preserve">Get the FY2029E target's underlying assumptions (sales, channel mix, account mix) from whoever built the MTP, so the residual can be tested against a real target composition rather than a single headline percentage.</w:t>
      </w:r>
    </w:p>
    <w:p>
      <w:pPr>
        <w:pStyle w:val="ListParagraph"/>
        <w:numPr>
          <w:ilvl w:val="0"/>
          <w:numId w:val="2"/>
        </w:numPr>
        <w:spacing w:after="80"/>
      </w:pPr>
      <w:r>
        <w:t xml:space="preserve">Resolve the 1.8pt sales-extract-vs-P&amp;L basis mismatch with Finance before the workshop — otherwise every lever in this note is being measured against a base that may not be the one the 53.5% target is actually stated on.</w:t>
      </w:r>
    </w:p>
    <w:p>
      <w:pPr>
        <w:pBdr>
          <w:left w:val="single" w:color="C97A1A" w:sz="18"/>
        </w:pBdr>
        <w:shd w:fill="FCEFDC" w:val="clear"/>
        <w:spacing w:after="120" w:before="100"/>
        <w:ind w:left="150" w:right="100"/>
      </w:pPr>
      <w:r>
        <w:rPr>
          <w:b/>
          <w:bCs/>
          <w:color w:val="8A4B00"/>
        </w:rPr>
        <w:t xml:space="preserve">NOT ANSWERABLE FROM DATA — ASK: </w:t>
      </w:r>
      <w:r>
        <w:t xml:space="preserve">Is there a cost, sourcing, or overhead-leverage workstream already underway elsewhere in the business that is expected to contribute to the +14.3pt target but simply falls outside this engagement's sales-data-driven scope? If so, this note's residual may be smaller than it appears — but that needs to be confirmed explicitly, not assumed. Owner: CFO.</w:t>
      </w:r>
    </w:p>
    <w:p>
      <w:pPr>
        <w:pStyle w:val="Heading1"/>
        <w:spacing w:after="160" w:before="320"/>
      </w:pPr>
      <w:r>
        <w:t xml:space="preserve">12. Backup data</w:t>
      </w:r>
    </w:p>
    <w:p>
      <w:pPr>
        <w:pStyle w:val="ListParagraph"/>
        <w:numPr>
          <w:ilvl w:val="0"/>
          <w:numId w:val="2"/>
        </w:numPr>
        <w:spacing w:after="80"/>
      </w:pPr>
      <w:r>
        <w:t xml:space="preserve">bob_marginbridge_backup.xlsx — the reconciliation summary, full lever detail with formulas, channel-mix current/sensitivity data, portfolio tier-mix scenarios, the base-year normalization detail and findings, the competitive benchmark table, the basis-mismatch check, the special-account mix/rate decomposition, and the new 2026 YTD check-in sheets (Section 9).</w:t>
      </w:r>
    </w:p>
    <w:p>
      <w:pPr>
        <w:pStyle w:val="ListParagraph"/>
        <w:numPr>
          <w:ilvl w:val="0"/>
          <w:numId w:val="2"/>
        </w:numPr>
        <w:spacing w:after="80"/>
      </w:pPr>
      <w:r>
        <w:t xml:space="preserve">Competitive benchmark figures (Section 7) are drawn from public company filings and press coverage — Fenix Outdoor interim/annual reports, Amer Sports SEC filings and earnings releases, VF Corp and Columbia Sportswear investor releases, and Norrona financial data via third-party company-data aggregators. Not derived from Haglofs' internal data.</w:t>
      </w:r>
    </w:p>
    <w:p>
      <w:pPr>
        <w:pStyle w:val="ListParagraph"/>
        <w:numPr>
          <w:ilvl w:val="0"/>
          <w:numId w:val="2"/>
        </w:numPr>
        <w:spacing w:after="80"/>
      </w:pPr>
      <w:r>
        <w:t xml:space="preserve">Source items: item2_fullprice_recovery_backup.xlsx (Sections 3, 7, 8), bob_item3_portfolio_backup.xlsx (Problem Child detail), item5_wholesale_account_preorder_reorder.xlsx (Reorder margin detail), Bridge_Item4_New_Retail_PreRead.docx (new-store EBIT shape).</w:t>
      </w:r>
    </w:p>
    <w:p>
      <w:pPr>
        <w:pStyle w:val="ListParagraph"/>
        <w:numPr>
          <w:ilvl w:val="0"/>
          <w:numId w:val="2"/>
        </w:numPr>
        <w:spacing w:after="80"/>
      </w:pPr>
      <w:r>
        <w:t xml:space="preserve">bob_financialdata_2025.xlsx — source for the P&amp;L Gross Margin, Net Sales and Gross Profit figures used in Section 4.</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2026-07-28T21:49:56.730Z</dcterms:created>
  <dcterms:modified xsi:type="dcterms:W3CDTF">2026-07-28T21:49:56.742Z</dcterms:modified>
</cp:coreProperties>
</file>

<file path=docProps/custom.xml><?xml version="1.0" encoding="utf-8"?>
<Properties xmlns="http://schemas.openxmlformats.org/officeDocument/2006/custom-properties" xmlns:vt="http://schemas.openxmlformats.org/officeDocument/2006/docPropsVTypes"/>
</file>