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v6</w:t>
      </w:r>
    </w:p>
    <w:p>
      <w:pPr>
        <w:spacing w:after="40"/>
      </w:pPr>
      <w:r>
        <w:rPr>
          <w:i/>
          <w:iCs/>
          <w:color w:val="666666"/>
          <w:sz w:val="22"/>
          <w:szCs w:val="22"/>
        </w:rPr>
        <w:t xml:space="preserve">Revised per Draft v3 review comments: Section 3 restructured (ASP folded into New Products, Wholesale/DTC merged under one chapter with a shared margin overview), all draft-iteration commentary removed throughout, YTD2026 pacing/GM% columns added across the tier and New/Test tables, and the New/Test risk-flag watchlist recomputed after removing the outlet-leakage flag.</w:t>
      </w:r>
    </w:p>
    <w:p>
      <w:pPr>
        <w:spacing w:after="300"/>
      </w:pPr>
      <w:r>
        <w:rPr>
          <w:color w:val="888888"/>
          <w:sz w:val="20"/>
          <w:szCs w:val="20"/>
        </w:rPr>
        <w:t xml:space="preserve">2026-07-31</w:t>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2"/>
        <w:spacing w:after="120" w:before="240"/>
      </w:pPr>
      <w:r>
        <w:t xml:space="preserve">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2"/>
        <w:spacing w:after="120" w:before="240"/>
      </w:pPr>
      <w:r>
        <w:t xml:space="preserve">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2"/>
        <w:spacing w:after="120" w:before="240"/>
      </w:pPr>
      <w:r>
        <w:t xml:space="preserve">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2"/>
        <w:spacing w:after="120" w:before="240"/>
      </w:pPr>
      <w:r>
        <w:t xml:space="preserve">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r>
        <w:br w:type="page"/>
      </w:r>
    </w:p>
    <w:p>
      <w:pPr>
        <w:pStyle w:val="Heading1"/>
        <w:spacing w:after="160" w:before="320"/>
      </w:pPr>
      <w:r>
        <w:t xml:space="preserve">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2.1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2.1.1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4.2.3)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2.1.2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Section 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Section 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2.1.4): 16 of 151 are confirmed continuing (F27 or a season-shift into S27/S28), 27 are a possible match under a different gender or garment type — ambiguous, needs a Product/Merchandising call — and 108 have no match anywhere. This 108 is part of the 2.2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2.1.3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Section 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Section 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Section 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Section 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2.1.2/2.1.4,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2.2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2.1.4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2.2</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2.1.5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2.1.4,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2.1.4's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2.1.6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2.1.5)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2.2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2.1.4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2.3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(2.1.2)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(2.2)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(2.1.3)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(2.1.3)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(2.1.4),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2.1.3)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(2.1.5) and Harvest's non-FW27-gap remainder (2.2) both need a person, not a rule — a launch-review checkpoint and a range-planning reconciliation respectively — a process ask for the relevant owners, not a SEK-sized lever.</w:t>
      </w:r>
    </w:p>
    <w:p>
      <w:pPr>
        <w:pStyle w:val="Heading2"/>
        <w:spacing w:after="120" w:before="240"/>
      </w:pPr>
      <w:r>
        <w:t xml:space="preserve">2.4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2.1.3)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2.1.4)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2.2)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3. New Products: Profitable and Growing, but Low Reorder</w:t>
      </w:r>
    </w:p>
    <w:p>
      <w:pPr>
        <w:spacing w:after="160"/>
      </w:pPr>
      <w:r>
        <w:rPr>
          <w:b/>
          <w:bCs/>
        </w:rPr>
        <w:t xml:space="preserve">New/Test is already the second-largest tier in the entire portfolio by sales (123.9M SEK, 19.1% of core) — bigger than Harvest, bigger than Problem Child, bigger than the entire healthy Hero + Near-Hero core combined. Innovation is a genuine growth driver here, not a marginal contributor. This chapter covers new product in two parts: Generation Updates (refreshing an existing, already-trading franchise with new technical features, usually paired with a price-increase case) and Genuinely New launches (no prior trading history). Both are judged on the same underlying question — how well are we launching, and how well is it selling.</w:t>
      </w:r>
    </w:p>
    <w:p>
      <w:pPr>
        <w:pBdr>
          <w:left w:val="single" w:color="C97A1A" w:sz="18"/>
        </w:pBdr>
        <w:shd w:fill="FCEFDC" w:val="clear"/>
        <w:spacing w:after="120" w:before="100"/>
        <w:ind w:left="150" w:right="100"/>
      </w:pPr>
      <w:r>
        <w:rPr>
          <w:b/>
          <w:bCs/>
          <w:color w:val="8A4B00"/>
        </w:rPr>
        <w:t xml:space="preserve">NOT ANSWERABLE FROM DATA — ASK: </w:t>
      </w:r>
      <w:r>
        <w:t xml:space="preserve">Suggested KPI framework for judging both Generation Updates and Genuinely New launches going forward — initial volume, DTC presence AND performance in year 1 (not just whether DTC exists, but how much it's carrying), margin at launch, and reorder %. Flagged here as a candidate framework for the team to adopt; not yet scored against every franchise in this draft — that's a follow-up build, not a finding.</w:t>
      </w:r>
    </w:p>
    <w:p>
      <w:pPr>
        <w:pStyle w:val="Heading2"/>
        <w:spacing w:after="120" w:before="240"/>
      </w:pPr>
      <w:r>
        <w:t xml:space="preserve">3.1 Generation Updates as a Price-Increase Opportunity</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and split into two different problems: 15 families (62.6M SEK) still have ZERO 2025 sales on the 'successor' article — there is, in practice, no new version selling yet, so no pricing conversation is possible on them at all — while 7 families (4.0M SEK) do have a launched successor but the predecessor still holds &gt;35% of 2025 units, a genuine (if early) overlap rather than a clean cutover. One family previously too ambiguous to score (Puffy Mimic Hood Men, a 3-version case)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changes the read: 11 of the 15 (60.4M SEK of the 62.6M) now show real successor volume in 2026 — these are genuine transitions, just a year later than an FY2025-only analysis would show, not dead ends. Using 2026 units, 3 of those 11 (Haglöfs Ridge GTX Low Men 11.80M, Kaja Proof Jacket Men 4.20M, Lite Standard Zip-Off Pant Women 1.02M — 17.0M SEK combined) have already crossed the same &lt;15%-predecessor-share threshold used for the 2025 list and would qualify as CLEAN CUTOVER on a 2026 basis; the other 8 (Haglöfs Ridge GTX Low Women, Särna Mimic Hood Men and Women, Buteo Mid Jacket Men and Women, Haglöfs Ridge GTX Mid Men and Women, Haglöfs Krusa GTX Low Women) are underway but still HEAVY OVERLAP even in 2026 (35-80% predecessor share). Only 4 families (2.2M SEK: Vandra Pant Women, Zircon Shorts Women, Mid Flex Pant Men, L.I.M Jacket Women) show zero successor activity in both years and are not real candidates. Recommendation: treat the 3 as an emerging second-wave addition to the pricing list once a 2026 version of this workbook is run properly (not folded into the FY2025 figures above), and revisit the other 8 later in the year.</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Top 15 by 2025 family sales, with the successor's own YTD2026 sales as a % of its own FY2025 sales (the same ~40-44% on-pace benchmark used elsewhere in this brief)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2000"/>
        <w:gridCol w:w="2000"/>
        <w:gridCol w:w="1675"/>
      </w:tblGrid>
      <w:tr>
        <w:trPr>
          <w:tblHeader/>
        </w:trPr>
        <w:tc>
          <w:tcPr>
            <w:tcW w:type="dxa" w:w="3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(Bield Down Hood Men, Gran 3-in-1 Proof Jacket Men, Fiction Down Hood Men, L.I.M Critus Pant Men and Women, Essens Down Hood Women, Base Mimic Hood Men and Women) — flagged 'stalled' in the table above. This isn't a naming/tracking artifact: the whole franchise (not just the successor article) is near-zero or negative in YTD2026 for each of these. A price-increase case aimed at 'live volume' doesn't hold for franchises where the volume has since evaporated — these 8 need a status check (still trading? quietly discontinued? superseded by a further version not caught by this string-matching method?) before being used as generation-update pricing candidates.</w:t>
      </w:r>
    </w:p>
    <w:p>
      <w:pPr>
        <w:spacing w:after="200"/>
      </w:pPr>
      <w:r>
        <w:rPr>
          <w:i/>
          <w:iCs/>
          <w:color w:val="555555"/>
          <w:sz w:val="18"/>
          <w:szCs w:val="18"/>
        </w:rPr>
        <w:t xml:space="preserve">Full 88-family list, both corrected columns (Predecessor_Articles / Successor_Articles, replacing the old Likely_Outgoing_Article) and the two new YTD2026 columns are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for the 15 families with a not-yet-real successor, isn't yet a live conversation at all), a materially different (and riskier) case than the clean-cutover list above.</w:t>
      </w:r>
    </w:p>
    <w:p>
      <w:pPr>
        <w:pStyle w:val="Heading2"/>
        <w:spacing w:after="120" w:before="240"/>
      </w:pPr>
      <w:r>
        <w:t xml:space="preserve">3.2 Genuinely New Products: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2.1.5)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2.1.5),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3.3 Portfolio-Mix Overview: Where Should New-Product Effort Go?</w:t>
      </w:r>
    </w:p>
    <w:p>
      <w:pPr>
        <w:spacing w:after="160"/>
      </w:pPr>
      <w:r>
        <w:t xml:space="preserve">Before drilling into specific layers, the 8-tier portfolio split from Chapter 2 already points to where new-product effort matters most — and where it doesn't. Full tier-level detail is in Chapter 2; this is that same data, reframed for the new-product question specifically: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5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Share of core</w:t>
            </w:r>
          </w:p>
        </w:tc>
        <w:tc>
          <w:tcPr>
            <w:tcW w:type="dxa" w:w="4750"/>
            <w:shd w:fill="2F2F2F" w:val="clear"/>
            <w:tcMar>
              <w:top w:type="dxa" w:w="60"/>
              <w:left w:type="dxa" w:w="100"/>
              <w:bottom w:type="dxa" w:w="60"/>
              <w:right w:type="dxa" w:w="100"/>
            </w:tcMar>
            <w:vAlign w:val="center"/>
          </w:tcPr>
          <w:p>
            <w:pPr>
              <w:jc w:val="center"/>
            </w:pPr>
            <w:r>
              <w:rPr>
                <w:b/>
                <w:bCs/>
                <w:color w:val="FFFFFF"/>
                <w:sz w:val="18"/>
                <w:szCs w:val="18"/>
              </w:rPr>
              <w:t xml:space="preserve">What this means for new product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Largest tier, mostly healthy — targeted channel fixes needed, not new product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new-product engine itself — needs better launch execution (DTC support, reorder discipline), not more volume</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Declining — this is where a successor product should be aimed, to replace what's fading</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14.6%</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Margin problem first — often a generation-update/pricing fix rather than a net-new launch</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Hero + Near-Hero</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97.9M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Already working — protect and reinforce, not a new-product gap</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 candidates — not a target for new-product investment</w:t>
            </w:r>
          </w:p>
        </w:tc>
      </w:tr>
    </w:tbl>
    <w:p>
      <w:pPr>
        <w:pBdr>
          <w:left w:val="single" w:color="3C8A4C" w:sz="18"/>
        </w:pBdr>
        <w:shd w:fill="EAF3EA" w:val="clear"/>
        <w:spacing w:after="120" w:before="100"/>
        <w:ind w:left="150" w:right="100"/>
      </w:pPr>
      <w:r>
        <w:rPr>
          <w:b/>
          <w:bCs/>
          <w:color w:val="1F5C2E"/>
        </w:rPr>
        <w:t xml:space="preserve">DATA SHOWS: </w:t>
      </w:r>
      <w:r>
        <w:t xml:space="preserve">Read together with the layer-level cut below: Harvest and Problem Child are where 'do we need new product here' is a real question, and Shell (both the largest Harvest chunk and the largest Problem Child layer) is where that question is most concentrated in Apparel specifically.</w:t>
      </w:r>
    </w:p>
    <w:p>
      <w:pPr>
        <w:pStyle w:val="Heading2"/>
        <w:spacing w:after="120" w:before="240"/>
      </w:pPr>
      <w:r>
        <w:t xml:space="preserve">3.4 SS28 Product Priorities from the Internal Data</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second key problem runs through this layer-level cut, distinct from Chapter 1's margin story and from Footwear's Hero desert below: fragmentation. Insulation, Mid layer, and the Accessories layer all show the same pattern — healthy or improving margin, healthy or strong growth, but no single franchise concentrated enough to count as a proven Hero. Insulation's substitution ratio is 1.05 and its reorder SEK conversion is 8.5% (barely half of Shell's); Mid layer's substitution ratio (1.03) is the weakest of any layer in the portfolio, with margin eroding on top; Accessories grew +38.2% at 54.0% GM and still produced zero Hero/Near-Hero franchises. This is a different disease from 'not enough new product' or 'wrong margin' — it's too many small, individually-thin launches instead of a few that are allowed to scale. The fix is consolidation (the same succession/generation-update logic as 3.1), not more volume.</w:t>
      </w:r>
    </w:p>
    <w:p>
      <w:pPr>
        <w:pBdr>
          <w:left w:val="single" w:color="3C8A4C" w:sz="18"/>
        </w:pBdr>
        <w:shd w:fill="EAF3EA" w:val="clear"/>
        <w:spacing w:after="120" w:before="100"/>
        <w:ind w:left="150" w:right="100"/>
      </w:pPr>
      <w:r>
        <w:rPr>
          <w:b/>
          <w:bCs/>
          <w:color w:val="1F5C2E"/>
        </w:rPr>
        <w:t xml:space="preserve">DATA SHOWS: </w:t>
      </w:r>
      <w:r>
        <w:t xml:space="preserve">The consolidation mechanism partially exists for one of the three, once corrected for the labeling bug flagged in 3.1: Insulation has 6 of the 18 genuine clean-cutover generation-update families, worth 10.5M SEK (6.9% of the layer) — a real but modest starting list, not the 'fifth of the whole layer' an earlier, mislabeled version of this analysis suggested. Mid layer and Hiking shoes (Footwear) both turn out to have ZERO genuine 2025-based clean-cutover families once the same correction is applied — their prior 'successors' (Buteo Mid Jacket, Haglöfs Ridge GTX Low, Haglöfs Krusa GTX Low) had no real 2025 volume, though most have since started shipping in 2026 (see 3.1's second-wave note) — so there is no consolidation mechanism ready to run on FY2025 figures in either layer today, and both need fresh franchise-mapping/product-brief work, plus a 2026-data re-check, before this case can be made.</w:t>
      </w:r>
    </w:p>
    <w:p>
      <w:pPr>
        <w:pBdr>
          <w:left w:val="single" w:color="C97A1A" w:sz="18"/>
        </w:pBdr>
        <w:shd w:fill="FCEFDC" w:val="clear"/>
        <w:spacing w:after="120" w:before="100"/>
        <w:ind w:left="150" w:right="100"/>
      </w:pPr>
      <w:r>
        <w:rPr>
          <w:b/>
          <w:bCs/>
          <w:color w:val="8A4B00"/>
        </w:rPr>
        <w:t xml:space="preserve">NOT ANSWERABLE FROM DATA — ASK: </w:t>
      </w:r>
      <w:r>
        <w:t xml:space="preserve">For each fragmented long-tail franchise being considered for consolidation, whether it gets a design/technical refresh (new story, updated look, matching the accessories old-logo decision already made) versus a straightforward discontinuation is a product/brand judgment, not something derivable from sales data. The data can identify which franchises are consolidation candidates; it can't say which of them deserve the investment of a refresh. Owner: CPO / Merchandising Director, likely franchise-by-franchise rather than a blanket policy.</w:t>
      </w:r>
    </w:p>
    <w:p>
      <w:pPr>
        <w:pStyle w:val="Heading3"/>
        <w:spacing w:after="100" w:before="200"/>
      </w:pPr>
      <w:r>
        <w:t xml:space="preserve">3.4.1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2.2)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Beyond the margin story above, Shell's underlying volume health is sound: it's replacing legacy decline 1.27x over (Emerging-tier growth ÷ Legacy-tier decline — see Appendix A), converts Wholesale reorder at 13.8% of Preorder SEK (above the 12.4% company average), carries the best DTC diversification of any major layer (38.5%), and is pacing at 42.2% of FY2025 — in line with the ~40-44% on-pace benchmark used throughout this brief. The SS28 question for Shell is entirely about margin discipline on new launches, not volume, distribution, or consolidation.</w:t>
      </w:r>
    </w:p>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spacing w:after="160"/>
      </w:pPr>
      <w:r>
        <w:rPr>
          <w:b/>
          <w:bCs/>
        </w:rPr>
        <w:t xml:space="preserve">Insulation — the second-largest layer, and a different problem than Shell's</w:t>
      </w:r>
    </w:p>
    <w:p>
      <w:pPr>
        <w:spacing w:after="160"/>
      </w:pPr>
      <w:r>
        <w:t xml:space="preserve">At 120.3M SEK, Insulation is the second-largest layer in the portfolio — large enough to warrant its own read, not a footnote under 'Apparel.'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50"/>
      </w:tblGrid>
      <w:tr>
        <w:trPr>
          <w:tblHeader/>
        </w:trPr>
        <w:tc>
          <w:tcPr>
            <w:tcW w:type="dxa" w:w="4400"/>
            <w:shd w:fill="2F2F2F" w:val="clear"/>
            <w:tcMar>
              <w:top w:type="dxa" w:w="60"/>
              <w:left w:type="dxa" w:w="100"/>
              <w:bottom w:type="dxa" w:w="60"/>
              <w:right w:type="dxa" w:w="100"/>
            </w:tcMar>
            <w:vAlign w:val="center"/>
          </w:tcPr>
          <w:p>
            <w:pPr>
              <w:jc w:val="left"/>
            </w:pPr>
            <w:r>
              <w:rPr>
                <w:b/>
                <w:bCs/>
                <w:color w:val="FFFFFF"/>
                <w:sz w:val="18"/>
                <w:szCs w:val="18"/>
              </w:rPr>
              <w:t xml:space="preserve">Insulation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42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20.6M (from 39.5M, -18.9M)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FW27 gap list (Harvest/PC/Workhorse, no confirmed continuation)</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 — 2nd-largest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Unlike Shell, margin is not the issue: GM% jumped 12.3pt (37.4%→49.7%). The problem is fragmentation. Insulation's substitution ratio (1.05) is barely above the breakeven line — emerging-tier growth is only just keeping pace with what's declining in Harvest and Problem Child, not amplifying it. Reorder follow-through is normal (30.2%, in line with the company average), but SEK conversion is only 8.5% — nearly half of Shell's rate — meaning reorders happen about as often, just for much smaller amounts each time. DTC support is thinner too (27.3% vs. Shell's 38.5%), and YTD2026 pacing (31.0%) trails both the on-pace benchmark and Shell. Read together: this isn't a demand or margin problem, it's too many small, individually-thin franchises rather than a few strong ones carrying real volume — the case for applying the same succession/consolidation logic from 3.1 (Generation Updates) to actively retire the long tail into fewer, stronger successor franchises, rather than continuing to launch New/Test items into an already-fragmented layer.</w:t>
      </w:r>
    </w:p>
    <w:p>
      <w:pPr>
        <w:pBdr>
          <w:left w:val="single" w:color="B23A3A" w:sz="18"/>
        </w:pBdr>
        <w:shd w:fill="FBE7E7" w:val="clear"/>
        <w:spacing w:after="120" w:before="100"/>
        <w:ind w:left="150" w:right="100"/>
      </w:pPr>
      <w:r>
        <w:rPr>
          <w:b/>
          <w:bCs/>
          <w:color w:val="7A1F1F"/>
        </w:rPr>
        <w:t xml:space="preserve">METHODOLOGY FLAG: </w:t>
      </w:r>
      <w:r>
        <w:t xml:space="preserve">This pattern isn't unique to Insulation. Mid layer shows the same fragmentation signal at smaller scale (60.5M SEK, substitution ratio 1.03 — the weakest of any Apparel layer) and margin is eroding on top of it (-3.4pt), which Insulation does not have. Legwear is a different, narrower issue: growing well (+10.1%) with a healthy substitution ratio, but its reorder SEK conversion (7.8%) is as weak as Insulation's — a reorder-execution question specific to that layer, not a consolidation one. Full seven-layer Apparel cut, plus Footwear and Accessories, is in Appendix A — worth a look before deciding whether this narrative extends beyond Shell and Insulation for the workshop.</w:t>
      </w:r>
    </w:p>
    <w:p>
      <w:pPr>
        <w:pStyle w:val="Heading3"/>
        <w:spacing w:after="100" w:before="200"/>
      </w:pPr>
      <w:r>
        <w:t xml:space="preserve">3.4.2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spacing w:after="200"/>
      </w:pPr>
      <w:r>
        <w:rPr>
          <w:i/>
          <w:iCs/>
          <w:color w:val="555555"/>
          <w:sz w:val="18"/>
          <w:szCs w:val="18"/>
        </w:rPr>
        <w:t xml:space="preserve">Substitution ratios confirm this is a real gap, not a growth-slowdown story: Hiking shoes 0.29 and Trail running shoes 0.00 — full detail in Appendix A.</w:t>
      </w:r>
    </w:p>
    <w:p>
      <w:pPr>
        <w:pBdr>
          <w:left w:val="single" w:color="3C8A4C" w:sz="18"/>
        </w:pBdr>
        <w:shd w:fill="EAF3EA" w:val="clear"/>
        <w:spacing w:after="120" w:before="100"/>
        <w:ind w:left="150" w:right="100"/>
      </w:pPr>
      <w:r>
        <w:rPr>
          <w:b/>
          <w:bCs/>
          <w:color w:val="1F5C2E"/>
        </w:rPr>
        <w:t xml:space="preserve">DATA SHOWS: </w:t>
      </w:r>
      <w:r>
        <w:t xml:space="preserve">Footwear is a complete Hero desert, not just a declining or under-launched category: all five Footwear layers — Hiking shoes, Trekking shoes, Trail running shoes, Casual shoes, Mountain shoes — have zero Hero or Near-Hero franchises between them, out of 34 Hero/Near-Hero franchises company-wide. The gap here isn't just 'not enough new launches,' it's that nothing in Footwear has ever broken out to proven-star status. Full layer-by-tier breakdown in Appendix A.</w:t>
      </w:r>
    </w:p>
    <w:p>
      <w:pPr>
        <w:pStyle w:val="Heading3"/>
        <w:spacing w:after="100" w:before="200"/>
      </w:pPr>
      <w:r>
        <w:t xml:space="preserve">3.4.3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spacing w:after="200"/>
      </w:pPr>
      <w:r>
        <w:rPr>
          <w:i/>
          <w:iCs/>
          <w:color w:val="555555"/>
          <w:sz w:val="18"/>
          <w:szCs w:val="18"/>
        </w:rPr>
        <w:t xml:space="preserve">Hiking packs (the Accessories-category layer, not Footwear) shows the same acute gap as Hiking/Trail running shoes — substitution ratio 0.28 — but its reorder SEK conversion (49.0%) is the best of any layer in the portfolio: what does convert, converts extremely well, there just isn't enough new product feeding it. Full detail in Appendix A.</w:t>
      </w:r>
    </w:p>
    <w:p>
      <w:pPr>
        <w:pBdr>
          <w:left w:val="single" w:color="3C8A4C" w:sz="18"/>
        </w:pBdr>
        <w:shd w:fill="EAF3EA" w:val="clear"/>
        <w:spacing w:after="120" w:before="100"/>
        <w:ind w:left="150" w:right="100"/>
      </w:pPr>
      <w:r>
        <w:rPr>
          <w:b/>
          <w:bCs/>
          <w:color w:val="1F5C2E"/>
        </w:rPr>
        <w:t xml:space="preserve">DATA SHOWS: </w:t>
      </w:r>
      <w:r>
        <w:t xml:space="preserve">A specific tension in the 'well-growing' framing above: the Accessories layer itself (the literal 'Accessories' category, not Daypacks/Bags/etc.) has zero Hero or Near-Hero franchises despite +38.2% growth and 54.0% GM — the same fragmentation pattern already flagged for Insulation and Mid layer, strong in aggregate but with no single item concentrated enough to count as a proven star. Daypacks is the one Accessories-category layer with any Hero/Near-Hero presence (2 franchises) — worth checking whether the design-refresh work already decided (above) should prioritize consolidating Accessories' long tail the same way, rather than just refreshing the logo/branding on what exists.</w:t>
      </w:r>
    </w:p>
    <w:p>
      <w:pPr>
        <w:pStyle w:val="Heading2"/>
        <w:spacing w:after="120" w:before="240"/>
      </w:pPr>
      <w:r>
        <w:t xml:space="preserve">3.5 Additional Opportunities</w:t>
      </w:r>
    </w:p>
    <w:p>
      <w:pPr>
        <w:spacing w:after="160"/>
      </w:pPr>
      <w:r>
        <w:rPr>
          <w:i/>
          <w:iCs/>
        </w:rPr>
        <w:t xml:space="preserve">Two open questions, both flagged for follow-up rather than answered here — neither is verifiable with the current data.</w:t>
      </w:r>
    </w:p>
    <w:p>
      <w:pPr>
        <w:pStyle w:val="ListParagraph"/>
        <w:numPr>
          <w:ilvl w:val="0"/>
          <w:numId w:val="2"/>
        </w:numPr>
        <w:spacing w:after="80"/>
      </w:pPr>
      <w:r>
        <w:t xml:space="preserve">Basket size / bundling: do we have the right product mix to grow basket size — Accessories is normally the easy lever, but whether the fix is launching new accessories or selling the existing range better is TBD. Needs verification against DTC transaction-level data (what actually gets bundled/co-purchased in a single sale) to answer.</w:t>
      </w:r>
    </w:p>
    <w:p>
      <w:pPr>
        <w:pStyle w:val="ListParagraph"/>
        <w:numPr>
          <w:ilvl w:val="0"/>
          <w:numId w:val="2"/>
        </w:numPr>
        <w:spacing w:after="80"/>
      </w:pPr>
      <w:r>
        <w:t xml:space="preserve">Price/margin via new technical features: can we build a margin-increase case into new-feature launches, beyond the generation-update/version-succession case already covered in 3.1?</w:t>
      </w:r>
    </w:p>
    <w:p>
      <w:pPr>
        <w:pBdr>
          <w:left w:val="single" w:color="B23A3A" w:sz="18"/>
        </w:pBdr>
        <w:shd w:fill="FBE7E7" w:val="clear"/>
        <w:spacing w:after="120" w:before="100"/>
        <w:ind w:left="150" w:right="100"/>
      </w:pPr>
      <w:r>
        <w:rPr>
          <w:b/>
          <w:bCs/>
          <w:color w:val="7A1F1F"/>
        </w:rPr>
        <w:t xml:space="preserve">METHODOLOGY FLAG: </w:t>
      </w:r>
      <w:r>
        <w:t xml:space="preserve">Neither of the two questions above can be verified with the current data — the sales extract has no transaction/order ID, so co-purchase/bundling patterns can't be reconstructed (the same standing data gap noted throughout this brief). Both stay as open follow-up asks for the team, not findings with numbers behind them.</w:t>
      </w:r>
    </w:p>
    <w:p>
      <w:r>
        <w:br w:type="page"/>
      </w:r>
    </w:p>
    <w:p>
      <w:pPr>
        <w:pStyle w:val="Heading1"/>
        <w:spacing w:after="160" w:before="320"/>
      </w:pPr>
      <w:r>
        <w:t xml:space="preserve">4. Wholesale &amp; DTC: Reorder Lever and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4.1 Channel-Level Margin and ASP Trend</w:t>
      </w:r>
    </w:p>
    <w:p>
      <w:pPr>
        <w:pStyle w:val="Heading3"/>
        <w:spacing w:after="100" w:before="200"/>
      </w:pPr>
      <w:r>
        <w:t xml:space="preserve">4.1.1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4.1.2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4.3.1,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4.2 Wholesale</w:t>
      </w:r>
    </w:p>
    <w:p>
      <w:pPr>
        <w:pStyle w:val="Heading3"/>
        <w:spacing w:after="100" w:before="200"/>
      </w:pPr>
      <w:r>
        <w:t xml:space="preserve">4.2.1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4.2.2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spacing w:after="80" w:before="160"/>
      </w:pPr>
      <w:r>
        <w:rPr>
          <w:b/>
          <w:bCs/>
          <w:i/>
          <w:iCs/>
          <w:color w:val="444444"/>
          <w:sz w:val="21"/>
          <w:szCs w:val="21"/>
        </w:rPr>
        <w:t xml:space="preserve">Reorder trend by account (top 10 by 2025 Wholesale sales), FY2025 vs. YTD2026</w:t>
      </w:r>
    </w:p>
    <w:p>
      <w:pPr>
        <w:spacing w:after="160"/>
      </w:pPr>
      <w:r>
        <w:t xml:space="preserve">The franchise-level view above answers 'which products reorder well'; this is the account-level equivalent — which accounts' Reorder/Preorder ratio is improving or declining YTD2026, for the same top-10 accounts used in 4.2.1.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00"/>
        <w:gridCol w:w="1050"/>
        <w:gridCol w:w="1050"/>
        <w:gridCol w:w="1000"/>
        <w:gridCol w:w="8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Δ</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70.56M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66.15M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10.07M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47.24M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26.29M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23.21M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9.83M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-11.4pt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14.20M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-19.6pt</w:t>
            </w:r>
          </w:p>
        </w:tc>
      </w:tr>
    </w:tbl>
    <w:p>
      <w:pPr>
        <w:pBdr>
          <w:left w:val="single" w:color="3C8A4C" w:sz="18"/>
        </w:pBdr>
        <w:shd w:fill="EAF3EA" w:val="clear"/>
        <w:spacing w:after="120" w:before="100"/>
        <w:ind w:left="150" w:right="100"/>
      </w:pPr>
      <w:r>
        <w:rPr>
          <w:b/>
          <w:bCs/>
          <w:color w:val="1F5C2E"/>
        </w:rPr>
        <w:t xml:space="preserve">DATA SHOWS: </w:t>
      </w:r>
      <w:r>
        <w:t xml:space="preserve">Intersport and Outnorth — both already-healthy, genuine specialty-retail accounts — are the two clearest improvers (+21.9pt and +27.0pt), reinforcing the company-wide reorder-mechanism improvement from a second, independent angle (by buyer, not just by product). Mega Sport and Eventyr Sport move the other way (-19.6pt and -11.4pt) despite also being genuine specialty accounts, so the improvement is not universal even among 'healthy' buyers and is worth a direct check with Wholesale on those two specifically. The special/structurally-different accounts (XXL SE, XXL NO, Zalando, China) stay near-zero or n/a in both periods, consistent with 4.2.2's finding that they are not a fair comparison set for this mechanism at all.</w:t>
      </w:r>
    </w:p>
    <w:p>
      <w:pPr>
        <w:pBdr>
          <w:left w:val="single" w:color="B23A3A" w:sz="18"/>
        </w:pBdr>
        <w:shd w:fill="FBE7E7" w:val="clear"/>
        <w:spacing w:after="120" w:before="100"/>
        <w:ind w:left="150" w:right="100"/>
      </w:pPr>
      <w:r>
        <w:rPr>
          <w:b/>
          <w:bCs/>
          <w:color w:val="7A1F1F"/>
        </w:rPr>
        <w:t xml:space="preserve">METHODOLOGY FLAG: </w:t>
      </w:r>
      <w:r>
        <w:t xml:space="preserve">XXL NO's YTD2026 Preorder figure is net-negative (-0.01M, returns exceeding new bookings) and Eventyr Sport's YTD2026 Reorder figure is also net-negative (-0.15M) — both marked n/a or shown as a negative ratio rather than annualized, since a ratio on a near-zero or negative base is not a meaningful trend read this early in the year.</w:t>
      </w:r>
    </w:p>
    <w:p>
      <w:pPr>
        <w:pStyle w:val="Heading3"/>
        <w:spacing w:after="100" w:before="200"/>
      </w:pPr>
      <w:r>
        <w:t xml:space="preserve">4.2.3 Core Assortment: Reorder Follow-Through</w:t>
      </w:r>
    </w:p>
    <w:p>
      <w:pPr>
        <w:spacing w:after="160"/>
      </w:pPr>
      <w:r>
        <w:t xml:space="preserve">This section was previously broken down by account type (core vs. special account) — but that duplicates the core-only cut already shown in 4.2.1.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spacing w:after="160"/>
      </w:pPr>
      <w:r>
        <w:t xml:space="preserve">Read as a correlation, not a quantified business case: since the Core Assortment reorders meaningfully better than the rest of the portfolio (and the gap is widening, not narrowing, in YTD2026), it's reasonable to prioritize stock availability for those 58 franchises specifically over a broad-based buffer-stock increase. This note stops at stating that correlation — putting a number on the inventory/stockout trade-off would need a stockout-cost or lost-sales model this data doesn't support.</w:t>
      </w:r>
    </w:p>
    <w:p>
      <w:pPr>
        <w:pStyle w:val="Heading3"/>
        <w:spacing w:after="100" w:before="200"/>
      </w:pPr>
      <w:r>
        <w:t xml:space="preserve">4.2.4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4.2.5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4.2.6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4.3 DTC (Retail + E-com)</w:t>
      </w:r>
    </w:p>
    <w:p>
      <w:pPr>
        <w:pStyle w:val="Heading3"/>
        <w:spacing w:after="100" w:before="200"/>
      </w:pPr>
      <w:r>
        <w:t xml:space="preserve">4.3.1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4.3.2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4.1).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4.4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4.2.1).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spacing w:after="160"/>
      </w:pPr>
      <w:r>
        <w:t xml:space="preserve">Grouped together as the re-entry markets — a mix of what came up in conversation and what the data shows. The Wholesale Director is already working this; the notes below are an acknowledgment of where things stand, not a new analysis to action.</w:t>
      </w:r>
    </w:p>
    <w:p>
      <w:pPr>
        <w:spacing w:after="160"/>
      </w:pP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spacing w:after="160"/>
      </w:pPr>
      <w:r>
        <w:t xml:space="preserve">Austria: the zero-Wholesale, zero-Retail footprint has a real explanation, confirmed 2026-07-28 — XXL previously forced other Austrian retailers to drop Haglöfs, then XXL went bankrupt in Austria, leaving a genuine distribution vacuum. The current agent (Martin) is rated well and some residual brand awareness exists. Outlet allocation has since been redirected to Germany, ahead of Austria.</w:t>
      </w:r>
    </w:p>
    <w:p>
      <w:pPr>
        <w:spacing w:after="160"/>
      </w:pPr>
      <w:r>
        <w:t xml:space="preserve">Switzerland: almost no grounding in this engagement yet. The sales data shows only a small existing Wholesale presence (4.5M SEK 2024 → 7.4M SEK 2025), no Retail or E-com at all. Treat any Switzerland re-entry case as needing fresh work, not an extension of the Germany/Austria analysis.</w:t>
      </w:r>
    </w:p>
    <w:p>
      <w:pPr>
        <w:pStyle w:val="Heading2"/>
        <w:spacing w:after="120" w:before="240"/>
      </w:pPr>
      <w:r>
        <w:t xml:space="preserve">5.2 New (Distributor) Markets: What's Selling, and Do We Have What They Want?</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What's actually selling — top 5 franchises by 2025 sales in each market, with 2024 and YTD2026 for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50"/>
        <w:gridCol w:w="1250"/>
        <w:gridCol w:w="1250"/>
      </w:tblGrid>
      <w:tr>
        <w:trPr>
          <w:tblHeader/>
        </w:trPr>
        <w:tc>
          <w:tcPr>
            <w:tcW w:type="dxa" w:w="13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2024</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YTD26</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ZT Mountain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ZT Trek GTX PRO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Airak GTX Jacket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Latnja GTX Insulated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(Women)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Jarve Multi 28 (Unisex)</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Spitz Down Hood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0.63M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0.28M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Airak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bl>
    <w:p>
      <w:pPr>
        <w:pBdr>
          <w:left w:val="single" w:color="3C8A4C" w:sz="18"/>
        </w:pBdr>
        <w:shd w:fill="EAF3EA" w:val="clear"/>
        <w:spacing w:after="120" w:before="100"/>
        <w:ind w:left="150" w:right="100"/>
      </w:pPr>
      <w:r>
        <w:rPr>
          <w:b/>
          <w:bCs/>
          <w:color w:val="1F5C2E"/>
        </w:rPr>
        <w:t xml:space="preserve">DATA SHOWS: </w:t>
      </w:r>
      <w:r>
        <w:t xml:space="preserve">Layer mix is the same story as the store-opening markets in 6.2: Shell is the #1 layer in all three (46.5% China, 35.9% Japan, 25.7% Korea of 2025 sales) and Insulation is #2 everywhere (15.0-21.3%) — the 'no market needs a fundamentally different range' finding holds for the distributor markets too, not just the store-opening candidates.</w:t>
      </w:r>
    </w:p>
    <w:p>
      <w:pPr>
        <w:pBdr>
          <w:left w:val="single" w:color="3C8A4C" w:sz="18"/>
        </w:pBdr>
        <w:shd w:fill="EAF3EA" w:val="clear"/>
        <w:spacing w:after="120" w:before="100"/>
        <w:ind w:left="150" w:right="100"/>
      </w:pPr>
      <w:r>
        <w:rPr>
          <w:b/>
          <w:bCs/>
          <w:color w:val="1F5C2E"/>
        </w:rPr>
        <w:t xml:space="preserve">DATA SHOWS: </w:t>
      </w:r>
      <w:r>
        <w:t xml:space="preserve">But no single franchise is a genuine hero in any of the three: the top 2025 franchise captures only 2.3% of China's total, 2.3% of Korea's, and 4.5% of Japan's — the same long-tail fragmentation problem flagged domestically in 3.4 (Insulation/Mid layer/Accessories), not a distributor-market-specific issue.</w:t>
      </w:r>
    </w:p>
    <w:p>
      <w:pPr>
        <w:pBdr>
          <w:left w:val="single" w:color="3C8A4C" w:sz="18"/>
        </w:pBdr>
        <w:shd w:fill="EAF3EA" w:val="clear"/>
        <w:spacing w:after="120" w:before="100"/>
        <w:ind w:left="150" w:right="100"/>
      </w:pPr>
      <w:r>
        <w:rPr>
          <w:b/>
          <w:bCs/>
          <w:color w:val="1F5C2E"/>
        </w:rPr>
        <w:t xml:space="preserve">DATA SHOWS: </w:t>
      </w:r>
      <w:r>
        <w:t xml:space="preserve">China's list has almost fully turned over between FY2025 and YTD2026 — none of the FY2025 top-5 (L.I.M ZT Mountain/Trek GTX PRO, L.I.M GTX Jacket, Latnja) show meaningful YTD2026 sales; the new YTD2026 leaders are Rosson Down Hood AF (Men, 2.23M), Nallo Touring GTX Jacket and Nallo Touring Down Hood instead. Japan is more stable — Spitz Down Hood (Men) appears across all three periods (0.40M → 0.66M → 0.63M). Korea's YTD2026 book is still too thin (all five rows under 0.05M) to read a stable top-seller list from yet.</w:t>
      </w:r>
    </w:p>
    <w:p>
      <w:pPr>
        <w:pBdr>
          <w:left w:val="single" w:color="C97A1A" w:sz="18"/>
        </w:pBdr>
        <w:shd w:fill="FCEFDC" w:val="clear"/>
        <w:spacing w:after="120" w:before="100"/>
        <w:ind w:left="150" w:right="100"/>
      </w:pPr>
      <w:r>
        <w:rPr>
          <w:b/>
          <w:bCs/>
          <w:color w:val="8A4B00"/>
        </w:rPr>
        <w:t xml:space="preserve">NOT ANSWERABLE FROM DATA — ASK: </w:t>
      </w:r>
      <w:r>
        <w:t xml:space="preserve">What do these markets actually want, and do we have it — this is the same product-fit question raised for domestic SS28 priorities in Chapter 3, now asked for China/Korea/Japan specifically. The internal read (Shell/Insulation-heavy, fragmented, no proven hero) suggests these markets would benefit from the same generation-update consolidation (3.1, 3.4) and launch-quality discipline (3.2) as the domestic range, rather than a market-specific product brief — but that's a Merchandising/distributor-relationship judgment this sales extract can't settle on its own. Recommend looping Merchandising into SS28 New/Test planning for these three markets specifically, given how much China's assortment has already turned over year-on-year above. Owner: CPO / Merchandising Director, with the relevant distributor relationship owner.</w:t>
      </w:r>
    </w:p>
    <w:p>
      <w:r>
        <w:br w:type="page"/>
      </w:r>
    </w:p>
    <w:p>
      <w:pPr>
        <w:pStyle w:val="Heading1"/>
        <w:spacing w:after="160" w:before="320"/>
      </w:pPr>
      <w:r>
        <w:t xml:space="preserve">6. New Store Openings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below as illustrative of the correct methodology, not final — the team still needs to supply real per-store ramp assumptions before this replaces the figures used elsewhere.</w:t>
      </w:r>
    </w:p>
    <w:p>
      <w:pPr>
        <w:spacing w:after="160"/>
      </w:pPr>
      <w:r>
        <w:t xml:space="preserve">Two decisions from the 2026-07-28 session affect this roster, not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2026-07-28 decision to reject Munich outright. Flagging rather than silently dropping it: whoever reworks this model should remove München (or confirm the rejection has been reversed) before this table is used for anything beyond illustrating the methodology.</w:t>
      </w:r>
    </w:p>
    <w:p>
      <w:pPr>
        <w:pStyle w:val="Heading2"/>
        <w:spacing w:after="120" w:before="240"/>
      </w:pPr>
      <w:r>
        <w:t xml:space="preserve">6.1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above)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NOT ANSWERABLE FROM DATA — ASK: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is worse under this model, not better, should it be re-scoped or re-negotiated (different site, smaller footprint, renegotiated rent) before the 2028 commitment is finalized? Owner: Retail Expansion / Real Estate lead.</w:t>
      </w:r>
    </w:p>
    <w:p>
      <w:pPr>
        <w:pStyle w:val="Heading2"/>
        <w:spacing w:after="120" w:before="240"/>
      </w:pPr>
      <w:r>
        <w:t xml:space="preserve">6.2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 the same pattern found in 5.2 for the distributor markets (China/Korea/Japan). This is reassuring for assortment planning (no market needs a fundamentally different range) but does not resolve the demand-level questions above.</w:t>
      </w:r>
    </w:p>
    <w:p>
      <w:r>
        <w:br w:type="page"/>
      </w:r>
    </w:p>
    <w:p>
      <w:pPr>
        <w:pStyle w:val="Heading1"/>
        <w:spacing w:after="160" w:before="320"/>
      </w:pPr>
      <w:r>
        <w:t xml:space="preserve">Appendix A: Layer-Level Diagnostic (All 19 Layers)</w:t>
      </w:r>
    </w:p>
    <w:p>
      <w:pPr>
        <w:spacing w:after="160"/>
      </w:pPr>
      <w:r>
        <w:rPr>
          <w:i/>
          <w:iCs/>
        </w:rPr>
        <w:t xml:space="preserve">Same seven metrics, run across every layer in the portfolio, referenced from 3.4 (SS28 Product Priorities). Methodology: SubRatio = Emerging-tier (Hero/Near-Hero/Workhorse/New-Test) sales growth ÷ Legacy-tier (Harvest/Problem Child/Exited/Thin) sales decline, 2024→2025 — above 1.0 means new growth is already replacing what's fading in that layer; below 1.0 means it isn't yet. Reorder FT% and SEK Conv% use the same combo-level, core-scope methodology established in Chapter 4.2.2 (Preordered article-account combinations, 2025 Wholesale). DTC% and YTD26 Pace% follow the same definitions used throughout this brief.</w:t>
      </w:r>
    </w:p>
    <w:p>
      <w:pPr>
        <w:pStyle w:val="Heading2"/>
        <w:spacing w:after="120" w:before="240"/>
      </w:pPr>
      <w: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244.5M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42.5% (-1.3pt)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38.5%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42.2%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120.3M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49.7% (+12.3pt)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63.0M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50.4% (-2.4pt)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63.1%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 (-3.4pt)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124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45.1% (-5.0pt)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50.7% (-3.7pt)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30.6%</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+47.4%</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50.1% (+0.2pt)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44.1%</w:t>
            </w:r>
          </w:p>
        </w:tc>
      </w:tr>
    </w:tbl>
    <w:p>
      <w:pPr>
        <w:pStyle w:val="Heading2"/>
        <w:spacing w:after="120" w:before="240"/>
      </w:pPr>
      <w: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-8.0%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43.4%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69.2%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43.3% (-6.3pt)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38.8% (-0.4pt)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80.5%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 (-1.7pt)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*Mountain shoes: 2 franchises, ~5K SEK total 2025 sales — figures are noise on a base this small (negative margin, four-digit % growth) and are excluded from any narrative read; shown here only for completeness.</w:t>
      </w:r>
    </w:p>
    <w:p>
      <w:pPr>
        <w:pStyle w:val="Heading2"/>
        <w:spacing w:after="120" w:before="240"/>
      </w:pPr>
      <w: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54.0% (-2.7pt)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45.1% (-4.2pt)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 (-2.3pt)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43.0% (-3.0pt)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68.9%</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41.0% (-2.2pt)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61.7%</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45.7% (-1.6pt)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49.7%</w:t>
            </w:r>
          </w:p>
        </w:tc>
      </w:tr>
    </w:tbl>
    <w:p>
      <w:pPr>
        <w:pBdr>
          <w:left w:val="single" w:color="3C8A4C" w:sz="18"/>
        </w:pBdr>
        <w:shd w:fill="EAF3EA" w:val="clear"/>
        <w:spacing w:after="120" w:before="100"/>
        <w:ind w:left="150" w:right="100"/>
      </w:pPr>
      <w:r>
        <w:rPr>
          <w:b/>
          <w:bCs/>
          <w:color w:val="1F5C2E"/>
        </w:rPr>
        <w:t xml:space="preserve">DATA SHOWS: </w:t>
      </w:r>
      <w:r>
        <w:t xml:space="preserve">Standout items beyond what's already called out in 3.4: Hiking packs (SubRatio 0.28) shows the same acute Footwear-style gap, but converts reorder better than any other layer in the portfolio (49.0% SEK conversion) — the constraint is new-product supply, not demand. Daypacks' DTC share (9.3%) is the lowest of any layer with real scale (28.2M SEK), more Wholesale-dependent than New/Test as a whole. Margin is compressing in almost every layer across all three categories except Insulation and Base layer — consistent with the 'margin improving broadly, volume lagging' headline in the Executive Summary.</w:t>
      </w:r>
    </w:p>
    <w:p>
      <w:r>
        <w:br w:type="page"/>
      </w:r>
    </w:p>
    <w:p>
      <w:pPr>
        <w:pStyle w:val="Heading1"/>
        <w:spacing w:after="160" w:before="320"/>
      </w:pPr>
      <w:r>
        <w:t xml:space="preserve">Appendix B: Layer × Tier Franchise Counts (All 19 Layers)</w:t>
      </w:r>
    </w:p>
    <w:p>
      <w:pPr>
        <w:spacing w:after="160"/>
      </w:pPr>
      <w:r>
        <w:rPr>
          <w:i/>
          <w:iCs/>
        </w:rPr>
        <w:t xml:space="preserve">Referenced from 3.4.2 and 3.4.3 — tests whether every layer has at least one proven Hero/Near-Hero franchise. It doesn't: 11 of 19 layers (58%) have zero Hero or Near-Hero franchises, including all five Footwear layers and the Accessories layer itself. Only three layers — Shell, Insulation, Mid layer — account for 25 of the 34 Hero/Near-Hero franchises company-wide.</w:t>
      </w:r>
    </w:p>
    <w:p>
      <w:pPr>
        <w:pStyle w:val="Heading2"/>
        <w:spacing w:after="120" w:before="240"/>
      </w:pPr>
      <w: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442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234</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124</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35</w:t>
            </w:r>
          </w:p>
        </w:tc>
      </w:tr>
    </w:tbl>
    <w:p>
      <w:pPr>
        <w:pStyle w:val="Heading2"/>
        <w:spacing w:after="120" w:before="240"/>
      </w:pPr>
      <w: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w:t>
            </w:r>
          </w:p>
        </w:tc>
      </w:tr>
    </w:tbl>
    <w:p>
      <w:pPr>
        <w:spacing w:after="200"/>
      </w:pPr>
      <w:r>
        <w:rPr>
          <w:i/>
          <w:iCs/>
          <w:color w:val="555555"/>
          <w:sz w:val="18"/>
          <w:szCs w:val="18"/>
        </w:rPr>
        <w:t xml:space="preserve">Zero Hero/Near-Hero franchises in every single Footwear layer — not one exception.</w:t>
      </w:r>
    </w:p>
    <w:p>
      <w:pPr>
        <w:pStyle w:val="Heading2"/>
        <w:spacing w:after="120" w:before="240"/>
      </w:pPr>
      <w: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151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13</w:t>
            </w:r>
          </w:p>
        </w:tc>
      </w:tr>
    </w:tbl>
    <w:p>
      <w:pPr>
        <w:spacing w:after="200"/>
      </w:pPr>
      <w:r>
        <w:rPr>
          <w:i/>
          <w:iCs/>
          <w:color w:val="555555"/>
          <w:sz w:val="18"/>
          <w:szCs w:val="18"/>
        </w:rPr>
        <w:t xml:space="preserve">Only Daypacks and Bags carry any Hero/Near-Hero presence in Accessories (2 franchises each); Sleepingbags carries 1. The other four Accessories-category layers — Accessories, Hiking packs, Trekking packs, Mountain packs — have none.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2026-07-31T14:02:32.635Z</dcterms:created>
  <dcterms:modified xsi:type="dcterms:W3CDTF">2026-07-31T14:02:32.638Z</dcterms:modified>
</cp:coreProperties>
</file>

<file path=docProps/custom.xml><?xml version="1.0" encoding="utf-8"?>
<Properties xmlns="http://schemas.openxmlformats.org/officeDocument/2006/custom-properties" xmlns:vt="http://schemas.openxmlformats.org/officeDocument/2006/docPropsVTypes"/>
</file>