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2: Full-Price Recovery / Discount Reduction</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 The larger, −14.5pt Wholesale gap to FW27 target margin is overwhelmingly a pricing/RRP-realization question, not a cost question — but whether that gap is a discipline failure or an unrealistic planning assumption cannot be settled from this data alone. This note is written to separate the two explicitly throughout, using DATA SHOWS / ASK boxes, because margin is the more contested, judgment-dependent half of the bridge and the workshop needs to know which parts of this are facts and which parts are open questions for named people.</w:t>
      </w:r>
    </w:p>
    <w:p>
      <w:pPr>
        <w:pStyle w:val="Heading1"/>
        <w:spacing w:after="160" w:before="320"/>
      </w:pPr>
      <w:r>
        <w:t xml:space="preserve">1. Purpose, scope and a methodology correction made along the way</w:t>
      </w:r>
    </w:p>
    <w:p>
      <w:pPr>
        <w:spacing w:after="160"/>
      </w:pPr>
      <w:r>
        <w:t xml:space="preserve">This note documents Bridge Item 2 — how much of the +14.3pt Gross Margin gap (39.2% FY2025A → 53.5% FY2029E) can plausibly come from selling the same products, through the same channels and accounts, at closer to their intended price. It deliberately excludes levers already sized elsewhere: special-account mix (~46.5M SEK, Item 1 territory), sourcing/COGS-negotiation (ruled out — insufficient volume for leverage, confirmed with CEO), and Closeout ordertype / outlet channels (treated as clearance mechanisms, not a discounting-discipline lever, per CEO direction).</w:t>
      </w:r>
    </w:p>
    <w:p>
      <w:pPr>
        <w:pBdr>
          <w:left w:val="single" w:color="3C8A4C" w:sz="18"/>
        </w:pBdr>
        <w:shd w:fill="EAF3EA" w:val="clear"/>
        <w:spacing w:after="120" w:before="100"/>
        <w:ind w:left="150" w:right="100"/>
      </w:pPr>
      <w:r>
        <w:rPr>
          <w:b/>
          <w:bCs/>
          <w:color w:val="1F5C2E"/>
        </w:rPr>
        <w:t xml:space="preserve">DATA SHOWS: </w:t>
      </w:r>
      <w:r>
        <w:t xml:space="preserve">An early attempt to build an absolute “% off RRP” discount measure for Wholesale and Retail (using the Assortment Attribution Review's Target RRP field) was tested against the one place a known-correct answer exists — the dedicated E-com discount file — and failed calibration (37.5% or 21.9% implied vs. 29.6% actual, depending on VAT assumption, on only 15% of Ecom sales matched). That method was abandoned. Everything in this note instead uses ASP trend (relative price movement on the same continuing product, franchise-level, version-transitions merged) as the reliable measure — proven methodology, carried over from Item 1.</w:t>
      </w:r>
    </w:p>
    <w:p>
      <w:pPr>
        <w:pStyle w:val="Heading1"/>
        <w:spacing w:after="160" w:before="320"/>
      </w:pPr>
      <w:r>
        <w:t xml:space="preserve">2. Executive summary</w:t>
      </w:r>
    </w:p>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genuine, broad-based price-realization problem: like-for-like ASP −4.7% (continuing franchises), on top of a −10.5% unit decline. Not concentrated in a few accounts — broad and moderate everywhere, with two named outliers (RCT Systems Japan, Stadium, both −19% ASP).</w:t>
      </w:r>
    </w:p>
    <w:p>
      <w:pPr>
        <w:pStyle w:val="ListParagraph"/>
        <w:numPr>
          <w:ilvl w:val="0"/>
          <w:numId w:val="2"/>
        </w:numPr>
        <w:spacing w:after="80"/>
      </w:pPr>
      <w:r>
        <w:t xml:space="preserve">Retail's apparent +3.0% ASP “improvement” was a mix-shift illusion (more Shell sold, which prices ~2x the Retail average) — corrected, same-product Retail pricing is actually down −3.1%, matching Wholesale's problem, not offsetting it.</w:t>
      </w:r>
    </w:p>
    <w:p>
      <w:pPr>
        <w:pStyle w:val="ListParagraph"/>
        <w:numPr>
          <w:ilvl w:val="0"/>
          <w:numId w:val="2"/>
        </w:numPr>
        <w:spacing w:after="80"/>
      </w:pPr>
      <w:r>
        <w:t xml:space="preserve">E-com shows a different, more specific pattern: a dateable regime change in previously-full-price months (Jan, Apr, May) starting in 2025 that has not reverted through 2026 YTD — not broad drift, a specific, investigable event.</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r>
        <w:br w:type="page"/>
      </w:r>
    </w:p>
    <w:p>
      <w:pPr>
        <w:pStyle w:val="Heading1"/>
        <w:spacing w:after="160" w:before="320"/>
      </w:pPr>
      <w:r>
        <w:t xml:space="preserve">3. Channel-level margin and ASP trend</w:t>
      </w:r>
    </w:p>
    <w:p>
      <w:pPr>
        <w:pStyle w:val="Heading2"/>
        <w:spacing w:after="120" w:before="240"/>
      </w:pPr>
      <w:r>
        <w:t xml:space="preserve">3.1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2500"/>
        <w:gridCol w:w="25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2024 GM%</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2025 GM%</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Retail (DTC)</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52.9%</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49.0%</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(incl. closeout)</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42.3%</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Wholesale (excl. closeout)</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41.2%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44.6%</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64.4%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61.2%</w:t>
            </w:r>
          </w:p>
        </w:tc>
      </w:tr>
    </w:tbl>
    <w:p>
      <w:pPr>
        <w:spacing w:after="200"/>
      </w:pPr>
      <w:r>
        <w:rPr>
          <w:i/>
          <w:iCs/>
          <w:color w:val="555555"/>
          <w:sz w:val="18"/>
          <w:szCs w:val="18"/>
        </w:rPr>
        <w:t xml:space="preserve">Confirmed: Retail margin is structurally higher than Wholesale in both years. But the premium is narrowing (11.7pts → 4.4pts vs. Wholesale-ex-closeout) — Wholesale is closing the gap, not because Retail is failing outright, but because Wholesale-ex-closeout margin is genuinely improving while Retail's own margin eroded.</w:t>
      </w:r>
    </w:p>
    <w:p>
      <w:pPr>
        <w:pStyle w:val="Heading2"/>
        <w:spacing w:after="120" w:before="240"/>
      </w:pPr>
      <w:r>
        <w:t xml:space="preserve">3.2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Sales chg</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Units chg</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ASP chg (as first reported)</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ASP chg (corrected for mix)</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Wholesale (excl. closeout)</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−14.7%</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−4.7%</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−2.9% (rate only; −1.8pt is mix)</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 (rate only; mix added +7.1pt on top)</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+61.8%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+58.2%</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not decomposed — see Section 4, different mechanism</w:t>
            </w:r>
          </w:p>
        </w:tc>
      </w:tr>
    </w:tbl>
    <w:p>
      <w:pPr>
        <w:pBdr>
          <w:left w:val="single" w:color="3C8A4C" w:sz="18"/>
        </w:pBdr>
        <w:shd w:fill="EAF3EA" w:val="clear"/>
        <w:spacing w:after="120" w:before="100"/>
        <w:ind w:left="150" w:right="100"/>
      </w:pPr>
      <w:r>
        <w:rPr>
          <w:b/>
          <w:bCs/>
          <w:color w:val="1F5C2E"/>
        </w:rPr>
        <w:t xml:space="preserve">DATA SHOWS: </w:t>
      </w:r>
      <w:r>
        <w:t xml:space="preserve">The Retail correction matters: without decomposing mix from rate, Retail looked like it was already delivering the MTP's “full-price DTC strategy.” It wasn't — the apparent gain was entirely a shift toward higher-ticket Shell product (18.6% → 22.4% of Retail units), not better pricing on the same product. Same-product Retail pricing is down 3.1%, essentially the same problem as Wholesale.</w:t>
      </w:r>
    </w:p>
    <w:p>
      <w:pPr>
        <w:pStyle w:val="Heading1"/>
        <w:spacing w:after="160" w:before="320"/>
      </w:pPr>
      <w:r>
        <w:t xml:space="preserve">4.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pBdr>
          <w:left w:val="single" w:color="3C8A4C" w:sz="18"/>
        </w:pBdr>
        <w:shd w:fill="EAF3EA" w:val="clear"/>
        <w:spacing w:after="120" w:before="100"/>
        <w:ind w:left="150" w:right="100"/>
      </w:pPr>
      <w:r>
        <w:rPr>
          <w:b/>
          <w:bCs/>
          <w:color w:val="1F5C2E"/>
        </w:rPr>
        <w:t xml:space="preserve">DATA SHOWS: </w:t>
      </w: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Item 1 bridge.</w:t>
      </w:r>
    </w:p>
    <w:p>
      <w:pPr>
        <w:pBdr>
          <w:left w:val="single" w:color="C97A1A" w:sz="18"/>
        </w:pBdr>
        <w:shd w:fill="FCEFDC" w:val="clear"/>
        <w:spacing w:after="120" w:before="100"/>
        <w:ind w:left="150" w:right="100"/>
      </w:pPr>
      <w:r>
        <w:rPr>
          <w:b/>
          <w:bCs/>
          <w:color w:val="8A4B00"/>
        </w:rPr>
        <w:t xml:space="preserve">NOT ANSWERABLE FROM DATA — ASK: </w:t>
      </w:r>
      <w:r>
        <w:t xml:space="preserve">What changed in the E-com promotional calendar or discount-code policy starting in early 2025 that made January and April behave like sale months? This is specific and dateable enough that someone should be able to answer it directly. Owner: Merchandising Director (owns DTC/E-com).</w:t>
      </w:r>
    </w:p>
    <w:p>
      <w:pPr>
        <w:pBdr>
          <w:left w:val="single" w:color="C97A1A" w:sz="18"/>
        </w:pBdr>
        <w:shd w:fill="FCEFDC" w:val="clear"/>
        <w:spacing w:after="120" w:before="100"/>
        <w:ind w:left="150" w:right="100"/>
      </w:pPr>
      <w:r>
        <w:rPr>
          <w:b/>
          <w:bCs/>
          <w:color w:val="8A4B00"/>
        </w:rPr>
        <w:t xml:space="preserve">NOT ANSWERABLE FROM DATA — ASK: </w:t>
      </w:r>
      <w:r>
        <w:t xml:space="preserve">Is the tripled E-com ad spend structurally bundled with discount codes (i.e. is the spend causing the discount creep, or just coinciding with it)? Owner: Brand &amp; Marketing Director, cross-checked with Merchandising Director.</w:t>
      </w:r>
    </w:p>
    <w:p>
      <w:r>
        <w:br w:type="page"/>
      </w:r>
    </w:p>
    <w:p>
      <w:pPr>
        <w:pStyle w:val="Heading1"/>
        <w:spacing w:after="160" w:before="320"/>
      </w:pPr>
      <w:r>
        <w:t xml:space="preserve">5. Wholesale: broad erosion, two account outliers, Reorder worse than Preorder</w:t>
      </w:r>
    </w:p>
    <w:p>
      <w:pPr>
        <w:pStyle w:val="Heading2"/>
        <w:spacing w:after="120" w:before="240"/>
      </w:pPr>
      <w:r>
        <w:t xml:space="preserve">5.1 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ASP chg %</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Units chg %</w:t>
            </w:r>
          </w:p>
        </w:tc>
        <w:tc>
          <w:tcPr>
            <w:tcW w:type="dxa" w:w="3550"/>
            <w:shd w:fill="2F2F2F" w:val="clear"/>
            <w:tcMar>
              <w:top w:type="dxa" w:w="60"/>
              <w:left w:type="dxa" w:w="100"/>
              <w:bottom w:type="dxa" w:w="60"/>
              <w:right w:type="dxa" w:w="100"/>
            </w:tcMar>
            <w:vAlign w:val="center"/>
          </w:tcPr>
          <w:p>
            <w:pPr>
              <w:jc w:val="center"/>
            </w:pPr>
            <w:r>
              <w:rPr>
                <w:b/>
                <w:bCs/>
                <w:color w:val="FFFFFF"/>
                <w:sz w:val="19"/>
                <w:szCs w:val="19"/>
              </w:rPr>
              <w:t xml:space="preserve">Note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RCT Systems Japan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+45%</w:t>
            </w:r>
          </w:p>
        </w:tc>
        <w:tc>
          <w:tcPr>
            <w:tcW w:type="dxa" w:w="3550"/>
            <w:tcMar>
              <w:top w:type="dxa" w:w="60"/>
              <w:left w:type="dxa" w:w="100"/>
              <w:bottom w:type="dxa" w:w="60"/>
              <w:right w:type="dxa" w:w="100"/>
            </w:tcMar>
            <w:vAlign w:val="center"/>
          </w:tcPr>
          <w:p>
            <w:pPr>
              <w:jc w:val="center"/>
            </w:pPr>
            <w:r>
              <w:rPr>
                <w:b w:val="false"/>
                <w:bCs w:val="false"/>
                <w:color w:val="000000"/>
                <w:sz w:val="19"/>
                <w:szCs w:val="19"/>
              </w:rPr>
              <w:t xml:space="preserve">Large price-for-volume trade — possible deliberate market push, or JPY/SEK effect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Stadium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3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pStyle w:val="Heading2"/>
        <w:spacing w:after="120" w:before="240"/>
      </w:pPr>
      <w:r>
        <w:t xml:space="preserve">5.2 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Ordertype</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ASP chg %</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Preorder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−4.4%</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Closeout (excluded from this lever)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−19.2%</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w:t>
            </w:r>
          </w:p>
        </w:tc>
      </w:tr>
    </w:tbl>
    <w:p>
      <w:pPr>
        <w:pStyle w:val="Heading2"/>
        <w:spacing w:after="120" w:before="240"/>
      </w:pPr>
      <w:r>
        <w:t xml:space="preserve">5.3 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9"/>
                <w:szCs w:val="19"/>
              </w:rPr>
              <w:t xml:space="preserve">ASP chg %</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Reorder revenue chg % (from Item 1)</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−15%</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−67.7%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Soft shell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−9%</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−55.7%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Mid layer</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+0.7%</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Shell / Insulation / Bags / Daypacks</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 to −3%</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mixed</w:t>
            </w:r>
          </w:p>
        </w:tc>
      </w:tr>
    </w:tbl>
    <w:p>
      <w:pPr>
        <w:pBdr>
          <w:left w:val="single" w:color="3C8A4C" w:sz="18"/>
        </w:pBdr>
        <w:shd w:fill="EAF3EA" w:val="clear"/>
        <w:spacing w:after="120" w:before="100"/>
        <w:ind w:left="150" w:right="100"/>
      </w:pPr>
      <w:r>
        <w:rPr>
          <w:b/>
          <w:bCs/>
          <w:color w:val="1F5C2E"/>
        </w:rPr>
        <w:t xml:space="preserve">DATA SHOWS: </w:t>
      </w:r>
      <w:r>
        <w:t xml:space="preserve">Tops and Legwear show both volume AND price eroding at once — a stronger signal than either fact alone, and consistent with Item 1. This usually means the product itself is losing competitive/pricing power, not just an execution issue.</w:t>
      </w:r>
    </w:p>
    <w:p>
      <w:pPr>
        <w:pStyle w:val="Heading1"/>
        <w:spacing w:after="160" w:before="320"/>
      </w:pPr>
      <w:r>
        <w:t xml:space="preserve">6. Retail: same underlying problem as Wholesale, once mix is corrected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500"/>
        <w:gridCol w:w="25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500"/>
            <w:shd w:fill="2F2F2F" w:val="clear"/>
            <w:tcMar>
              <w:top w:type="dxa" w:w="60"/>
              <w:left w:type="dxa" w:w="100"/>
              <w:bottom w:type="dxa" w:w="60"/>
              <w:right w:type="dxa" w:w="100"/>
            </w:tcMar>
            <w:vAlign w:val="center"/>
          </w:tcPr>
          <w:p>
            <w:pPr>
              <w:jc w:val="center"/>
            </w:pPr>
            <w:r>
              <w:rPr>
                <w:b/>
                <w:bCs/>
                <w:color w:val="FFFFFF"/>
                <w:sz w:val="19"/>
                <w:szCs w:val="19"/>
              </w:rPr>
              <w:t xml:space="preserve">ASP chg % (rate, mix-adjusted view)</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350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Trekking shoes</w:t>
            </w:r>
          </w:p>
        </w:tc>
        <w:tc>
          <w:tcPr>
            <w:tcW w:type="dxa" w:w="3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3500"/>
            <w:tcMar>
              <w:top w:type="dxa" w:w="60"/>
              <w:left w:type="dxa" w:w="100"/>
              <w:bottom w:type="dxa" w:w="60"/>
              <w:right w:type="dxa" w:w="100"/>
            </w:tcMar>
            <w:vAlign w:val="center"/>
          </w:tcPr>
          <w:p>
            <w:pPr>
              <w:jc w:val="center"/>
            </w:pPr>
            <w:r>
              <w:rPr>
                <w:b w:val="false"/>
                <w:bCs w:val="false"/>
                <w:color w:val="000000"/>
                <w:sz w:val="19"/>
                <w:szCs w:val="19"/>
              </w:rPr>
              <w:t xml:space="preserve">−12%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Insulation</w:t>
            </w:r>
          </w:p>
        </w:tc>
        <w:tc>
          <w:tcPr>
            <w:tcW w:type="dxa" w:w="3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3500"/>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−17%</w:t>
            </w:r>
          </w:p>
        </w:tc>
      </w:tr>
    </w:tbl>
    <w:p>
      <w:pPr>
        <w:pBdr>
          <w:left w:val="single" w:color="3C8A4C" w:sz="18"/>
        </w:pBdr>
        <w:shd w:fill="EAF3EA" w:val="clear"/>
        <w:spacing w:after="120" w:before="100"/>
        <w:ind w:left="150" w:right="100"/>
      </w:pPr>
      <w:r>
        <w:rPr>
          <w:b/>
          <w:bCs/>
          <w:color w:val="1F5C2E"/>
        </w:rPr>
        <w:t xml:space="preserve">DATA SHOWS: </w:t>
      </w:r>
      <w:r>
        <w:t xml:space="preserve">Interesting exception: Legwear's price holds up fine in Retail (+2%) while collapsing in Wholesale (−9% ASP, −56% Reorder revenue). This argues Legwear is not a pure product/design weakness — DTC customers still pay close to full price for it — it looks like a Wholesale-specific discounting problem, not a demand problem with the product.</w:t>
      </w:r>
    </w:p>
    <w:p>
      <w:pPr>
        <w:spacing w:after="160"/>
      </w:pPr>
      <w:r>
        <w:t xml:space="preserve">On cost: Retail continuing-franchise COGS/unit rose +13.6% against only +3.1% raw ASP growth (itself mostly mix, per Section 3.2). Per CEO direction, this is treated as a USD-COGS/FX effect, not a sourcing or logistics problem — no negotiating leverage exists at current volumes, and FX is being set aside company-wide as a topic for this workshop cycle.</w:t>
      </w:r>
    </w:p>
    <w:p>
      <w:pPr>
        <w:pBdr>
          <w:left w:val="single" w:color="C97A1A" w:sz="18"/>
        </w:pBdr>
        <w:shd w:fill="FCEFDC" w:val="clear"/>
        <w:spacing w:after="120" w:before="100"/>
        <w:ind w:left="150" w:right="100"/>
      </w:pPr>
      <w:r>
        <w:rPr>
          <w:b/>
          <w:bCs/>
          <w:color w:val="8A4B00"/>
        </w:rPr>
        <w:t xml:space="preserve">NOT ANSWERABLE FROM DATA — ASK: </w:t>
      </w:r>
      <w:r>
        <w:t xml:space="preserve">The FX assumption behind the COGS/unit increases (Retail +13.6%, and the earlier Wholesale Reorder cost-inflation finding) has not been verified against actual transaction-level FX data — the sales extract has no date/currency field to do so. Taken on faith per explicit CEO direction for this cycle; flagging so it's a known assumption, not a confirmed fact, if it resurfaces later.</w:t>
      </w:r>
    </w:p>
    <w:p>
      <w:r>
        <w:br w:type="page"/>
      </w:r>
    </w:p>
    <w:p>
      <w:pPr>
        <w:pStyle w:val="Heading1"/>
        <w:spacing w:after="160" w:before="320"/>
      </w:pPr>
      <w:r>
        <w:t xml:space="preserve">7. Consolidated sizing for this bridge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Genuine price-erosion opportunity (SEK/year, mix-adjusted)</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Wholesale</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8.6M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2.2M</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5.3M (floor estimate)</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~16M</w:t>
            </w:r>
          </w:p>
        </w:tc>
      </w:tr>
    </w:tbl>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Read this honestly: ~16M SEK/year is real money and worth pursuing as discipline, but it is small next to the ~330M SEK total GM bridge and the ~46.5M SEK special-account mix effect already sized in Item 1. This lever should not be presented to the room as a major part of how 2029 gets reached — it should be presented as necessary hygiene, done in parallel with, not instead of, the larger structural levers.</w:t>
      </w:r>
    </w:p>
    <w:p>
      <w:pPr>
        <w:pStyle w:val="Heading1"/>
        <w:spacing w:after="160" w:before="320"/>
      </w:pPr>
      <w:r>
        <w:t xml:space="preserve">8. FW27 target-margin gap: price, not cost</w:t>
      </w:r>
    </w:p>
    <w:p>
      <w:pPr>
        <w:spacing w:after="160"/>
      </w:pPr>
      <w:r>
        <w:t xml:space="preserve">Corrected to the right basis — 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target GM0%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−0.3% (essentially on-target)</w:t>
            </w:r>
          </w:p>
        </w:tc>
      </w:tr>
    </w:tbl>
    <w:p>
      <w:pPr>
        <w:pBdr>
          <w:left w:val="single" w:color="3C8A4C" w:sz="18"/>
        </w:pBdr>
        <w:shd w:fill="EAF3EA" w:val="clear"/>
        <w:spacing w:after="120" w:before="100"/>
        <w:ind w:left="150" w:right="100"/>
      </w:pPr>
      <w:r>
        <w:rPr>
          <w:b/>
          <w:bCs/>
          <w:color w:val="1F5C2E"/>
        </w:rPr>
        <w:t xml:space="preserve">DATA SHOWS: </w:t>
      </w:r>
      <w:r>
        <w:t xml:space="preserve">The gap holds almost identically for continuing styles (Carry Over = True: −24.2% price realization, N=146) and the small sample of genuinely new FW27 styles (−23.2%, N=4) — so this is not simply an artifact of FW27 setting untested, ambitious prices on brand-new styles only. It is present on product that has presumably carried an established price point for a while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gridCol w:w="1350"/>
      </w:tblGrid>
      <w:tr>
        <w:trPr>
          <w:tblHeader/>
        </w:trPr>
        <w:tc>
          <w:tcPr>
            <w:tcW w:type="dxa" w:w="460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Price Realization</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Cost Overrun</w:t>
            </w:r>
          </w:p>
        </w:tc>
        <w:tc>
          <w:tcPr>
            <w:tcW w:type="dxa" w:w="13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Shell / Insulation / Daypacks / Bags / Mid layer / Accessories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−24% to −28%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−8% to +0%</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Consistent price story, cost on-target or better</w:t>
            </w:r>
          </w:p>
        </w:tc>
      </w:tr>
      <w:tr>
        <w:tc>
          <w:tcPr>
            <w:tcW w:type="dxa" w:w="4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Worst price gap of the well-sampled layers</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+15.4%</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The one layer where COST is the real problem</w:t>
            </w:r>
          </w:p>
        </w:tc>
      </w:tr>
      <w:tr>
        <w:tc>
          <w:tcPr>
            <w:tcW w:type="dxa" w:w="4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Sleeping Bags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Second cost-driven exception</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Does WP (target wholesale price) represent an unchanged historical price point, or a price increase already built into the FW27 plan versus what has historically been charged? This determines whether the −24.2% gap means “discounting is far worse than intended” or “the target itself assumes an increase the market hasn't been tested on.” Cannot be settled from sales data alone. Owner: whoever sets FW27 wholesale pricing (Merchandising / Finance).</w:t>
      </w:r>
    </w:p>
    <w:p>
      <w:pPr>
        <w:pBdr>
          <w:left w:val="single" w:color="C97A1A" w:sz="18"/>
        </w:pBdr>
        <w:shd w:fill="FCEFDC" w:val="clear"/>
        <w:spacing w:after="120" w:before="100"/>
        <w:ind w:left="150" w:right="100"/>
      </w:pPr>
      <w:r>
        <w:rPr>
          <w:b/>
          <w:bCs/>
          <w:color w:val="8A4B00"/>
        </w:rPr>
        <w:t xml:space="preserve">NOT ANSWERABLE FROM DATA — ASK: </w:t>
      </w:r>
      <w:r>
        <w:t xml:space="preserve">Legwear and Sleeping Bags show real landed-cost overruns (+15.4% / +11.9%) against the FW27 cost target — this needs a BOM/landed-cost review specific to these two layers, separate from the pricing conversation everyone else needs. Owner: CPO / Sourcing.</w:t>
      </w:r>
    </w:p>
    <w:p>
      <w:r>
        <w:br w:type="page"/>
      </w:r>
    </w:p>
    <w:p>
      <w:pPr>
        <w:pStyle w:val="Heading1"/>
        <w:spacing w:after="160" w:before="320"/>
      </w:pPr>
      <w:r>
        <w:t xml:space="preserve">9. Action plan by owner</w:t>
      </w:r>
    </w:p>
    <w:p>
      <w:pPr>
        <w:pStyle w:val="Heading3"/>
        <w:spacing w:after="100" w:before="200"/>
      </w:pPr>
      <w: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pStyle w:val="Heading3"/>
        <w:spacing w:after="100" w:before="200"/>
      </w:pPr>
      <w:r>
        <w:t xml:space="preserve">Wholesale — Wholesale Director (governance), CPO (product)</w:t>
      </w:r>
    </w:p>
    <w:p>
      <w:pPr>
        <w:pStyle w:val="ListParagraph"/>
        <w:numPr>
          <w:ilvl w:val="0"/>
          <w:numId w:val="2"/>
        </w:numPr>
        <w:spacing w:after="80"/>
      </w:pPr>
      <w:r>
        <w:t xml:space="preserve">Discount-approval/monitoring process for Reorder specifically (worse than Preorder on both price and volume).</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pStyle w:val="Heading3"/>
        <w:spacing w:after="100" w:before="200"/>
      </w:pPr>
      <w:r>
        <w:t xml:space="preserve">Retail — Merchandising Director</w:t>
      </w:r>
    </w:p>
    <w:p>
      <w:pPr>
        <w:pStyle w:val="ListParagraph"/>
        <w:numPr>
          <w:ilvl w:val="0"/>
          <w:numId w:val="2"/>
        </w:numPr>
        <w:spacing w:after="80"/>
      </w:pPr>
      <w:r>
        <w:t xml:space="preserve">Correct the internal narrative: Retail is not already delivering full-price recovery. Apply the same discount-discipline fix as Wholesale, not a “keep doing what's working” story.</w:t>
      </w:r>
    </w:p>
    <w:p>
      <w:pPr>
        <w:pStyle w:val="Heading3"/>
        <w:spacing w:after="100" w:before="200"/>
      </w:pPr>
      <w: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pStyle w:val="Heading3"/>
        <w:spacing w:after="100" w:before="200"/>
      </w:pPr>
      <w:r>
        <w:t xml:space="preserve">Product/Sourcing — CPO</w:t>
      </w:r>
    </w:p>
    <w:p>
      <w:pPr>
        <w:pStyle w:val="ListParagraph"/>
        <w:numPr>
          <w:ilvl w:val="0"/>
          <w:numId w:val="2"/>
        </w:numPr>
        <w:spacing w:after="80"/>
      </w:pPr>
      <w:r>
        <w:t xml:space="preserve">Landed-cost/BOM review specific to Legwear and Sleeping Bags.</w:t>
      </w:r>
    </w:p>
    <w:p>
      <w:pPr>
        <w:pStyle w:val="Heading1"/>
        <w:spacing w:after="160" w:before="320"/>
      </w:pPr>
      <w:r>
        <w:t xml:space="preserve">10. Full list of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6650"/>
        <w:gridCol w:w="2200"/>
      </w:tblGrid>
      <w:tr>
        <w:trPr>
          <w:tblHeader/>
        </w:trPr>
        <w:tc>
          <w:tcPr>
            <w:tcW w:type="dxa" w:w="5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6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What changed in the E-com promotional calendar/discount codes starting early 2025 (Jan/Apr especially)? Deliberate or drift?</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Merchandising Director</w:t>
            </w:r>
          </w:p>
        </w:tc>
      </w:tr>
      <w:tr>
        <w:tc>
          <w:tcPr>
            <w:tcW w:type="dxa" w:w="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tripled E-com ad spend structurally bundled with discount codes?</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&amp; Marketing Director</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RCT Systems Japan / Stadium −19% ASP moves — deliberate strategy, drift, or FX?</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Does FW27's target WP assume a price increase vs. historical practice, or is it unchanged?</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 Finance (FW27 pricing owner)</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Legwear / Sleeping Bags landed-cost overruns — BOM-level cause?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CPO / Sourcing</w:t>
            </w:r>
          </w:p>
        </w:tc>
      </w:tr>
      <w:tr>
        <w:tc>
          <w:tcPr>
            <w:tcW w:type="dxa" w:w="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 USD-COGS FX assumption actually verifiable, if/when it becomes relevant again?</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CFO (parked for this cycle per CEO direction)</w:t>
            </w:r>
          </w:p>
        </w:tc>
      </w:tr>
    </w:tbl>
    <w:p>
      <w:pPr>
        <w:spacing w:after="160"/>
      </w:pPr>
      <w:r>
        <w:t xml:space="preserve">Two standing data gaps, not urgent but worth naming: (1) no month/date field exists for Wholesale/Retail in the sales extract, so within-year discount monitoring like the E-com cut isn't possible today — worth a systems ask if this becomes an ongoing management practice; (2) only one year-over-year data point (2024→2025) is available — 2026 sales data isn't in yet, so we can't say whether this erosion is accelerating, stable, or starting to correct.</w:t>
      </w:r>
    </w:p>
    <w:p>
      <w:pPr>
        <w:pStyle w:val="Heading1"/>
        <w:spacing w:after="160" w:before="320"/>
      </w:pPr>
      <w:r>
        <w:t xml:space="preserve">11. Backup data</w:t>
      </w:r>
    </w:p>
    <w:p>
      <w:pPr>
        <w:pStyle w:val="ListParagraph"/>
        <w:numPr>
          <w:ilvl w:val="0"/>
          <w:numId w:val="2"/>
        </w:numPr>
        <w:spacing w:after="80"/>
      </w:pPr>
      <w:r>
        <w:t xml:space="preserve">sales_bridge_waterfall.xlsx, core_assortment_likeforlike_detail.xlsx, preorder_reorder_article_analysis.xlsx — Item 1 backup, referenced here for the Reorder-revenue cross-references in Section 5.3.</w:t>
      </w:r>
    </w:p>
    <w:p>
      <w:pPr>
        <w:pStyle w:val="ListParagraph"/>
        <w:numPr>
          <w:ilvl w:val="0"/>
          <w:numId w:val="2"/>
        </w:numPr>
        <w:spacing w:after="80"/>
      </w:pPr>
      <w:r>
        <w:t xml:space="preserve">bob_ecomdiscountdata_2024_2026YTD_month.xlsx — source for Section 4.</w:t>
      </w:r>
    </w:p>
    <w:p>
      <w:pPr>
        <w:pStyle w:val="ListParagraph"/>
        <w:numPr>
          <w:ilvl w:val="0"/>
          <w:numId w:val="2"/>
        </w:numPr>
        <w:spacing w:after="80"/>
      </w:pPr>
      <w:r>
        <w:t xml:space="preserve">Assortment_Attribution_ReviewF27.xlsx — source for Section 8 (WP, Landed Cost, GM0%, Carry Over).</w:t>
      </w:r>
    </w:p>
    <w:p>
      <w:pPr>
        <w:pStyle w:val="ListParagraph"/>
        <w:numPr>
          <w:ilvl w:val="0"/>
          <w:numId w:val="2"/>
        </w:numPr>
        <w:spacing w:after="80"/>
      </w:pPr>
      <w:r>
        <w:t xml:space="preserve">All underlying analysis is reproducible from analysis.py / config.py / load_data.py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2026-07-25T15:33:52.470Z</dcterms:created>
  <dcterms:modified xsi:type="dcterms:W3CDTF">2026-07-25T15:33:52.488Z</dcterms:modified>
</cp:coreProperties>
</file>

<file path=docProps/custom.xml><?xml version="1.0" encoding="utf-8"?>
<Properties xmlns="http://schemas.openxmlformats.org/officeDocument/2006/custom-properties" xmlns:vt="http://schemas.openxmlformats.org/officeDocument/2006/docPropsVTypes"/>
</file>