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p>
      <w:pPr>
        <w:pBdr>
          <w:left w:val="single" w:color="9C4DCC" w:sz="18"/>
        </w:pBdr>
        <w:shd w:fill="F0E6F6" w:val="clear"/>
        <w:spacing w:after="120" w:before="100"/>
        <w:ind w:left="150" w:right="100"/>
      </w:pPr>
      <w:r>
        <w:rPr>
          <w:b/>
          <w:bCs/>
          <w:color w:val="6A1B9A"/>
        </w:rPr>
        <w:t xml:space="preserve">CORRECTED FROM DRAFT: </w:t>
      </w:r>
      <w:r>
        <w:t xml:space="preserve">This table, the chart below, and the four top-10 lists were corrected 2026-07-30: the FY2024 Wholesale baseline (WS_2024) used to compute each franchise's channel-mix pattern was including special-account revenue (XXL, Zalando, China, Stadium) that the FY2025 Wholesale figure it's compared against correctly excludes — an inconsistent, apples-to-oranges comparison. Validated against the already-correct 1.1 Channel Mix methodology (0 SEK difference across all four channel/year combinations once matched). 22 of 202 franchises change pattern under the fix; the distribution shifts from 95/19/58/27 (Substitution/Both declining/DTC growth/WS growing) to 81/12/75/34. This also resolves the two &gt;100pt 'impossible' point-changes flagged in the prior version of this table — both were artifacts of the same bug, not a separate data-quality issue.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70.3M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40% of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79.4M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 and now the single largest pattern by both count and sales</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25.1M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(81 franchises, 70.3M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49.5%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bl>
    <w:p>
      <w:pPr>
        <w:spacing w:after="80" w:before="160"/>
      </w:pPr>
      <w:r>
        <w:rPr>
          <w:b/>
          <w:bCs/>
          <w:i/>
          <w:iCs/>
          <w:color w:val="444444"/>
          <w:sz w:val="21"/>
          <w:szCs w:val="21"/>
        </w:rPr>
        <w:t xml:space="preserve">B. Both declining (12 franchises, 22.5M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Touring Mid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Pollux 1/2 zip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r>
    </w:tbl>
    <w:p>
      <w:pPr>
        <w:spacing w:after="80" w:before="160"/>
      </w:pPr>
      <w:r>
        <w:rPr>
          <w:b/>
          <w:bCs/>
          <w:i/>
          <w:iCs/>
          <w:color w:val="444444"/>
          <w:sz w:val="21"/>
          <w:szCs w:val="21"/>
        </w:rPr>
        <w:t xml:space="preserve">C. DTC growth, WS not declining (75 franchises, 79.4M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r>
    </w:tbl>
    <w:p>
      <w:pPr>
        <w:spacing w:after="80" w:before="160"/>
      </w:pPr>
      <w:r>
        <w:rPr>
          <w:b/>
          <w:bCs/>
          <w:i/>
          <w:iCs/>
          <w:color w:val="444444"/>
          <w:sz w:val="21"/>
          <w:szCs w:val="21"/>
        </w:rPr>
        <w:t xml:space="preserve">D. WS growing, DTC flat/declining (34 franchises, 25.1M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bl>
    <w:p>
      <w:pPr>
        <w:spacing w:after="200"/>
      </w:pPr>
      <w:r>
        <w:rPr>
          <w:i/>
          <w:iCs/>
          <w:color w:val="555555"/>
          <w:sz w:val="18"/>
          <w:szCs w:val="18"/>
        </w:rPr>
        <w:t xml:space="preserve">Full 202-franchise list (levels, point-changes, and pattern) is in the backup workbook (bob_item3_portfolio_backup.xlsx, sheet 'Workhorse - Channel Mix (202)').</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spacing w:after="80" w:before="160"/>
      </w:pPr>
      <w:r>
        <w:rPr>
          <w:b/>
          <w:bCs/>
          <w:i/>
          <w:iCs/>
          <w:color w:val="444444"/>
          <w:sz w:val="21"/>
          <w:szCs w:val="21"/>
        </w:rPr>
        <w:t xml:space="preserve">Top 10 named launches per flag, with YTD2026 trend</w:t>
      </w:r>
    </w:p>
    <w:p>
      <w:pPr>
        <w:spacing w:after="160"/>
      </w:pPr>
      <w:r>
        <w:rPr>
          <w:i/>
          <w:iCs/>
        </w:rPr>
        <w:t xml:space="preserve">Each list below adds the 2026 year-to-date read most relevant to that flag — units (to see real quantity, not just SEK), and either DTC share, pace vs. FY2025, or Preorder/Reorder status. All YTD2026 figures are core-scope (special accounts excluded), same basis as everywhere else in this brief; validated against the Section 1-2 document's own Core YTD2026 total (301.15M SEK, matches exactly).</w:t>
      </w:r>
    </w:p>
    <w:p>
      <w:pPr>
        <w:spacing w:after="80" w:before="160"/>
      </w:pPr>
      <w:r>
        <w:rPr>
          <w:b/>
          <w:bCs/>
          <w:i/>
          <w:iCs/>
          <w:color w:val="444444"/>
          <w:sz w:val="21"/>
          <w:szCs w:val="21"/>
        </w:rPr>
        <w:t xml:space="preserve">A. No DTC presence in year 1 (34 launches)</w:t>
      </w:r>
    </w:p>
    <w:p>
      <w:pPr>
        <w:spacing w:after="160"/>
      </w:pPr>
      <w:r>
        <w:t xml:space="preserve">Has DTC emerged since? Mostly yes, but thin — 1-33% DTC share of YTD2026 sales for the ones with real 2026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150"/>
        <w:gridCol w:w="1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Sight Softshell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Mimic BarrierHood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235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Salo Shirt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1000 Skis Bib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Base Mimic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w:t>
            </w:r>
          </w:p>
        </w:tc>
      </w:tr>
    </w:tbl>
    <w:p>
      <w:pPr>
        <w:pBdr>
          <w:left w:val="single" w:color="3C8A4C" w:sz="18"/>
        </w:pBdr>
        <w:shd w:fill="EAF3EA" w:val="clear"/>
        <w:spacing w:after="120" w:before="100"/>
        <w:ind w:left="150" w:right="100"/>
      </w:pPr>
      <w:r>
        <w:rPr>
          <w:b/>
          <w:bCs/>
          <w:color w:val="1F5C2E"/>
        </w:rPr>
        <w:t xml:space="preserve">DATA SHOWS: </w:t>
      </w:r>
      <w:r>
        <w:t xml:space="preserve">Fiction Mimic Hood (Men) — the largest franchise on this list — shows *negative* YTD2026 sales (-2,374 SEK): returns are currently exceeding gross sales for the year. Worth a direct look before assuming this is simply 'no DTC yet'; it may not be selling at all in 2026.</w:t>
      </w:r>
    </w:p>
    <w:p>
      <w:pPr>
        <w:spacing w:after="80" w:before="160"/>
      </w:pPr>
      <w:r>
        <w:rPr>
          <w:b/>
          <w:bCs/>
          <w:i/>
          <w:iCs/>
          <w:color w:val="444444"/>
          <w:sz w:val="21"/>
          <w:szCs w:val="21"/>
        </w:rPr>
        <w:t xml:space="preserve">B. No confirmed FW27 continuation plan (90 launches)</w:t>
      </w:r>
    </w:p>
    <w:p>
      <w:pPr>
        <w:spacing w:after="160"/>
      </w:pPr>
      <w:r>
        <w:t xml:space="preserve">Pacing check: every one of these top 10 is running well below the ~40-44% 'on pace' benchmark used elsewhere in this brief (6-27% of FY2025 reached by mid-2026) — consistent with genuinely fading launches, not a false alarm from partial-year timing.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1,577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1,099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1,022</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Gondol Insulated IIPant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Incline GTXMid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725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Tur Shorts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1,739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r>
    </w:tbl>
    <w:p>
      <w:pPr>
        <w:spacing w:after="80" w:before="160"/>
      </w:pPr>
      <w:r>
        <w:rPr>
          <w:b/>
          <w:bCs/>
          <w:i/>
          <w:iCs/>
          <w:color w:val="444444"/>
          <w:sz w:val="21"/>
          <w:szCs w:val="21"/>
        </w:rPr>
        <w:t xml:space="preserve">C. Low margin at launch, &lt;35% GM (28 launches)</w:t>
      </w:r>
    </w:p>
    <w:p>
      <w:pPr>
        <w:spacing w:after="160"/>
      </w:pPr>
      <w:r>
        <w:t xml:space="preserve">Pacing is mixed here, not uniformly weak — Corker Large/Medium and Spitz GTX Pro Jacket (both genders) are pacing at 40-131% of FY2025, real ongoing volume at thin margin, while the rest are fading. L.I.M Touring Proof Jacket (Women) has a genuinely negative GM% (-12.6%), not just thin — an active loss-maker.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7,129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Softshell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4,066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Medium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793</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Tight Medium Mono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Touring ProofJacket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45%</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Short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bl>
    <w:p>
      <w:pPr>
        <w:spacing w:after="80" w:before="160"/>
      </w:pPr>
      <w:r>
        <w:rPr>
          <w:b/>
          <w:bCs/>
          <w:i/>
          <w:iCs/>
          <w:color w:val="444444"/>
          <w:sz w:val="21"/>
          <w:szCs w:val="21"/>
        </w:rPr>
        <w:t xml:space="preserve">D. Outlet-leaking, &gt;50% special-account exposure (23 launches)</w:t>
      </w:r>
    </w:p>
    <w:p>
      <w:pPr>
        <w:spacing w:after="160"/>
      </w:pPr>
      <w:r>
        <w:t xml:space="preserve">DTC share shown here is core-scope (special accounts excluded), so it answers a different question than the flag itself: even setting aside the special-account concentration, is the remaining core business Wholesale- or DTC-led? Mostly still Wholesale-heavy. Three items show 100% DTC in YTD2026, but each on a 10-25K SEK base — a handful of transactions, not a real channel shift.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0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DTC%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Hood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1,240</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Halfzip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Chaos GTX Pant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433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Nordic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Belay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bl>
    <w:p>
      <w:pPr>
        <w:spacing w:after="80" w:before="160"/>
      </w:pPr>
      <w:r>
        <w:rPr>
          <w:b/>
          <w:bCs/>
          <w:i/>
          <w:iCs/>
          <w:color w:val="444444"/>
          <w:sz w:val="21"/>
          <w:szCs w:val="21"/>
        </w:rPr>
        <w:t xml:space="preserve">E. Zero reorder despite &gt;100K Preorder — full list, only 8 exist</w:t>
      </w:r>
    </w:p>
    <w:p>
      <w:pPr>
        <w:spacing w:after="160"/>
      </w:pPr>
      <w:r>
        <w:t xml:space="preserve">This flag looks stale: 6 of the 8 now show real Reorder activity in YTD2026 (100K-306K SEK), alongside fresh Preorder — most have converted since the FY2025 cut this flag was built on. Two are unchanged: L.I.M Tech Tee TAV shows zero Preorder and Reorder in 2026 too, and Fiction Mimic Hood shows a small negative Reorder (a return), consistent with its negative total sales flagged above.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150"/>
        <w:gridCol w:w="115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SS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480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Magma Roll-top 40 WR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r>
    </w:tbl>
    <w:p>
      <w:pPr>
        <w:pBdr>
          <w:left w:val="single" w:color="3C8A4C" w:sz="18"/>
        </w:pBdr>
        <w:shd w:fill="EAF3EA" w:val="clear"/>
        <w:spacing w:after="120" w:before="100"/>
        <w:ind w:left="150" w:right="100"/>
      </w:pPr>
      <w:r>
        <w:rPr>
          <w:b/>
          <w:bCs/>
          <w:color w:val="1F5C2E"/>
        </w:rPr>
        <w:t xml:space="preserve">DATA SHOWS: </w:t>
      </w:r>
      <w:r>
        <w:t xml:space="preserve">Because most of flag E has already converted, and flag B (FW27) is now a materially larger, cleanly-corrected list (90 vs. the original 31), the '30 launches / 2+ flags' priority watchlist flagged as stale earlier in this section should be re-scored before the workshop — it was built before both of these updates.</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c478074c3f9812d1b576bc6cb23df8c3bc30e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2026-07-30T21:07:03.044Z</dcterms:created>
  <dcterms:modified xsi:type="dcterms:W3CDTF">2026-07-30T21:07:03.047Z</dcterms:modified>
</cp:coreProperties>
</file>

<file path=docProps/custom.xml><?xml version="1.0" encoding="utf-8"?>
<Properties xmlns="http://schemas.openxmlformats.org/officeDocument/2006/custom-properties" xmlns:vt="http://schemas.openxmlformats.org/officeDocument/2006/docPropsVTypes"/>
</file>