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spacing w:after="80" w:before="160"/>
      </w:pPr>
      <w:r>
        <w:rPr>
          <w:b/>
          <w:bCs/>
          <w:i/>
          <w:iCs/>
          <w:color w:val="444444"/>
          <w:sz w:val="21"/>
          <w:szCs w:val="21"/>
        </w:rPr>
        <w:t xml:space="preserve">Is Problem Child also an FW27 range-planning issue?</w:t>
      </w:r>
    </w:p>
    <w:p>
      <w:pPr>
        <w:spacing w:after="160"/>
      </w:pPr>
      <w:r>
        <w:t xml:space="preserve">Every Problem Child franchise was checked against the CPO's Assortment Attribution Review (F27), cross-checked against the S27/S28 Spring/Summer files (same methodology as 1.3.4): 16 of 151 are confirmed continuing (F27 or a season-shift into S27/S28), 27 are a possible match under a different gender or garment type — ambiguous, needs a Product/Merchandising call — and 108 have no match anywhere. This 108 is part of the 1.4 cross-tier gap list.</w:t>
      </w:r>
    </w:p>
    <w:p>
      <w:pPr>
        <w:spacing w:after="160"/>
      </w:pPr>
      <w:r>
        <w:t xml:space="preserve">Top 10 of the 16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40.0%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Path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1.59M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36.9%</w:t>
            </w:r>
          </w:p>
        </w:tc>
      </w:tr>
    </w:tbl>
    <w:p>
      <w:pPr>
        <w:spacing w:after="160"/>
      </w:pPr>
      <w:r>
        <w:t xml:space="preserve">Top 10 of the 108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+454.8%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25.3%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Accessories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+158.1%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Riksgränsen Down 850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Hybrid Touring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+61.6%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11.9%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Duality AT1GTX 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37.7%</w:t>
            </w:r>
          </w:p>
        </w:tc>
      </w:tr>
    </w:tbl>
    <w:p>
      <w:pPr>
        <w:spacing w:after="200"/>
      </w:pPr>
      <w:r>
        <w:rPr>
          <w:i/>
          <w:iCs/>
          <w:color w:val="555555"/>
          <w:sz w:val="18"/>
          <w:szCs w:val="18"/>
        </w:rPr>
        <w:t xml:space="preserve">Full 151-franchise list (all four statuses) is in the backup workbook (bob_item3_portfolio_backup.xlsx, sheet 'Problem Child - FW27 Check'). The 27 'possible match' franchises are in the separate review file (FW27_Possible_Match_Review.xlsx, filtered to Tier = Problem Child).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1.85M SEK combined gap to a real second-channel presence (Wholesale &gt;100K SEK / DTC &gt;50K SEK)</w:t>
            </w:r>
          </w:p>
        </w:tc>
      </w:tr>
    </w:tbl>
    <w:p>
      <w:pPr>
        <w:pBdr>
          <w:left w:val="single" w:color="9C4DCC" w:sz="18"/>
        </w:pBdr>
        <w:shd w:fill="F0E6F6" w:val="clear"/>
        <w:spacing w:after="120" w:before="100"/>
        <w:ind w:left="150" w:right="100"/>
      </w:pPr>
      <w:r>
        <w:rPr>
          <w:b/>
          <w:bCs/>
          <w:color w:val="6A1B9A"/>
        </w:rPr>
        <w:t xml:space="preserve">CORRECTED FROM DRAFT: </w:t>
      </w:r>
      <w:r>
        <w:t xml:space="preserve">This section previously stated a 31-franchise / 22.5M SEK / 39.5M-SEK-headroom shortlist, itself flagged at the time as a correction of an original 57-franchise / 21.9M SEK / 1.85M SEK draft. That '31' figure was traced back and found to be wrong: it came from a mismatched file (workhorse_scaleup_shortlist_final.xlsx) describing a different population entirely — 31 cross-channel franchises under 2M SEK scale, not single-channel Workhorse franchises. It has zero overlap with the true 90-franchise single-channel population. The correct, verified shortlist is the original 57 franchises / 21.9M SEK / 1.85M SEK gap, confirmed against the backup workbook's 'Workhorse - Scaleup Shortlist' sheet: the 90 single-channel franchises narrow to 69 on a Near_miss=False flag, then to 57 after excluding 12 sub-100K-SEK trinket items (laces, a facemask, a headband) too small to be a real lever story. The remaining 33 single-channel franchises (90 − 57) are near-miss or structurally single-channel and are not part of this shortlist.</w:t>
      </w:r>
    </w:p>
    <w:p>
      <w:pPr>
        <w:spacing w:after="160"/>
      </w:pPr>
      <w:r>
        <w:t xml:space="preserve">Unlike the old, discarded cut, this gap is measured against each franchise's missing-channel presence threshold (Wholesale &gt;100K SEK / DTC &gt;50K SEK — the same bar used for Hero/Near-Hero's cross-channel test in 1.2), not against the 2M-SEK Near-Hero scale bar. How close each of the 57 already is to a real second-channel presence: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How close to qualifying</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&gt;=75%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8.77M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Nearly there — smallest incremental push needed</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50-75% of threshold already</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Meaningful but real gap remaining</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&lt;50%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9.54M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Furthest from a qualifying second-channel presence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57)</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39</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r>
    </w:tbl>
    <w:p>
      <w:pPr>
        <w:spacing w:after="160"/>
      </w:pPr>
      <w:r>
        <w:t xml:space="preserve">This is a concrete, low-ambiguity list: 57 named franchises, each tagged with the specific channel lever it needs — a clean split, no 'both channels' overlap in this corrected cut.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39 franchises needing Wholesale distribution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Channel-mix patterns across the full 202-franchise tier</w:t>
      </w:r>
    </w:p>
    <w:p>
      <w:pPr>
        <w:spacing w:after="160"/>
      </w:pPr>
      <w:r>
        <w:t xml:space="preserve">Beyond the single-channel gap, every Workhorse franchise was classified into the same four channel-mix patterns used in 1.1 (based on the direction of FY24→FY25 change in each channel), to see whether Workhorse's overall channel story is healthy growth or the same Wholesale-to-DTC substitution question raised elsewhere in this brief:</w:t>
      </w:r>
    </w:p>
    <w:p>
      <w:pPr>
        <w:pBdr>
          <w:left w:val="single" w:color="9C4DCC" w:sz="18"/>
        </w:pBdr>
        <w:shd w:fill="F0E6F6" w:val="clear"/>
        <w:spacing w:after="120" w:before="100"/>
        <w:ind w:left="150" w:right="100"/>
      </w:pPr>
      <w:r>
        <w:rPr>
          <w:b/>
          <w:bCs/>
          <w:color w:val="6A1B9A"/>
        </w:rPr>
        <w:t xml:space="preserve">CORRECTED FROM DRAFT: </w:t>
      </w:r>
      <w:r>
        <w:t xml:space="preserve">This table, the chart below, and the four top-10 lists were corrected 2026-07-30: the FY2024 Wholesale baseline (WS_2024) used to compute each franchise's channel-mix pattern was including special-account revenue (XXL, Zalando, China, Stadium) that the FY2025 Wholesale figure it's compared against correctly excludes — an inconsistent, apples-to-oranges comparison. Validated against the already-correct 1.1 Channel Mix methodology (0 SEK difference across all four channel/year combinations once matched). 22 of 202 franchises change pattern under the fix; the distribution shifts from 95/19/58/27 (Substitution/Both declining/DTC growth/WS growing) to 81/12/75/34. This also resolves the two &gt;100pt 'impossible' point-changes flagged in the prior version of this table — both were artifacts of the same bug, not a separate data-quality issue.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900"/>
        <w:gridCol w:w="1400"/>
        <w:gridCol w:w="3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N of 202</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Substitution (WS down, DTC up)</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70.3M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40% of the tier — the distribution-recovery-vs-durable-shift question from 1.1 applies here at scale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Both 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Needs a product/pricing diagnostic regardless of channel position</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79.4M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The healthy pattern — genuine incremental growth, and now the single largest pattern by both count and sales</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25.1M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spacing w:after="160"/>
      </w:pPr>
      <w:r>
        <w:t xml:space="preserve">Plotting all 202 franchises by Wholesale share of 2025 sales (x) against total 2025 sales on a log scale (y), colored by pattern, makes the shape of this concentration visible in one view — scale and current channel mix on the axes, the underlying diagnosis in the color:</w:t>
      </w:r>
    </w:p>
    <w:p>
      <w:pPr>
        <w:spacing w:after="80" w:before="120"/>
        <w:jc w:val="center"/>
      </w:pPr>
      <w:r>
        <w:drawing>
          <wp:inline distT="0" distB="0" distL="0" distR="0">
            <wp:extent cx="565785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57850" cy="5934075"/>
                    </a:xfrm>
                    <a:prstGeom prst="rect">
                      <a:avLst/>
                    </a:prstGeom>
                  </pic:spPr>
                </pic:pic>
              </a:graphicData>
            </a:graphic>
          </wp:inline>
        </w:drawing>
      </w:r>
    </w:p>
    <w:p>
      <w:pPr>
        <w:spacing w:after="200"/>
      </w:pPr>
      <w:r>
        <w:rPr>
          <w:i/>
          <w:iCs/>
          <w:color w:val="555555"/>
          <w:sz w:val="18"/>
          <w:szCs w:val="18"/>
        </w:rPr>
        <w:t xml:space="preserve">Dashed lines split at WS%=50% and Sales=2M SEK. Substitution (blue circles) is spread across the whole sales range and both sides of the WS% split — this is not a small-franchise or single-quadrant problem. Named labels are the largest franchise in each pattern.</w:t>
      </w:r>
    </w:p>
    <w:p>
      <w:pPr>
        <w:spacing w:after="160"/>
      </w:pPr>
      <w:r>
        <w:rPr>
          <w:i/>
          <w:iCs/>
        </w:rPr>
        <w:t xml:space="preserve">Top 10 by 2025 sales within each pattern, excluding small/irrelevant items (laces etc.), with the FY24→25 point-change in WS%/DTC% share alongside the levels:</w:t>
      </w:r>
    </w:p>
    <w:p>
      <w:pPr>
        <w:spacing w:after="80" w:before="160"/>
      </w:pPr>
      <w:r>
        <w:rPr>
          <w:b/>
          <w:bCs/>
          <w:i/>
          <w:iCs/>
          <w:color w:val="444444"/>
          <w:sz w:val="21"/>
          <w:szCs w:val="21"/>
        </w:rPr>
        <w:t xml:space="preserve">A. Substitution (81 franchises, 70.3M SEK)</w:t>
      </w:r>
    </w:p>
    <w:p>
      <w:pPr>
        <w:spacing w:after="160"/>
      </w:pPr>
      <w:r>
        <w:t xml:space="preserve">Action: the same distribution-recovery-vs-durable-shift question from 1.1, applied to named Workhorse franchises — is WS share loss a listing/sell-through problem (Sales can act) or a genuine channel preference (a DTC investment case instead)?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3.31M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Aria Proof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82.0%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69.7%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30.3%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49.5%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bl>
    <w:p>
      <w:pPr>
        <w:spacing w:after="80" w:before="160"/>
      </w:pPr>
      <w:r>
        <w:rPr>
          <w:b/>
          <w:bCs/>
          <w:i/>
          <w:iCs/>
          <w:color w:val="444444"/>
          <w:sz w:val="21"/>
          <w:szCs w:val="21"/>
        </w:rPr>
        <w:t xml:space="preserve">B. Both declining (12 franchises, 22.5M SEK)</w:t>
      </w:r>
    </w:p>
    <w:p>
      <w:pPr>
        <w:spacing w:after="160"/>
      </w:pPr>
      <w:r>
        <w:t xml:space="preserve">Action: a product/pricing diagnostic, not a channel-mix fix — losing share in both channels at once points at the product or its price, not distribution.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80.2%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95.7%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Small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Ridge Hike Tee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Touring Mid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42.8%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Pollux 1/2 zip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r>
    </w:tbl>
    <w:p>
      <w:pPr>
        <w:spacing w:after="80" w:before="160"/>
      </w:pPr>
      <w:r>
        <w:rPr>
          <w:b/>
          <w:bCs/>
          <w:i/>
          <w:iCs/>
          <w:color w:val="444444"/>
          <w:sz w:val="21"/>
          <w:szCs w:val="21"/>
        </w:rPr>
        <w:t xml:space="preserve">C. DTC growth, WS not declining (75 franchises, 79.4M SEK)</w:t>
      </w:r>
    </w:p>
    <w:p>
      <w:pPr>
        <w:spacing w:after="160"/>
      </w:pPr>
      <w:r>
        <w:t xml:space="preserve">Action: the healthy pattern — leave alone or reinforce with continued DTC investment; not a priority for the workshop's problem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88.5%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2.24M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r>
    </w:tbl>
    <w:p>
      <w:pPr>
        <w:spacing w:after="80" w:before="160"/>
      </w:pPr>
      <w:r>
        <w:rPr>
          <w:b/>
          <w:bCs/>
          <w:i/>
          <w:iCs/>
          <w:color w:val="444444"/>
          <w:sz w:val="21"/>
          <w:szCs w:val="21"/>
        </w:rPr>
        <w:t xml:space="preserve">D. WS growing, DTC flat/declining (34 franchises, 25.1M SEK)</w:t>
      </w:r>
    </w:p>
    <w:p>
      <w:pPr>
        <w:spacing w:after="160"/>
      </w:pPr>
      <w:r>
        <w:t xml:space="preserve">Action: also healthy — Wholesale-led growth with a small DTC give-back; leave alone unless the DTC decline accelerates.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98.4%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Fjatla 40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95.2%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74.7%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86.0%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51.6%</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bl>
    <w:p>
      <w:pPr>
        <w:spacing w:after="200"/>
      </w:pPr>
      <w:r>
        <w:rPr>
          <w:i/>
          <w:iCs/>
          <w:color w:val="555555"/>
          <w:sz w:val="18"/>
          <w:szCs w:val="18"/>
        </w:rPr>
        <w:t xml:space="preserve">Full 202-franchise list (levels, point-changes, and pattern) is in the backup workbook (bob_item3_portfolio_backup.xlsx, sheet 'Workhorse - Channel Mix (202)').</w:t>
      </w:r>
    </w:p>
    <w:p>
      <w:pPr>
        <w:spacing w:after="200"/>
      </w:pPr>
      <w:r>
        <w:rPr>
          <w:i/>
          <w:iCs/>
          <w:color w:val="555555"/>
          <w:sz w:val="18"/>
          <w:szCs w:val="18"/>
        </w:rPr>
        <w:t xml:space="preserve">Full 202-franchise list (all four patterns, WS%/DTC% levels and point-changes) is in the backup workbook (bob_item3_portfolio_backup.xlsx, sheet 'Workhorse - Channel Mix (202)').</w:t>
      </w:r>
    </w:p>
    <w:p>
      <w:pPr>
        <w:spacing w:after="80" w:before="160"/>
      </w:pPr>
      <w:r>
        <w:rPr>
          <w:b/>
          <w:bCs/>
          <w:i/>
          <w:iCs/>
          <w:color w:val="444444"/>
          <w:sz w:val="21"/>
          <w:szCs w:val="21"/>
        </w:rPr>
        <w:t xml:space="preserve">Is Workhorse also an FW27 range-planning issue?</w:t>
      </w:r>
    </w:p>
    <w:p>
      <w:pPr>
        <w:spacing w:after="160"/>
      </w:pPr>
      <w:r>
        <w:t xml:space="preserve">Same check as 1.3.2/1.3.4, applied to all 202 Workhorse franchises: 68 are confirmed continuing (F27 or a season-shift into S27/S28), 19 are a possible match under a different gender or garment type — ambiguous, needs a Product/Merchandising call — and 115 have no match anywhere. Unlike Harvest, Workhorse is a healthy, growing tier — so this 115 (102 of them still growing) is the highest-urgency slice of the 1.4 cross-tier gap list: working, growing product with apparently no FW27 plan.</w:t>
      </w:r>
    </w:p>
    <w:p>
      <w:pPr>
        <w:spacing w:after="160"/>
      </w:pPr>
      <w:r>
        <w:t xml:space="preserve">Top 10 of the 68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bl>
    <w:p>
      <w:pPr>
        <w:spacing w:after="160"/>
      </w:pPr>
      <w:r>
        <w:t xml:space="preserve">Top 10 of the 115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+105.1%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Kaise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45.0%</w:t>
            </w:r>
          </w:p>
        </w:tc>
      </w:tr>
    </w:tbl>
    <w:p>
      <w:pPr>
        <w:spacing w:after="200"/>
      </w:pPr>
      <w:r>
        <w:rPr>
          <w:i/>
          <w:iCs/>
          <w:color w:val="555555"/>
          <w:sz w:val="18"/>
          <w:szCs w:val="18"/>
        </w:rPr>
        <w:t xml:space="preserve">Full 202-franchise list (all four statuses) is in the backup workbook (bob_item3_portfolio_backup.xlsx, sheet 'Workhorse - FW27 Check'). The 19 'possible match' franchises are in the separate review file (FW27_Possible_Match_Review.xlsx, filtered to Tier = Workhorse). This FW27 view is independent of the single/dual-channel scale-up analysis and channel-mix patterns above — a franchise can be both a confirmed FW27 style and a Substitution-pattern single-channel franchise at the same time.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spacing w:after="160"/>
      </w:pPr>
      <w:r>
        <w:t xml:space="preserve">Top 10 of the 33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Mid Standard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Mimic Alert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52.8%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Salix Proof Mimic Parka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-20.8%</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Rugged Slim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58.4%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55.9%</w:t>
            </w:r>
          </w:p>
        </w:tc>
      </w:tr>
    </w:tbl>
    <w:p>
      <w:pPr>
        <w:spacing w:after="160"/>
      </w:pPr>
      <w:r>
        <w:t xml:space="preserve">Top 10 of the 159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Risberg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-24.6%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54.3%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Malung Pile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Koyal Proof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Risberg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Koyal Proof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Malung Pile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Finch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-18.6%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Mila Jacket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bl>
    <w:p>
      <w:pPr>
        <w:spacing w:after="200"/>
      </w:pPr>
      <w:r>
        <w:rPr>
          <w:i/>
          <w:iCs/>
          <w:color w:val="555555"/>
          <w:sz w:val="18"/>
          <w:szCs w:val="18"/>
        </w:rPr>
        <w:t xml:space="preserve">Full 236-franchise list (all four statuses: Core FW27, SS27/28 confirmed, SS27/28 possible, Not found) is in the backup workbook (bob_item3_portfolio_backup.xlsx, sheet 'Harvest - FW27 Check'). The 44 'possible match' franchises needing a Product/Merchandising call are in the separate review file (FW27_Possible_Match_Review.xlsx, filtered to Tier = Harvest).</w:t>
      </w:r>
    </w:p>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0.09M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92</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54</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 (21.9M current sales across 57 franchises, corrected from an erroneous 31-franchise/22.5M-SEK figure traced to a mismatched source file — see 1.3.3) but genuinely the cleanest 'quick win' in this framework — the gap to a real second-channel presence is only 1.85M SEK combined, and each franchise already works in one channel, so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39 franchises needing Wholesale distribution (corrected from an erroneous 21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Style w:val="Heading3"/>
        <w:spacing w:after="100" w:before="200"/>
      </w:pPr>
      <w:r>
        <w:t xml:space="preserve">Top 10 most-reordered franchises (2025, Wholesale)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SEK</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SEK</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Reorder/Preorder ratio</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29.9%</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18.1%</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31.6%</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 Full 846-franchise list (every franchise with any 2025 Wholesale Reorder or Preorder activity) is in the backup workbook (bob_item3_portfolio_backup.xlsx, sheet 'Reorder - Full List (846)').</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c478074c3f9812d1b576bc6cb23df8c3bc30e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2026-07-30T20:44:53.875Z</dcterms:created>
  <dcterms:modified xsi:type="dcterms:W3CDTF">2026-07-30T20:44:53.883Z</dcterms:modified>
</cp:coreProperties>
</file>

<file path=docProps/custom.xml><?xml version="1.0" encoding="utf-8"?>
<Properties xmlns="http://schemas.openxmlformats.org/officeDocument/2006/custom-properties" xmlns:vt="http://schemas.openxmlformats.org/officeDocument/2006/docPropsVTypes"/>
</file>