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80"/>
        <w:jc w:val="center"/>
      </w:pPr>
      <w:r>
        <w:rPr>
          <w:rFonts w:ascii="Arial" w:cs="Arial" w:eastAsia="Arial" w:hAnsi="Arial"/>
          <w:b/>
          <w:bCs/>
          <w:color w:val="666666"/>
          <w:sz w:val="28"/>
          <w:szCs w:val="28"/>
        </w:rPr>
        <w:t xml:space="preserve">EQUITY RESEARCH NOTE</w:t>
      </w:r>
    </w:p>
    <w:p>
      <w:pPr>
        <w:pBdr>
          <w:bottom w:val="single" w:color="2E75B6" w:sz="8" w:space="8"/>
        </w:pBdr>
        <w:spacing w:after="200"/>
        <w:jc w:val="center"/>
      </w:pPr>
      <w:r>
        <w:rPr>
          <w:rFonts w:ascii="Arial" w:cs="Arial" w:eastAsia="Arial" w:hAnsi="Arial"/>
          <w:b/>
          <w:bCs/>
          <w:color w:val="1B3A5C"/>
          <w:sz w:val="52"/>
          <w:szCs w:val="52"/>
        </w:rPr>
        <w:t xml:space="preserve">HIMS &amp; HERS HEALTH, INC.</w:t>
      </w:r>
    </w:p>
    <w:p>
      <w:pPr>
        <w:spacing w:after="40"/>
        <w:jc w:val="center"/>
      </w:pPr>
      <w:r>
        <w:rPr>
          <w:rFonts w:ascii="Arial" w:cs="Arial" w:eastAsia="Arial" w:hAnsi="Arial"/>
          <w:color w:val="2E75B6"/>
          <w:sz w:val="30"/>
          <w:szCs w:val="30"/>
        </w:rPr>
        <w:t xml:space="preserve">NYSE: HIMS</w:t>
      </w:r>
    </w:p>
    <w:p>
      <w:pPr>
        <w:spacing w:after="8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Current Price:</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C0392B"/>
                <w:sz w:val="22"/>
                <w:szCs w:val="22"/>
              </w:rPr>
              <w:t xml:space="preserve">  ~$15.80</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Market Cap:</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2"/>
                <w:szCs w:val="22"/>
              </w:rPr>
              <w:t xml:space="preserve">  ~$3.6B</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52-Week Range:</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2"/>
                <w:szCs w:val="22"/>
              </w:rPr>
              <w:t xml:space="preserve">  $15.63 - $72.98</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FY2025E Revenue:</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2"/>
                <w:szCs w:val="22"/>
              </w:rPr>
              <w:t xml:space="preserve">  ~$2.35B (+58% YoY)</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Adj. EBITDA Margin:</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333333"/>
                <w:sz w:val="22"/>
                <w:szCs w:val="22"/>
              </w:rPr>
              <w:t xml:space="preserve">  ~13%</w:t>
            </w:r>
          </w:p>
        </w:tc>
      </w:tr>
      <w:tr>
        <w:tc>
          <w:tcPr>
            <w:tcW w:type="dxa" w:w="3000"/>
            <w:tcBorders>
              <w:top w:val="none" w:sz="0"/>
              <w:left w:val="none" w:sz="0"/>
              <w:bottom w:val="none" w:sz="0"/>
              <w:right w:val="none" w:sz="0"/>
            </w:tcBorders>
            <w:tcMar>
              <w:top w:type="dxa" w:w="60"/>
              <w:left w:type="dxa" w:w="100"/>
              <w:bottom w:type="dxa" w:w="60"/>
              <w:right w:type="dxa" w:w="100"/>
            </w:tcMar>
          </w:tcPr>
          <w:p>
            <w:pPr>
              <w:jc w:val="right"/>
            </w:pPr>
            <w:r>
              <w:rPr>
                <w:rFonts w:ascii="Arial" w:cs="Arial" w:eastAsia="Arial" w:hAnsi="Arial"/>
                <w:color w:val="666666"/>
                <w:sz w:val="22"/>
                <w:szCs w:val="22"/>
              </w:rPr>
              <w:t xml:space="preserve">Verdict:</w:t>
            </w:r>
          </w:p>
        </w:tc>
        <w:tc>
          <w:tcPr>
            <w:tcW w:type="dxa" w:w="3000"/>
            <w:tcBorders>
              <w:top w:val="none" w:sz="0"/>
              <w:left w:val="none" w:sz="0"/>
              <w:bottom w:val="none" w:sz="0"/>
              <w:right w:val="none" w:sz="0"/>
            </w:tcBorders>
            <w:tcMar>
              <w:top w:type="dxa" w:w="60"/>
              <w:left w:type="dxa" w:w="100"/>
              <w:bottom w:type="dxa" w:w="60"/>
              <w:right w:type="dxa" w:w="100"/>
            </w:tcMar>
          </w:tcPr>
          <w:p>
            <w:r>
              <w:rPr>
                <w:rFonts w:ascii="Arial" w:cs="Arial" w:eastAsia="Arial" w:hAnsi="Arial"/>
                <w:b/>
                <w:bCs/>
                <w:color w:val="D4880F"/>
                <w:sz w:val="22"/>
                <w:szCs w:val="22"/>
              </w:rPr>
              <w:t xml:space="preserve">  WATCH  |  High Conviction Wait</w:t>
            </w:r>
          </w:p>
        </w:tc>
      </w:tr>
    </w:tbl>
    <w:p>
      <w:pPr>
        <w:spacing w:after="80"/>
      </w:pPr>
    </w:p>
    <w:p>
      <w:pPr>
        <w:spacing w:after="80"/>
      </w:pPr>
    </w:p>
    <w:p>
      <w:pPr>
        <w:jc w:val="center"/>
      </w:pPr>
      <w:r>
        <w:rPr>
          <w:rFonts w:ascii="Arial" w:cs="Arial" w:eastAsia="Arial" w:hAnsi="Arial"/>
          <w:color w:val="666666"/>
          <w:sz w:val="24"/>
          <w:szCs w:val="24"/>
        </w:rPr>
        <w:t xml:space="preserve">February 13, 2026</w:t>
      </w:r>
    </w:p>
    <w:p>
      <w:r>
        <w:br w:type="page"/>
      </w:r>
    </w:p>
    <w:p>
      <w:pPr>
        <w:pStyle w:val="Heading1"/>
      </w:pPr>
      <w:r>
        <w:t xml:space="preserve">1. Executive Snapshot</w:t>
      </w:r>
    </w:p>
    <w:p>
      <w:pPr>
        <w:spacing w:after="160"/>
      </w:pPr>
      <w:r>
        <w:rPr>
          <w:rFonts w:ascii="Arial" w:cs="Arial" w:eastAsia="Arial" w:hAnsi="Arial"/>
          <w:color w:val="333333"/>
          <w:sz w:val="22"/>
          <w:szCs w:val="22"/>
        </w:rPr>
        <w:t xml:space="preserve">Hims &amp; Hers Health (NYSE: HIMS) is a direct-to-consumer telehealth platform that provides online medical consultations and prescription treatments across sexual health, hair loss, dermatology, mental health, and weight management. The company monetizes through subscription-based recurring revenue, pairing asynchronous telehealth consultations with pharmacy fulfillment—both branded Rx and compounded formulations. At ~$2.35B in guided FY2025 revenue (+58% YoY) and ~2.5M subscribers, HIMS had established itself as the scale leader in DTC telehealth.</w:t>
      </w:r>
    </w:p>
    <w:p>
      <w:pPr>
        <w:spacing w:after="160"/>
      </w:pPr>
      <w:r>
        <w:rPr>
          <w:rFonts w:ascii="Arial" w:cs="Arial" w:eastAsia="Arial" w:hAnsi="Arial"/>
          <w:b/>
          <w:bCs/>
          <w:color w:val="333333"/>
          <w:sz w:val="22"/>
          <w:szCs w:val="22"/>
        </w:rPr>
        <w:t xml:space="preserve">The investment thesis has fundamentally shifted in recent weeks. </w:t>
      </w:r>
      <w:r>
        <w:rPr>
          <w:rFonts w:ascii="Arial" w:cs="Arial" w:eastAsia="Arial" w:hAnsi="Arial"/>
          <w:color w:val="333333"/>
          <w:sz w:val="22"/>
          <w:szCs w:val="22"/>
        </w:rPr>
        <w:t xml:space="preserve">On February 9, 2026, Novo Nordisk filed a patent infringement lawsuit against HIMS for mass-marketing compounded semaglutide (Wegovy/Ozempic knockoffs). The FDA simultaneously announced enforcement actions against mass-marketed compounded GLP-1 drugs. HIMS has already withdrawn its compounded GLP-1 pill and faces potential restriction on injectable compounded semaglutide—estimated by BofA at $825–850M in 2025 revenue. The stock has collapsed ~78% from its February 2025 all-time high of $72.98 to ~$15.80, now trading near 52-week lows with a $3.6B market cap. The next earnings report on February 23, 2026 will be a defining event.</w:t>
      </w:r>
    </w:p>
    <w:p>
      <w:r>
        <w:br w:type="page"/>
      </w:r>
    </w:p>
    <w:p>
      <w:pPr>
        <w:pStyle w:val="Heading1"/>
      </w:pPr>
      <w:r>
        <w:t xml:space="preserve">2. Business &amp; Market Model</w:t>
      </w:r>
    </w:p>
    <w:p>
      <w:pPr>
        <w:pStyle w:val="Heading2"/>
      </w:pPr>
      <w:r>
        <w:t xml:space="preserve">Revenue Architecture</w:t>
      </w:r>
    </w:p>
    <w:p>
      <w:pPr>
        <w:spacing w:after="120"/>
      </w:pPr>
      <w:r>
        <w:rPr>
          <w:rFonts w:ascii="Arial" w:cs="Arial" w:eastAsia="Arial" w:hAnsi="Arial"/>
          <w:color w:val="333333"/>
          <w:sz w:val="22"/>
          <w:szCs w:val="22"/>
        </w:rPr>
        <w:t xml:space="preserve">HIMS generates revenue through three primary channels:</w:t>
      </w:r>
    </w:p>
    <w:p>
      <w:pPr>
        <w:pStyle w:val="ListParagraph"/>
        <w:numPr>
          <w:ilvl w:val="0"/>
          <w:numId w:val="2"/>
        </w:numPr>
        <w:spacing w:after="80"/>
      </w:pPr>
      <w:r>
        <w:rPr>
          <w:rFonts w:ascii="Arial" w:cs="Arial" w:eastAsia="Arial" w:hAnsi="Arial"/>
          <w:b/>
          <w:bCs/>
          <w:color w:val="333333"/>
          <w:sz w:val="22"/>
          <w:szCs w:val="22"/>
        </w:rPr>
        <w:t xml:space="preserve">Subscription Rx Fulfillment (~85% of revenue): </w:t>
      </w:r>
      <w:r>
        <w:rPr>
          <w:rFonts w:ascii="Arial" w:cs="Arial" w:eastAsia="Arial" w:hAnsi="Arial"/>
          <w:color w:val="333333"/>
          <w:sz w:val="22"/>
          <w:szCs w:val="22"/>
        </w:rPr>
        <w:t xml:space="preserve">Recurring prescriptions (finasteride, minoxidil, sildenafil, tadalafil, compounded GLP-1s, tretinoin, etc.) shipped monthly/quarterly. This includes both generic branded drugs and compounded formulations from partner and in-house pharmacies.</w:t>
      </w:r>
    </w:p>
    <w:p>
      <w:pPr>
        <w:pStyle w:val="ListParagraph"/>
        <w:numPr>
          <w:ilvl w:val="0"/>
          <w:numId w:val="2"/>
        </w:numPr>
        <w:spacing w:after="80"/>
      </w:pPr>
      <w:r>
        <w:rPr>
          <w:rFonts w:ascii="Arial" w:cs="Arial" w:eastAsia="Arial" w:hAnsi="Arial"/>
          <w:b/>
          <w:bCs/>
          <w:color w:val="333333"/>
          <w:sz w:val="22"/>
          <w:szCs w:val="22"/>
        </w:rPr>
        <w:t xml:space="preserve">Consultation Fees: </w:t>
      </w:r>
      <w:r>
        <w:rPr>
          <w:rFonts w:ascii="Arial" w:cs="Arial" w:eastAsia="Arial" w:hAnsi="Arial"/>
          <w:color w:val="333333"/>
          <w:sz w:val="22"/>
          <w:szCs w:val="22"/>
        </w:rPr>
        <w:t xml:space="preserve">Upfront or bundled asynchronous telehealth consultations with licensed providers.</w:t>
      </w:r>
    </w:p>
    <w:p>
      <w:pPr>
        <w:pStyle w:val="ListParagraph"/>
        <w:numPr>
          <w:ilvl w:val="0"/>
          <w:numId w:val="2"/>
        </w:numPr>
        <w:spacing w:after="80"/>
      </w:pPr>
      <w:r>
        <w:rPr>
          <w:rFonts w:ascii="Arial" w:cs="Arial" w:eastAsia="Arial" w:hAnsi="Arial"/>
          <w:b/>
          <w:bCs/>
          <w:color w:val="333333"/>
          <w:sz w:val="22"/>
          <w:szCs w:val="22"/>
        </w:rPr>
        <w:t xml:space="preserve">OTC/Supplements/Cosmetics: </w:t>
      </w:r>
      <w:r>
        <w:rPr>
          <w:rFonts w:ascii="Arial" w:cs="Arial" w:eastAsia="Arial" w:hAnsi="Arial"/>
          <w:color w:val="333333"/>
          <w:sz w:val="22"/>
          <w:szCs w:val="22"/>
        </w:rPr>
        <w:t xml:space="preserve">Skincare, hair care, wellness supplements sold through the platform and wholesale partners.</w:t>
      </w:r>
    </w:p>
    <w:p>
      <w:pPr>
        <w:pStyle w:val="Heading2"/>
      </w:pPr>
      <w:r>
        <w:t xml:space="preserve">Revenue Concentration Risk</w:t>
      </w:r>
    </w:p>
    <w:p>
      <w:pPr>
        <w:spacing w:after="160"/>
      </w:pPr>
      <w:r>
        <w:rPr>
          <w:rFonts w:ascii="Arial" w:cs="Arial" w:eastAsia="Arial" w:hAnsi="Arial"/>
          <w:color w:val="333333"/>
          <w:sz w:val="22"/>
          <w:szCs w:val="22"/>
        </w:rPr>
        <w:t xml:space="preserve">BofA estimated that compounded injectable GLP-1 sales accounted for $825–850M in 2025 revenue with ~10% EBITDA margins. This represents roughly 35% of guided FY2025 revenue. With the Novo lawsuit and FDA enforcement actions, this entire revenue stream is now under existential threat. The core business (sexual health, hair loss, dermatology, mental health) generated the remaining ~$1.5B and grew organically before the GLP-1 boom, but at a much lower rate.</w:t>
      </w:r>
    </w:p>
    <w:p>
      <w:pPr>
        <w:pStyle w:val="Heading2"/>
      </w:pPr>
      <w:r>
        <w:t xml:space="preserve">Unit Economics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Subscribers (Q3 2025)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 million</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Monthly Online Rev/Subscriber (Q1 2025)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$84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Monthly Online Rev/Subscriber (Q2 2025)</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$74 (declining)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Gross Margin (Q3 2025)</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C0392B"/>
                <w:sz w:val="20"/>
                <w:szCs w:val="20"/>
              </w:rPr>
              <w:t xml:space="preserve">74% (was 79% in Q3 2024)</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Target CAC Payback</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 year</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Adj. EBITDA Margin (FY2025E)</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r>
    </w:tbl>
    <w:p>
      <w:pPr>
        <w:pStyle w:val="Heading2"/>
      </w:pPr>
      <w:r>
        <w:t xml:space="preserve">TAM / SAM / SOM</w:t>
      </w:r>
    </w:p>
    <w:p>
      <w:pPr>
        <w:spacing w:after="160"/>
      </w:pPr>
      <w:r>
        <w:rPr>
          <w:rFonts w:ascii="Arial" w:cs="Arial" w:eastAsia="Arial" w:hAnsi="Arial"/>
          <w:color w:val="333333"/>
          <w:sz w:val="22"/>
          <w:szCs w:val="22"/>
        </w:rPr>
        <w:t xml:space="preserve">The global telehealth market is projected at ~$71B in 2025. HIMS’s addressable categories (sexual health, hair loss, dermatology, weight management, mental health, menopause, testosterone) collectively represent a U.S. TAM of $100B+. However, HIMS’s realistic SAM (DTC cash-pay consumers willing to bypass insurance) is substantially smaller—likely $15–25B. Current SOM with $2.35B in revenue implies &lt;10% penetration of this narrower addressable market. The 2030 target of $6.5B implies significant category expansion and/or international growth.</w:t>
      </w:r>
    </w:p>
    <w:p>
      <w:r>
        <w:br w:type="page"/>
      </w:r>
    </w:p>
    <w:p>
      <w:pPr>
        <w:pStyle w:val="Heading1"/>
      </w:pPr>
      <w:r>
        <w:t xml:space="preserve">3. Simplified Financial Model</w:t>
      </w:r>
    </w:p>
    <w:p>
      <w:pPr>
        <w:pStyle w:val="Heading2"/>
      </w:pPr>
      <w:r>
        <w:t xml:space="preserve">Historical Trajectory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FY2022</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FY2023</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FY2024</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FY2025E</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Revenue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$527M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$872M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$1.48B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~$2.35B</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YoY Growth</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+69%</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+58%</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Gross Margin</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~77%</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Net Income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C0392B"/>
                <w:sz w:val="20"/>
                <w:szCs w:val="20"/>
              </w:rPr>
              <w:t xml:space="preserve">Loss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C0392B"/>
                <w:sz w:val="20"/>
                <w:szCs w:val="20"/>
              </w:rPr>
              <w:t xml:space="preserve">Loss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7AE60"/>
                <w:sz w:val="20"/>
                <w:szCs w:val="20"/>
              </w:rPr>
              <w:t xml:space="preserve">$126M</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~$100M</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Adj. EBITDA</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Neg.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$177M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~$312M</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Subscribers</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~1.0M</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~1.5M</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~2.2M</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~2.5M</w:t>
            </w:r>
          </w:p>
        </w:tc>
      </w:tr>
    </w:tbl>
    <w:p>
      <w:pPr>
        <w:spacing w:after="80"/>
      </w:pPr>
    </w:p>
    <w:p>
      <w:pPr>
        <w:pStyle w:val="Heading2"/>
      </w:pPr>
      <w:r>
        <w:t xml:space="preserve">Scenario Analysis (FY2026–2027)</w:t>
      </w:r>
    </w:p>
    <w:p>
      <w:pPr>
        <w:spacing w:after="120" w:before="0"/>
        <w:jc w:val="left"/>
      </w:pPr>
      <w:r>
        <w:rPr>
          <w:rFonts w:ascii="Arial" w:cs="Arial" w:eastAsia="Arial" w:hAnsi="Arial"/>
          <w:b w:val="false"/>
          <w:bCs w:val="false"/>
          <w:i w:val="false"/>
          <w:iCs w:val="false"/>
          <w:color w:val="333333"/>
          <w:sz w:val="22"/>
          <w:szCs w:val="22"/>
        </w:rPr>
        <w:t xml:space="preserve">The critical variable is how much GLP-1 revenue is permanently lost vs. recovered through branded partnerships or new offerings.</w:t>
      </w:r>
    </w:p>
    <w:p>
      <w:pPr>
        <w:spacing w:after="80"/>
      </w:pPr>
    </w:p>
    <w:p>
      <w:pPr>
        <w:pStyle w:val="Heading3"/>
      </w:pPr>
      <w:r>
        <w:t xml:space="preserve">Bear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Assumption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Bear Case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GLP-1 Compounded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Fully eliminated by H2 2026</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Business Growth</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Slows to 15-20% as halo effect fades</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FY2026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$1.6–$1.8B (-25% to -30%)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Recovers to 78%+ (higher-margin core mix)</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Adj. EBITDA Margin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8–10% (deleveraging)</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Implied Valuation at 3x Rev</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$4.8–$5.4B (~$21–$24/share)</w:t>
            </w:r>
          </w:p>
        </w:tc>
      </w:tr>
    </w:tbl>
    <w:p>
      <w:pPr>
        <w:spacing w:after="80"/>
      </w:pPr>
    </w:p>
    <w:p>
      <w:pPr>
        <w:pStyle w:val="Heading3"/>
      </w:pPr>
      <w:r>
        <w:t xml:space="preserve">Base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Assumption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Base Case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GLP-1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Partial retention via branded Wegovy partnership (~$300M)</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Business Growth</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25–30% (new specialties contribute)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FY2026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$2.1–$2.3B (-5% to -15%)</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75–77%</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Adj. EBITDA Margin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11–13%</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Implied Valuation at 4x Rev</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7AE60"/>
                <w:sz w:val="20"/>
                <w:szCs w:val="20"/>
              </w:rPr>
              <w:t xml:space="preserve">$8.4–$9.2B (~$37–$40/share)</w:t>
            </w:r>
          </w:p>
        </w:tc>
      </w:tr>
    </w:tbl>
    <w:p>
      <w:pPr>
        <w:spacing w:after="80"/>
      </w:pPr>
    </w:p>
    <w:p>
      <w:pPr>
        <w:pStyle w:val="Heading3"/>
      </w:pPr>
      <w:r>
        <w:t xml:space="preserve">Bull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Assumption</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Bull Case</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GLP-1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Branded partnership scales + legal outcome favorable (~$600M)</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Core Business Growth</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30%+ with international expansion</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FY2026 Revenue</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$2.5–$2.8B (+10% to +20%)</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Gross Margin</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74–76%</w:t>
            </w:r>
          </w:p>
        </w:tc>
      </w:tr>
      <w:tr>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Adj. EBITDA Margin</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13–15%</w:t>
            </w:r>
          </w:p>
        </w:tc>
      </w:tr>
      <w:tr>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Implied Valuation at 5x Rev</w:t>
            </w:r>
          </w:p>
        </w:tc>
        <w:tc>
          <w:tcPr>
            <w:tcW w:type="dxa" w:w="46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27AE60"/>
                <w:sz w:val="20"/>
                <w:szCs w:val="20"/>
              </w:rPr>
              <w:t xml:space="preserve">$12.5–$14B (~$55–$62/share)</w:t>
            </w:r>
          </w:p>
        </w:tc>
      </w:tr>
    </w:tbl>
    <w:p>
      <w:pPr>
        <w:spacing w:after="80"/>
      </w:pPr>
    </w:p>
    <w:p>
      <w:pPr>
        <w:spacing w:after="120" w:before="0"/>
        <w:jc w:val="left"/>
      </w:pPr>
      <w:r>
        <w:rPr>
          <w:rFonts w:ascii="Arial" w:cs="Arial" w:eastAsia="Arial" w:hAnsi="Arial"/>
          <w:b w:val="false"/>
          <w:bCs w:val="false"/>
          <w:i/>
          <w:iCs/>
          <w:color w:val="333333"/>
          <w:sz w:val="22"/>
          <w:szCs w:val="22"/>
        </w:rPr>
        <w:t xml:space="preserve">Key observation: At ~$15.80/share ($3.6B market cap), the stock is trading at ~1.5x FY2025E revenue. Even the bear case implies meaningful upside from current levels IF the core business remains intact. The market is pricing in severe permanent impairment.</w:t>
      </w:r>
    </w:p>
    <w:p>
      <w:r>
        <w:br w:type="page"/>
      </w:r>
    </w:p>
    <w:p>
      <w:pPr>
        <w:pStyle w:val="Heading1"/>
      </w:pPr>
      <w:r>
        <w:t xml:space="preserve">4. Narrative Map</w:t>
      </w:r>
    </w:p>
    <w:p>
      <w:pPr>
        <w:pStyle w:val="Heading2"/>
      </w:pPr>
      <w:r>
        <w:t xml:space="preserve">Bull Case Narrative</w:t>
      </w:r>
    </w:p>
    <w:p>
      <w:pPr>
        <w:spacing w:after="120" w:before="0"/>
        <w:jc w:val="left"/>
      </w:pPr>
      <w:r>
        <w:rPr>
          <w:rFonts w:ascii="Arial" w:cs="Arial" w:eastAsia="Arial" w:hAnsi="Arial"/>
          <w:b w:val="false"/>
          <w:bCs w:val="false"/>
          <w:i w:val="false"/>
          <w:iCs w:val="false"/>
          <w:color w:val="333333"/>
          <w:sz w:val="22"/>
          <w:szCs w:val="22"/>
        </w:rPr>
        <w:t xml:space="preserve">The GLP-1 crackdown is a short-term disruption to a fundamentally sound platform business. HIMS has 2.5M subscribers, a proven DTC healthcare model, and growing categories (menopause, low-T, dermatology, mental health) that existed before the weight-loss boom. The company transitions GLP-1 demand to branded Novo/Lilly partnerships at lower but sustainable margins. International expansion (UK via ZAVA, Canada launching) opens new growth vectors. At $3.6B, you’re buying a $2.3B+ revenue platform at &lt;2x sales with a clear path to profitability in the core business.</w:t>
      </w:r>
    </w:p>
    <w:p>
      <w:pPr>
        <w:spacing w:after="80"/>
      </w:pPr>
    </w:p>
    <w:p>
      <w:pPr>
        <w:pStyle w:val="Heading2"/>
      </w:pPr>
      <w:r>
        <w:t xml:space="preserve">Base Case Narrative</w:t>
      </w:r>
    </w:p>
    <w:p>
      <w:pPr>
        <w:spacing w:after="120" w:before="0"/>
        <w:jc w:val="left"/>
      </w:pPr>
      <w:r>
        <w:rPr>
          <w:rFonts w:ascii="Arial" w:cs="Arial" w:eastAsia="Arial" w:hAnsi="Arial"/>
          <w:b w:val="false"/>
          <w:bCs w:val="false"/>
          <w:i w:val="false"/>
          <w:iCs w:val="false"/>
          <w:color w:val="333333"/>
          <w:sz w:val="22"/>
          <w:szCs w:val="22"/>
        </w:rPr>
        <w:t xml:space="preserve">HIMS faces a painful but manageable transition. GLP-1 compounding revenue is largely lost, but partially replaced by branded partnerships and new specialty launches. Revenue declines 5–15% in 2026 before re-accelerating. Margins compress temporarily as the company invests in diversification. The platform survives and grows, but the 2030 targets of $6.5B revenue are pushed out or reduced. The stock recovers to $30–40 over 12–18 months as visibility improves.</w:t>
      </w:r>
    </w:p>
    <w:p>
      <w:pPr>
        <w:spacing w:after="80"/>
      </w:pPr>
    </w:p>
    <w:p>
      <w:pPr>
        <w:pStyle w:val="Heading2"/>
      </w:pPr>
      <w:r>
        <w:t xml:space="preserve">Bear Case Narrative</w:t>
      </w:r>
    </w:p>
    <w:p>
      <w:pPr>
        <w:spacing w:after="120" w:before="0"/>
        <w:jc w:val="left"/>
      </w:pPr>
      <w:r>
        <w:rPr>
          <w:rFonts w:ascii="Arial" w:cs="Arial" w:eastAsia="Arial" w:hAnsi="Arial"/>
          <w:b w:val="false"/>
          <w:bCs w:val="false"/>
          <w:i w:val="false"/>
          <w:iCs w:val="false"/>
          <w:color w:val="333333"/>
          <w:sz w:val="22"/>
          <w:szCs w:val="22"/>
        </w:rPr>
        <w:t xml:space="preserve">The GLP-1 shutdown reveals HIMS’s business model is structurally dependent on regulatory arbitrage—selling compounded copies of patented drugs at scale. Without this, growth decelerates sharply. The Novo lawsuit results in damages. FDA enforcement extends to other compounded formulations (finasteride, sildenafil compounds), threatening the entire compounding-based model. Subscriber churn accelerates as GLP-1 customers leave. The company burns cash trying to diversify. Fair value could be $8–12 per share.</w:t>
      </w:r>
    </w:p>
    <w:p>
      <w:pPr>
        <w:spacing w:after="80"/>
      </w:pPr>
    </w:p>
    <w:p>
      <w:pPr>
        <w:pStyle w:val="Heading2"/>
      </w:pPr>
      <w:r>
        <w:t xml:space="preserve">What Must Go Right</w:t>
      </w:r>
    </w:p>
    <w:p>
      <w:pPr>
        <w:pStyle w:val="ListParagraph"/>
        <w:numPr>
          <w:ilvl w:val="0"/>
          <w:numId w:val="3"/>
        </w:numPr>
        <w:spacing w:after="80"/>
      </w:pPr>
      <w:r>
        <w:rPr>
          <w:rFonts w:ascii="Arial" w:cs="Arial" w:eastAsia="Arial" w:hAnsi="Arial"/>
          <w:color w:val="333333"/>
          <w:sz w:val="22"/>
          <w:szCs w:val="22"/>
        </w:rPr>
        <w:t xml:space="preserve">Core business (hair, sexual health, skin, mental health) retains and grows subscribers independently of GLP-1</w:t>
      </w:r>
    </w:p>
    <w:p>
      <w:pPr>
        <w:pStyle w:val="ListParagraph"/>
        <w:numPr>
          <w:ilvl w:val="0"/>
          <w:numId w:val="3"/>
        </w:numPr>
        <w:spacing w:after="80"/>
      </w:pPr>
      <w:r>
        <w:rPr>
          <w:rFonts w:ascii="Arial" w:cs="Arial" w:eastAsia="Arial" w:hAnsi="Arial"/>
          <w:color w:val="333333"/>
          <w:sz w:val="22"/>
          <w:szCs w:val="22"/>
        </w:rPr>
        <w:t xml:space="preserve">Branded GLP-1 partnerships (Novo, Lilly) partially replace compounding revenue</w:t>
      </w:r>
    </w:p>
    <w:p>
      <w:pPr>
        <w:pStyle w:val="ListParagraph"/>
        <w:numPr>
          <w:ilvl w:val="0"/>
          <w:numId w:val="3"/>
        </w:numPr>
        <w:spacing w:after="80"/>
      </w:pPr>
      <w:r>
        <w:rPr>
          <w:rFonts w:ascii="Arial" w:cs="Arial" w:eastAsia="Arial" w:hAnsi="Arial"/>
          <w:color w:val="333333"/>
          <w:sz w:val="22"/>
          <w:szCs w:val="22"/>
        </w:rPr>
        <w:t xml:space="preserve">New specialties (menopause, low-T, longevity) gain traction</w:t>
      </w:r>
    </w:p>
    <w:p>
      <w:pPr>
        <w:pStyle w:val="ListParagraph"/>
        <w:numPr>
          <w:ilvl w:val="0"/>
          <w:numId w:val="3"/>
        </w:numPr>
        <w:spacing w:after="80"/>
      </w:pPr>
      <w:r>
        <w:rPr>
          <w:rFonts w:ascii="Arial" w:cs="Arial" w:eastAsia="Arial" w:hAnsi="Arial"/>
          <w:color w:val="333333"/>
          <w:sz w:val="22"/>
          <w:szCs w:val="22"/>
        </w:rPr>
        <w:t xml:space="preserve">Novo lawsuit settles without catastrophic damages or injunction against all compounding</w:t>
      </w:r>
    </w:p>
    <w:p>
      <w:pPr>
        <w:spacing w:after="80"/>
      </w:pPr>
    </w:p>
    <w:p>
      <w:pPr>
        <w:pStyle w:val="Heading2"/>
      </w:pPr>
      <w:r>
        <w:t xml:space="preserve">What Breaks the Story</w:t>
      </w:r>
    </w:p>
    <w:p>
      <w:pPr>
        <w:pStyle w:val="ListParagraph"/>
        <w:numPr>
          <w:ilvl w:val="0"/>
          <w:numId w:val="4"/>
        </w:numPr>
        <w:spacing w:after="80"/>
      </w:pPr>
      <w:r>
        <w:rPr>
          <w:rFonts w:ascii="Arial" w:cs="Arial" w:eastAsia="Arial" w:hAnsi="Arial"/>
          <w:color w:val="333333"/>
          <w:sz w:val="22"/>
          <w:szCs w:val="22"/>
        </w:rPr>
        <w:t xml:space="preserve">FDA enforcement expands beyond GLP-1 to all mass-compounded drugs, threatening the entire model</w:t>
      </w:r>
    </w:p>
    <w:p>
      <w:pPr>
        <w:pStyle w:val="ListParagraph"/>
        <w:numPr>
          <w:ilvl w:val="0"/>
          <w:numId w:val="4"/>
        </w:numPr>
        <w:spacing w:after="80"/>
      </w:pPr>
      <w:r>
        <w:rPr>
          <w:rFonts w:ascii="Arial" w:cs="Arial" w:eastAsia="Arial" w:hAnsi="Arial"/>
          <w:color w:val="333333"/>
          <w:sz w:val="22"/>
          <w:szCs w:val="22"/>
        </w:rPr>
        <w:t xml:space="preserve">DOJ referral leads to criminal investigation or consent decree</w:t>
      </w:r>
    </w:p>
    <w:p>
      <w:pPr>
        <w:pStyle w:val="ListParagraph"/>
        <w:numPr>
          <w:ilvl w:val="0"/>
          <w:numId w:val="4"/>
        </w:numPr>
        <w:spacing w:after="80"/>
      </w:pPr>
      <w:r>
        <w:rPr>
          <w:rFonts w:ascii="Arial" w:cs="Arial" w:eastAsia="Arial" w:hAnsi="Arial"/>
          <w:color w:val="333333"/>
          <w:sz w:val="22"/>
          <w:szCs w:val="22"/>
        </w:rPr>
        <w:t xml:space="preserve">Subscriber churn on core products accelerates as brand is damaged by regulatory confrontation</w:t>
      </w:r>
    </w:p>
    <w:p>
      <w:pPr>
        <w:pStyle w:val="ListParagraph"/>
        <w:numPr>
          <w:ilvl w:val="0"/>
          <w:numId w:val="4"/>
        </w:numPr>
        <w:spacing w:after="80"/>
      </w:pPr>
      <w:r>
        <w:rPr>
          <w:rFonts w:ascii="Arial" w:cs="Arial" w:eastAsia="Arial" w:hAnsi="Arial"/>
          <w:color w:val="333333"/>
          <w:sz w:val="22"/>
          <w:szCs w:val="22"/>
        </w:rPr>
        <w:t xml:space="preserve">Novo wins injunction covering all compounded semaglutide during trial</w:t>
      </w:r>
    </w:p>
    <w:p>
      <w:r>
        <w:br w:type="page"/>
      </w:r>
    </w:p>
    <w:p>
      <w:pPr>
        <w:pStyle w:val="Heading1"/>
      </w:pPr>
      <w:r>
        <w:t xml:space="preserve">5.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1560"/>
        <w:gridCol w:w="156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Risk</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Detect.</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Novo lawsuit results in injunction on all compounded semaglutide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Legal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FDA extends enforcement to non-GLP-1 compounded drugs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Regulatory</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0392B"/>
                <w:sz w:val="20"/>
                <w:szCs w:val="20"/>
              </w:rPr>
              <w:t xml:space="preserve">CRITICAL</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DOJ criminal investigation from HHS referral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Legal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GLP-1 subscriber churn cascades to core products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Business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C0392B"/>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Gross margin compression continues below 70%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Novo/Lilly branded partnership economics unattractive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Competitive</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Brand reputation damage from FDA confrontation</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Business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w:t>
            </w:r>
          </w:p>
        </w:tc>
      </w:tr>
      <w:tr>
        <w:tc>
          <w:tcPr>
            <w:tcW w:type="dxa" w:w="312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International expansion (ZAVA, Canada) underperforms</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Execution</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MEDIUM</w:t>
            </w:r>
          </w:p>
        </w:tc>
        <w:tc>
          <w:tcPr>
            <w:tcW w:type="dxa" w:w="1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w:t>
            </w:r>
          </w:p>
        </w:tc>
      </w:tr>
    </w:tbl>
    <w:p>
      <w:pPr>
        <w:spacing w:after="80"/>
      </w:pPr>
    </w:p>
    <w:p>
      <w:pPr>
        <w:spacing w:after="120" w:before="0"/>
        <w:jc w:val="left"/>
      </w:pPr>
      <w:r>
        <w:rPr>
          <w:rFonts w:ascii="Arial" w:cs="Arial" w:eastAsia="Arial" w:hAnsi="Arial"/>
          <w:b w:val="false"/>
          <w:bCs w:val="false"/>
          <w:i/>
          <w:iCs/>
          <w:color w:val="333333"/>
          <w:sz w:val="22"/>
          <w:szCs w:val="22"/>
        </w:rPr>
        <w:t xml:space="preserve">Note: The Novo lawsuit and FDA enforcement action represent a qualitative regime change in the risk profile. Pre-February 2026 risk assessments are no longer applicable.</w:t>
      </w:r>
    </w:p>
    <w:p>
      <w:r>
        <w:br w:type="page"/>
      </w:r>
    </w:p>
    <w:p>
      <w:pPr>
        <w:pStyle w:val="Heading1"/>
      </w:pPr>
      <w:r>
        <w:t xml:space="preserve">6. Competitive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HIMS</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Ro (Roman)</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LifeMD</w:t>
            </w:r>
          </w:p>
        </w:tc>
        <w:tc>
          <w:tcPr>
            <w:tcW w:type="dxa" w:w="1872"/>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r>
              <w:rPr>
                <w:rFonts w:ascii="Arial" w:cs="Arial" w:eastAsia="Arial" w:hAnsi="Arial"/>
                <w:b/>
                <w:bCs/>
                <w:color w:val="FFFFFF"/>
                <w:sz w:val="20"/>
                <w:szCs w:val="20"/>
              </w:rPr>
              <w:t xml:space="preserve">Teladoc</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Revenue Scale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27AE60"/>
                <w:sz w:val="20"/>
                <w:szCs w:val="20"/>
              </w:rPr>
              <w:t xml:space="preserve">~$2.35B</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~$600M (est.)</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~$200M</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~$2.5B</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Model</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DTC Rx + OTC</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Vertically integrated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DTC telehealth</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B2B2C + DTC</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GLP-1 Exposure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C0392B"/>
                <w:sz w:val="20"/>
                <w:szCs w:val="20"/>
              </w:rPr>
              <w:t xml:space="preserve">Very High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High (branded)</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Regulatory Risk</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C0392B"/>
                <w:sz w:val="20"/>
                <w:szCs w:val="20"/>
              </w:rPr>
              <w:t xml:space="preserve">Elevated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Lower</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Brand Strength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 consumer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Strong consumer</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Emerging</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Enterprise</w:t>
            </w:r>
          </w:p>
        </w:tc>
      </w:tr>
      <w:tr>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333333"/>
                <w:sz w:val="20"/>
                <w:szCs w:val="20"/>
              </w:rPr>
              <w:t xml:space="preserve">Pricing Power</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 (generic Rx)</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Low-Med</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Low</w:t>
            </w:r>
          </w:p>
        </w:tc>
        <w:tc>
          <w:tcPr>
            <w:tcW w:type="dxa" w:w="1872"/>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color w:val="333333"/>
                <w:sz w:val="20"/>
                <w:szCs w:val="20"/>
              </w:rPr>
              <w:t xml:space="preserve">Med (B2B)</w:t>
            </w:r>
          </w:p>
        </w:tc>
      </w:tr>
      <w:tr>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333333"/>
                <w:sz w:val="20"/>
                <w:szCs w:val="20"/>
              </w:rPr>
              <w:t xml:space="preserve">Moat Strength</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Narrow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Narrow</w:t>
            </w:r>
          </w:p>
        </w:tc>
        <w:tc>
          <w:tcPr>
            <w:tcW w:type="dxa" w:w="1872"/>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Moderate</w:t>
            </w:r>
          </w:p>
        </w:tc>
      </w:tr>
    </w:tbl>
    <w:p>
      <w:pPr>
        <w:spacing w:after="80"/>
      </w:pPr>
    </w:p>
    <w:p>
      <w:pPr>
        <w:spacing w:after="120" w:before="0"/>
        <w:jc w:val="left"/>
      </w:pPr>
      <w:r>
        <w:rPr>
          <w:rFonts w:ascii="Arial" w:cs="Arial" w:eastAsia="Arial" w:hAnsi="Arial"/>
          <w:b w:val="false"/>
          <w:bCs w:val="false"/>
          <w:i w:val="false"/>
          <w:iCs w:val="false"/>
          <w:color w:val="333333"/>
          <w:sz w:val="22"/>
          <w:szCs w:val="22"/>
        </w:rPr>
        <w:t xml:space="preserve">Key differentiator for HIMS: unmatched consumer brand awareness and subscriber scale in DTC telehealth. Key vulnerability: the business has limited pricing power (generic drugs are commodities) and the compounding arbitrage that drove growth is being eliminated. Ro’s vertically integrated model (own pharmacy, own diagnostics) may prove more defensible long-term.</w:t>
      </w:r>
    </w:p>
    <w:p>
      <w:r>
        <w:br w:type="page"/>
      </w:r>
    </w:p>
    <w:p>
      <w:pPr>
        <w:pStyle w:val="Heading1"/>
      </w:pPr>
      <w:r>
        <w:t xml:space="preserve">7. Investor Decision Frame</w:t>
      </w:r>
    </w:p>
    <w:p>
      <w:pPr>
        <w:spacing w:after="120" w:before="0"/>
        <w:jc w:val="left"/>
      </w:pPr>
      <w:r>
        <w:rPr>
          <w:rFonts w:ascii="Arial" w:cs="Arial" w:eastAsia="Arial" w:hAnsi="Arial"/>
          <w:b/>
          <w:bCs/>
          <w:i w:val="false"/>
          <w:iCs w:val="false"/>
          <w:color w:val="333333"/>
          <w:sz w:val="24"/>
          <w:szCs w:val="24"/>
        </w:rPr>
        <w:t xml:space="preserve">Investor Profile: Growth / Asymmetric</w:t>
      </w:r>
    </w:p>
    <w:p>
      <w:pPr>
        <w:spacing w:after="80"/>
      </w:pPr>
    </w:p>
    <w:p>
      <w:pPr>
        <w:pStyle w:val="Heading2"/>
      </w:pPr>
      <w:r>
        <w:t xml:space="preserve">Why This Is Investable</w:t>
      </w:r>
    </w:p>
    <w:p>
      <w:pPr>
        <w:pStyle w:val="ListParagraph"/>
        <w:numPr>
          <w:ilvl w:val="0"/>
          <w:numId w:val="5"/>
        </w:numPr>
        <w:spacing w:after="80"/>
      </w:pPr>
      <w:r>
        <w:rPr>
          <w:rFonts w:ascii="Arial" w:cs="Arial" w:eastAsia="Arial" w:hAnsi="Arial"/>
          <w:b/>
          <w:bCs/>
          <w:color w:val="333333"/>
          <w:sz w:val="22"/>
          <w:szCs w:val="22"/>
        </w:rPr>
        <w:t xml:space="preserve">Valuation compression is extreme: </w:t>
      </w:r>
      <w:r>
        <w:rPr>
          <w:rFonts w:ascii="Arial" w:cs="Arial" w:eastAsia="Arial" w:hAnsi="Arial"/>
          <w:color w:val="333333"/>
          <w:sz w:val="22"/>
          <w:szCs w:val="22"/>
        </w:rPr>
        <w:t xml:space="preserve">At ~1.5x FY2025E revenue, the market is pricing in near-total destruction of the growth story. The core non-GLP-1 business alone may be worth more than the current market cap.</w:t>
      </w:r>
    </w:p>
    <w:p>
      <w:pPr>
        <w:pStyle w:val="ListParagraph"/>
        <w:numPr>
          <w:ilvl w:val="0"/>
          <w:numId w:val="5"/>
        </w:numPr>
        <w:spacing w:after="80"/>
      </w:pPr>
      <w:r>
        <w:rPr>
          <w:rFonts w:ascii="Arial" w:cs="Arial" w:eastAsia="Arial" w:hAnsi="Arial"/>
          <w:b/>
          <w:bCs/>
          <w:color w:val="333333"/>
          <w:sz w:val="22"/>
          <w:szCs w:val="22"/>
        </w:rPr>
        <w:t xml:space="preserve">Platform economics remain intact: </w:t>
      </w:r>
      <w:r>
        <w:rPr>
          <w:rFonts w:ascii="Arial" w:cs="Arial" w:eastAsia="Arial" w:hAnsi="Arial"/>
          <w:color w:val="333333"/>
          <w:sz w:val="22"/>
          <w:szCs w:val="22"/>
        </w:rPr>
        <w:t xml:space="preserve">2.5M subscribers, proven acquisition engine, expanding into new verticals. The platform existed before GLP-1 and can exist after.</w:t>
      </w:r>
    </w:p>
    <w:p>
      <w:pPr>
        <w:pStyle w:val="ListParagraph"/>
        <w:numPr>
          <w:ilvl w:val="0"/>
          <w:numId w:val="5"/>
        </w:numPr>
        <w:spacing w:after="80"/>
      </w:pPr>
      <w:r>
        <w:rPr>
          <w:rFonts w:ascii="Arial" w:cs="Arial" w:eastAsia="Arial" w:hAnsi="Arial"/>
          <w:b/>
          <w:bCs/>
          <w:color w:val="333333"/>
          <w:sz w:val="22"/>
          <w:szCs w:val="22"/>
        </w:rPr>
        <w:t xml:space="preserve">Asymmetric risk/reward: </w:t>
      </w:r>
      <w:r>
        <w:rPr>
          <w:rFonts w:ascii="Arial" w:cs="Arial" w:eastAsia="Arial" w:hAnsi="Arial"/>
          <w:color w:val="333333"/>
          <w:sz w:val="22"/>
          <w:szCs w:val="22"/>
        </w:rPr>
        <w:t xml:space="preserve">If the core business is worth even 3x its ~$1.5B revenue, that’s $4.5B—25%+ upside from here. The bull case is multiples of that.</w:t>
      </w:r>
    </w:p>
    <w:p>
      <w:pPr>
        <w:spacing w:after="80"/>
      </w:pPr>
    </w:p>
    <w:p>
      <w:pPr>
        <w:pStyle w:val="Heading2"/>
      </w:pPr>
      <w:r>
        <w:t xml:space="preserve">Why It Might Be a Trap</w:t>
      </w:r>
    </w:p>
    <w:p>
      <w:pPr>
        <w:pStyle w:val="ListParagraph"/>
        <w:numPr>
          <w:ilvl w:val="0"/>
          <w:numId w:val="6"/>
        </w:numPr>
        <w:spacing w:after="80"/>
      </w:pPr>
      <w:r>
        <w:rPr>
          <w:rFonts w:ascii="Arial" w:cs="Arial" w:eastAsia="Arial" w:hAnsi="Arial"/>
          <w:b/>
          <w:bCs/>
          <w:color w:val="333333"/>
          <w:sz w:val="22"/>
          <w:szCs w:val="22"/>
        </w:rPr>
        <w:t xml:space="preserve">Regulatory regime change: </w:t>
      </w:r>
      <w:r>
        <w:rPr>
          <w:rFonts w:ascii="Arial" w:cs="Arial" w:eastAsia="Arial" w:hAnsi="Arial"/>
          <w:color w:val="333333"/>
          <w:sz w:val="22"/>
          <w:szCs w:val="22"/>
        </w:rPr>
        <w:t xml:space="preserve">The FDA enforcement + Novo lawsuit + DOJ referral combination could threaten the broader compounding model, not just GLP-1s. If mass compounding of any patented API is deemed illegal, HIMS’s entire model is at risk.</w:t>
      </w:r>
    </w:p>
    <w:p>
      <w:pPr>
        <w:pStyle w:val="ListParagraph"/>
        <w:numPr>
          <w:ilvl w:val="0"/>
          <w:numId w:val="6"/>
        </w:numPr>
        <w:spacing w:after="80"/>
      </w:pPr>
      <w:r>
        <w:rPr>
          <w:rFonts w:ascii="Arial" w:cs="Arial" w:eastAsia="Arial" w:hAnsi="Arial"/>
          <w:b/>
          <w:bCs/>
          <w:color w:val="333333"/>
          <w:sz w:val="22"/>
          <w:szCs w:val="22"/>
        </w:rPr>
        <w:t xml:space="preserve">Revenue cliff visibility is zero: </w:t>
      </w:r>
      <w:r>
        <w:rPr>
          <w:rFonts w:ascii="Arial" w:cs="Arial" w:eastAsia="Arial" w:hAnsi="Arial"/>
          <w:color w:val="333333"/>
          <w:sz w:val="22"/>
          <w:szCs w:val="22"/>
        </w:rPr>
        <w:t xml:space="preserve">We do not know how quickly GLP-1 compounding revenue will disappear, whether it happens via injunction or gradual FDA enforcement. Q4 2025 results (Feb 23) will be the first real data point.</w:t>
      </w:r>
    </w:p>
    <w:p>
      <w:pPr>
        <w:pStyle w:val="ListParagraph"/>
        <w:numPr>
          <w:ilvl w:val="0"/>
          <w:numId w:val="6"/>
        </w:numPr>
        <w:spacing w:after="80"/>
      </w:pPr>
      <w:r>
        <w:rPr>
          <w:rFonts w:ascii="Arial" w:cs="Arial" w:eastAsia="Arial" w:hAnsi="Arial"/>
          <w:b/>
          <w:bCs/>
          <w:color w:val="333333"/>
          <w:sz w:val="22"/>
          <w:szCs w:val="22"/>
        </w:rPr>
        <w:t xml:space="preserve">Brand damage may be durable: </w:t>
      </w:r>
      <w:r>
        <w:rPr>
          <w:rFonts w:ascii="Arial" w:cs="Arial" w:eastAsia="Arial" w:hAnsi="Arial"/>
          <w:color w:val="333333"/>
          <w:sz w:val="22"/>
          <w:szCs w:val="22"/>
        </w:rPr>
        <w:t xml:space="preserve">Being sued by Novo, referred to DOJ by HHS, and called out by the FDA for selling “unapproved knock-offs” is not a trivial brand event for a healthcare company.</w:t>
      </w:r>
    </w:p>
    <w:p>
      <w:pPr>
        <w:spacing w:after="80"/>
      </w:pPr>
    </w:p>
    <w:p>
      <w:pPr>
        <w:pStyle w:val="Heading2"/>
      </w:pPr>
      <w:r>
        <w:t xml:space="preserve">Decision Signals to Monitor</w:t>
      </w:r>
    </w:p>
    <w:p>
      <w:pPr>
        <w:pStyle w:val="ListParagraph"/>
        <w:numPr>
          <w:ilvl w:val="0"/>
          <w:numId w:val="7"/>
        </w:numPr>
        <w:spacing w:after="80"/>
      </w:pPr>
      <w:r>
        <w:rPr>
          <w:rFonts w:ascii="Arial" w:cs="Arial" w:eastAsia="Arial" w:hAnsi="Arial"/>
          <w:b/>
          <w:bCs/>
          <w:color w:val="333333"/>
          <w:sz w:val="22"/>
          <w:szCs w:val="22"/>
        </w:rPr>
        <w:t xml:space="preserve">Feb 23 earnings: </w:t>
      </w:r>
      <w:r>
        <w:rPr>
          <w:rFonts w:ascii="Arial" w:cs="Arial" w:eastAsia="Arial" w:hAnsi="Arial"/>
          <w:color w:val="333333"/>
          <w:sz w:val="22"/>
          <w:szCs w:val="22"/>
        </w:rPr>
        <w:t xml:space="preserve">Q4 2025 results and FY2026 guidance will reveal management’s view of the GLP-1 revenue impact</w:t>
      </w:r>
    </w:p>
    <w:p>
      <w:pPr>
        <w:pStyle w:val="ListParagraph"/>
        <w:numPr>
          <w:ilvl w:val="0"/>
          <w:numId w:val="7"/>
        </w:numPr>
        <w:spacing w:after="80"/>
      </w:pPr>
      <w:r>
        <w:rPr>
          <w:rFonts w:ascii="Arial" w:cs="Arial" w:eastAsia="Arial" w:hAnsi="Arial"/>
          <w:b/>
          <w:bCs/>
          <w:color w:val="333333"/>
          <w:sz w:val="22"/>
          <w:szCs w:val="22"/>
        </w:rPr>
        <w:t xml:space="preserve">Core subscriber retention: </w:t>
      </w:r>
      <w:r>
        <w:rPr>
          <w:rFonts w:ascii="Arial" w:cs="Arial" w:eastAsia="Arial" w:hAnsi="Arial"/>
          <w:color w:val="333333"/>
          <w:sz w:val="22"/>
          <w:szCs w:val="22"/>
        </w:rPr>
        <w:t xml:space="preserve">Are non-GLP-1 subscribers still growing? This is THE metric.</w:t>
      </w:r>
    </w:p>
    <w:p>
      <w:pPr>
        <w:pStyle w:val="ListParagraph"/>
        <w:numPr>
          <w:ilvl w:val="0"/>
          <w:numId w:val="7"/>
        </w:numPr>
        <w:spacing w:after="80"/>
      </w:pPr>
      <w:r>
        <w:rPr>
          <w:rFonts w:ascii="Arial" w:cs="Arial" w:eastAsia="Arial" w:hAnsi="Arial"/>
          <w:b/>
          <w:bCs/>
          <w:color w:val="333333"/>
          <w:sz w:val="22"/>
          <w:szCs w:val="22"/>
        </w:rPr>
        <w:t xml:space="preserve">Novo lawsuit trajectory: </w:t>
      </w:r>
      <w:r>
        <w:rPr>
          <w:rFonts w:ascii="Arial" w:cs="Arial" w:eastAsia="Arial" w:hAnsi="Arial"/>
          <w:color w:val="333333"/>
          <w:sz w:val="22"/>
          <w:szCs w:val="22"/>
        </w:rPr>
        <w:t xml:space="preserve">Is HIMS granted a preliminary injunction or does it settle? Timeline and terms matter enormously.</w:t>
      </w:r>
    </w:p>
    <w:p>
      <w:pPr>
        <w:pStyle w:val="ListParagraph"/>
        <w:numPr>
          <w:ilvl w:val="0"/>
          <w:numId w:val="7"/>
        </w:numPr>
        <w:spacing w:after="80"/>
      </w:pPr>
      <w:r>
        <w:rPr>
          <w:rFonts w:ascii="Arial" w:cs="Arial" w:eastAsia="Arial" w:hAnsi="Arial"/>
          <w:b/>
          <w:bCs/>
          <w:color w:val="333333"/>
          <w:sz w:val="22"/>
          <w:szCs w:val="22"/>
        </w:rPr>
        <w:t xml:space="preserve">FDA enforcement scope: </w:t>
      </w:r>
      <w:r>
        <w:rPr>
          <w:rFonts w:ascii="Arial" w:cs="Arial" w:eastAsia="Arial" w:hAnsi="Arial"/>
          <w:color w:val="333333"/>
          <w:sz w:val="22"/>
          <w:szCs w:val="22"/>
        </w:rPr>
        <w:t xml:space="preserve">Does enforcement stay limited to GLP-1 or extend to other compounded APIs?</w:t>
      </w:r>
    </w:p>
    <w:p>
      <w:pPr>
        <w:spacing w:after="80"/>
      </w:pPr>
    </w:p>
    <w:p>
      <w:pPr>
        <w:spacing w:after="100"/>
      </w:pPr>
      <w:r>
        <w:rPr>
          <w:rFonts w:ascii="Arial" w:cs="Arial" w:eastAsia="Arial" w:hAnsi="Arial"/>
          <w:b/>
          <w:bCs/>
          <w:color w:val="333333"/>
          <w:sz w:val="22"/>
          <w:szCs w:val="22"/>
        </w:rPr>
        <w:t xml:space="preserve">Single Most Important Metric: </w:t>
      </w:r>
      <w:r>
        <w:rPr>
          <w:rFonts w:ascii="Arial" w:cs="Arial" w:eastAsia="Arial" w:hAnsi="Arial"/>
          <w:color w:val="333333"/>
          <w:sz w:val="22"/>
          <w:szCs w:val="22"/>
        </w:rPr>
        <w:t xml:space="preserve">Non-GLP-1 subscriber net additions in Q4 2025 and Q1 2026 guidance.</w:t>
      </w:r>
    </w:p>
    <w:p>
      <w:r>
        <w:br w:type="page"/>
      </w:r>
    </w:p>
    <w:p>
      <w:pPr>
        <w:pStyle w:val="Heading1"/>
      </w:pPr>
      <w:r>
        <w:t xml:space="preserve">8. Final Verdict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4"/>
                <w:szCs w:val="24"/>
              </w:rPr>
              <w:t xml:space="preserve">Rating</w:t>
            </w:r>
          </w:p>
        </w:tc>
        <w:tc>
          <w:tcPr>
            <w:tcW w:type="dxa" w:w="6240"/>
            <w:tcBorders>
              <w:top w:val="single" w:color="CCCCCC" w:sz="1"/>
              <w:left w:val="single" w:color="CCCCCC" w:sz="1"/>
              <w:bottom w:val="single" w:color="CCCCCC" w:sz="1"/>
              <w:right w:val="single" w:color="CCCCCC" w:sz="1"/>
            </w:tcBorders>
            <w:shd w:fill="FFF3CD" w:val="clear"/>
            <w:tcMar>
              <w:top w:type="dxa" w:w="60"/>
              <w:left w:type="dxa" w:w="100"/>
              <w:bottom w:type="dxa" w:w="60"/>
              <w:right w:type="dxa" w:w="100"/>
            </w:tcMar>
          </w:tcPr>
          <w:p>
            <w:r>
              <w:rPr>
                <w:rFonts w:ascii="Arial" w:cs="Arial" w:eastAsia="Arial" w:hAnsi="Arial"/>
                <w:b/>
                <w:bCs/>
                <w:color w:val="D4880F"/>
                <w:sz w:val="24"/>
                <w:szCs w:val="24"/>
              </w:rPr>
              <w:t xml:space="preserve">WATCH — Do Not Buy Before Feb 23 Earnings</w:t>
            </w:r>
          </w:p>
        </w:tc>
      </w:tr>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4"/>
                <w:szCs w:val="24"/>
              </w:rPr>
              <w:t xml:space="preserve">Confidence</w:t>
            </w:r>
          </w:p>
        </w:tc>
        <w:tc>
          <w:tcPr>
            <w:tcW w:type="dxa" w:w="62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333333"/>
                <w:sz w:val="24"/>
                <w:szCs w:val="24"/>
              </w:rPr>
              <w:t xml:space="preserve">MEDIUM — High conviction on the framework, low visibility on GLP-1 resolution</w:t>
            </w:r>
          </w:p>
        </w:tc>
      </w:tr>
    </w:tbl>
    <w:p>
      <w:pPr>
        <w:spacing w:after="80"/>
      </w:pPr>
    </w:p>
    <w:p>
      <w:pPr>
        <w:pStyle w:val="Heading2"/>
      </w:pPr>
      <w:r>
        <w:t xml:space="preserve">Rationale</w:t>
      </w:r>
    </w:p>
    <w:p>
      <w:pPr>
        <w:spacing w:after="160"/>
      </w:pPr>
      <w:r>
        <w:rPr>
          <w:rFonts w:ascii="Arial" w:cs="Arial" w:eastAsia="Arial" w:hAnsi="Arial"/>
          <w:color w:val="333333"/>
          <w:sz w:val="22"/>
          <w:szCs w:val="22"/>
        </w:rPr>
        <w:t xml:space="preserve">HIMS presents a genuinely asymmetric setup for a growth-oriented investor, but the timing is premature. The stock has been cut in half in the past two weeks on real, not speculative, fundamental threats. The Feb 23 earnings call is the single most important catalyst: it will reveal (a) how much GLP-1 revenue has already been impaired, (b) whether the core business is holding, and (c) management’s credible path forward.</w:t>
      </w:r>
    </w:p>
    <w:p>
      <w:pPr>
        <w:spacing w:after="160"/>
      </w:pPr>
      <w:r>
        <w:rPr>
          <w:rFonts w:ascii="Arial" w:cs="Arial" w:eastAsia="Arial" w:hAnsi="Arial"/>
          <w:color w:val="333333"/>
          <w:sz w:val="22"/>
          <w:szCs w:val="22"/>
        </w:rPr>
        <w:t xml:space="preserve">Buying before that data point is speculating on the outcome of a patent lawsuit and FDA enforcement action with zero edge. Buying after, with visibility on 2026 guidance and core subscriber trends, transforms this from a lottery ticket into a calculable risk/reward.</w:t>
      </w:r>
    </w:p>
    <w:p>
      <w:pPr>
        <w:spacing w:after="80"/>
      </w:pPr>
    </w:p>
    <w:p>
      <w:pPr>
        <w:pStyle w:val="Heading2"/>
      </w:pPr>
      <w:r>
        <w:t xml:space="preserve">What Would Make This a Stronger Opportunity</w:t>
      </w:r>
    </w:p>
    <w:p>
      <w:pPr>
        <w:pStyle w:val="ListParagraph"/>
        <w:numPr>
          <w:ilvl w:val="0"/>
          <w:numId w:val="8"/>
        </w:numPr>
        <w:spacing w:after="80"/>
      </w:pPr>
      <w:r>
        <w:rPr>
          <w:rFonts w:ascii="Arial" w:cs="Arial" w:eastAsia="Arial" w:hAnsi="Arial"/>
          <w:color w:val="333333"/>
          <w:sz w:val="22"/>
          <w:szCs w:val="22"/>
        </w:rPr>
        <w:t xml:space="preserve">Feb 23 guidance shows core (non-GLP-1) revenue growing 25%+ with stable subscriber retention</w:t>
      </w:r>
    </w:p>
    <w:p>
      <w:pPr>
        <w:pStyle w:val="ListParagraph"/>
        <w:numPr>
          <w:ilvl w:val="0"/>
          <w:numId w:val="8"/>
        </w:numPr>
        <w:spacing w:after="80"/>
      </w:pPr>
      <w:r>
        <w:rPr>
          <w:rFonts w:ascii="Arial" w:cs="Arial" w:eastAsia="Arial" w:hAnsi="Arial"/>
          <w:color w:val="333333"/>
          <w:sz w:val="22"/>
          <w:szCs w:val="22"/>
        </w:rPr>
        <w:t xml:space="preserve">Novo settlement that allows continued branded partnership without punitive damages</w:t>
      </w:r>
    </w:p>
    <w:p>
      <w:pPr>
        <w:pStyle w:val="ListParagraph"/>
        <w:numPr>
          <w:ilvl w:val="0"/>
          <w:numId w:val="8"/>
        </w:numPr>
        <w:spacing w:after="80"/>
      </w:pPr>
      <w:r>
        <w:rPr>
          <w:rFonts w:ascii="Arial" w:cs="Arial" w:eastAsia="Arial" w:hAnsi="Arial"/>
          <w:color w:val="333333"/>
          <w:sz w:val="22"/>
          <w:szCs w:val="22"/>
        </w:rPr>
        <w:t xml:space="preserve">FDA enforcement explicitly scoped to GLP-1 only, leaving other compounding verticals intact</w:t>
      </w:r>
    </w:p>
    <w:p>
      <w:pPr>
        <w:pStyle w:val="ListParagraph"/>
        <w:numPr>
          <w:ilvl w:val="0"/>
          <w:numId w:val="8"/>
        </w:numPr>
        <w:spacing w:after="80"/>
      </w:pPr>
      <w:r>
        <w:rPr>
          <w:rFonts w:ascii="Arial" w:cs="Arial" w:eastAsia="Arial" w:hAnsi="Arial"/>
          <w:color w:val="333333"/>
          <w:sz w:val="22"/>
          <w:szCs w:val="22"/>
        </w:rPr>
        <w:t xml:space="preserve">Stock stabilizes at $12–16 range post-earnings, creating a clear floor to build a position</w:t>
      </w:r>
    </w:p>
    <w:p>
      <w:pPr>
        <w:spacing w:after="80"/>
      </w:pPr>
    </w:p>
    <w:p>
      <w:pPr>
        <w:spacing w:after="80"/>
      </w:pPr>
    </w:p>
    <w:p>
      <w:pPr>
        <w:pBdr>
          <w:top w:val="single" w:color="CCCCCC" w:sz="4" w:space="8"/>
        </w:pBdr>
        <w:spacing w:before="200" w:after="80"/>
      </w:pPr>
      <w:r>
        <w:rPr>
          <w:rFonts w:ascii="Arial" w:cs="Arial" w:eastAsia="Arial" w:hAnsi="Arial"/>
          <w:b/>
          <w:bCs/>
          <w:color w:val="666666"/>
          <w:sz w:val="18"/>
          <w:szCs w:val="18"/>
        </w:rPr>
        <w:t xml:space="preserve">DISCLAIMER</w:t>
      </w:r>
    </w:p>
    <w:p>
      <w:pPr>
        <w:spacing w:after="80"/>
      </w:pPr>
      <w:r>
        <w:rPr>
          <w:rFonts w:ascii="Arial" w:cs="Arial" w:eastAsia="Arial" w:hAnsi="Arial"/>
          <w:i/>
          <w:iCs/>
          <w:color w:val="666666"/>
          <w:sz w:val="18"/>
          <w:szCs w:val="18"/>
        </w:rPr>
        <w:t xml:space="preserve">This report is for informational and educational purposes only and does not constitute investment advice, a recommendation to buy or sell any security, or an offer or solicitation. All data is sourced from public filings, earnings releases, and news reports as of February 13, 2026. Forward-looking statements and scenario analyses are based on assumptions that may prove incorrect. Past performance is not indicative of future results. Investors should conduct their own due diligence and consult with a qualified financial advisor before making investment decisions. The author may or may not hold positions in HIMS.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666666"/>
        <w:sz w:val="16"/>
        <w:szCs w:val="16"/>
      </w:rPr>
      <w:t xml:space="preserve">CONFIDENTIAL  |  For Informational Purposes Only  |  Not Investment Advice  |  February 13,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666666"/>
        <w:sz w:val="18"/>
        <w:szCs w:val="18"/>
      </w:rPr>
      <w:t xml:space="preserve">INSTITUTIONAL RESEARCH  |  </w:t>
    </w:r>
    <w:r>
      <w:rPr>
        <w:rFonts w:ascii="Arial" w:cs="Arial" w:eastAsia="Arial" w:hAnsi="Arial"/>
        <w:b/>
        <w:bCs/>
        <w:color w:val="1B3A5C"/>
        <w:sz w:val="18"/>
        <w:szCs w:val="18"/>
      </w:rPr>
      <w:t xml:space="preserve">HIMS &amp; HERS HEALTH (NYSE: HIMS)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6" w:space="4"/>
      </w:pBd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2026-02-13T12:48:55.283Z</dcterms:created>
  <dcterms:modified xsi:type="dcterms:W3CDTF">2026-02-13T12:48:55.283Z</dcterms:modified>
</cp:coreProperties>
</file>

<file path=docProps/custom.xml><?xml version="1.0" encoding="utf-8"?>
<Properties xmlns="http://schemas.openxmlformats.org/officeDocument/2006/custom-properties" xmlns:vt="http://schemas.openxmlformats.org/officeDocument/2006/docPropsVTypes"/>
</file>