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0"/>
      </w:pPr>
      <w:r>
        <w:t xml:space="preserve"/>
      </w:r>
    </w:p>
    <w:p>
      <w:pPr>
        <w:spacing w:after="100"/>
        <w:jc w:val="center"/>
      </w:pPr>
      <w:r>
        <w:rPr>
          <w:rFonts w:ascii="Arial" w:cs="Arial" w:eastAsia="Arial" w:hAnsi="Arial"/>
          <w:b/>
          <w:bCs/>
          <w:color w:val="0F6E56"/>
          <w:sz w:val="64"/>
          <w:szCs w:val="64"/>
        </w:rPr>
        <w:t xml:space="preserve">PropWise</w:t>
      </w:r>
    </w:p>
    <w:p>
      <w:pPr>
        <w:spacing w:after="160"/>
        <w:jc w:val="center"/>
      </w:pPr>
      <w:r>
        <w:rPr>
          <w:rFonts w:ascii="Arial" w:cs="Arial" w:eastAsia="Arial" w:hAnsi="Arial"/>
          <w:color w:val="444444"/>
          <w:sz w:val="32"/>
          <w:szCs w:val="32"/>
        </w:rPr>
        <w:t xml:space="preserve">AI and Machine Learning Model Specification</w:t>
      </w:r>
    </w:p>
    <w:p>
      <w:pPr>
        <w:spacing w:after="200"/>
        <w:jc w:val="center"/>
      </w:pPr>
      <w:r>
        <w:rPr>
          <w:rFonts w:ascii="Arial" w:cs="Arial" w:eastAsia="Arial" w:hAnsi="Arial"/>
          <w:i/>
          <w:iCs/>
          <w:color w:val="666666"/>
          <w:sz w:val="22"/>
          <w:szCs w:val="22"/>
        </w:rPr>
        <w:t xml:space="preserve">Valuation model, news classification, and investment scoring</w:t>
      </w:r>
    </w:p>
    <w:p>
      <w:pPr>
        <w:spacing w:after="200" w:before="0"/>
      </w:pPr>
      <w:r>
        <w:t xml:space="preserve"/>
      </w:r>
    </w:p>
    <w:p>
      <w:pPr>
        <w:spacing w:after="40"/>
        <w:jc w:val="center"/>
      </w:pPr>
      <w:r>
        <w:rPr>
          <w:rFonts w:ascii="Arial" w:cs="Arial" w:eastAsia="Arial" w:hAnsi="Arial"/>
          <w:b/>
          <w:bCs/>
          <w:color w:val="1A1A1A"/>
          <w:sz w:val="20"/>
          <w:szCs w:val="20"/>
        </w:rPr>
        <w:t xml:space="preserve">Document Owner:  </w:t>
      </w:r>
      <w:r>
        <w:rPr>
          <w:rFonts w:ascii="Arial" w:cs="Arial" w:eastAsia="Arial" w:hAnsi="Arial"/>
          <w:color w:val="444444"/>
          <w:sz w:val="20"/>
          <w:szCs w:val="20"/>
        </w:rPr>
        <w:t xml:space="preserve">SURG Solutions Limited</w:t>
      </w:r>
    </w:p>
    <w:p>
      <w:pPr>
        <w:spacing w:after="40"/>
        <w:jc w:val="center"/>
      </w:pPr>
      <w:r>
        <w:rPr>
          <w:rFonts w:ascii="Arial" w:cs="Arial" w:eastAsia="Arial" w:hAnsi="Arial"/>
          <w:b/>
          <w:bCs/>
          <w:color w:val="1A1A1A"/>
          <w:sz w:val="20"/>
          <w:szCs w:val="20"/>
        </w:rPr>
        <w:t xml:space="preserve">Status:  </w:t>
      </w:r>
      <w:r>
        <w:rPr>
          <w:rFonts w:ascii="Arial" w:cs="Arial" w:eastAsia="Arial" w:hAnsi="Arial"/>
          <w:color w:val="444444"/>
          <w:sz w:val="20"/>
          <w:szCs w:val="20"/>
        </w:rPr>
        <w:t xml:space="preserve">Draft v1.0 — Ideation and Planning</w:t>
      </w:r>
    </w:p>
    <w:p>
      <w:pPr>
        <w:spacing w:after="40"/>
        <w:jc w:val="center"/>
      </w:pPr>
      <w:r>
        <w:rPr>
          <w:rFonts w:ascii="Arial" w:cs="Arial" w:eastAsia="Arial" w:hAnsi="Arial"/>
          <w:b/>
          <w:bCs/>
          <w:color w:val="1A1A1A"/>
          <w:sz w:val="20"/>
          <w:szCs w:val="20"/>
        </w:rPr>
        <w:t xml:space="preserve">MVP Approach:  </w:t>
      </w:r>
      <w:r>
        <w:rPr>
          <w:rFonts w:ascii="Arial" w:cs="Arial" w:eastAsia="Arial" w:hAnsi="Arial"/>
          <w:color w:val="444444"/>
          <w:sz w:val="20"/>
          <w:szCs w:val="20"/>
        </w:rPr>
        <w:t xml:space="preserve">LLM-based classification; custom model post-MVP</w:t>
      </w:r>
    </w:p>
    <w:p>
      <w:pPr>
        <w:spacing w:after="40"/>
        <w:jc w:val="center"/>
      </w:pPr>
      <w:r>
        <w:rPr>
          <w:rFonts w:ascii="Arial" w:cs="Arial" w:eastAsia="Arial" w:hAnsi="Arial"/>
          <w:b/>
          <w:bCs/>
          <w:color w:val="1A1A1A"/>
          <w:sz w:val="20"/>
          <w:szCs w:val="20"/>
        </w:rPr>
        <w:t xml:space="preserve">Date:  </w:t>
      </w:r>
      <w:r>
        <w:rPr>
          <w:rFonts w:ascii="Arial" w:cs="Arial" w:eastAsia="Arial" w:hAnsi="Arial"/>
          <w:color w:val="444444"/>
          <w:sz w:val="20"/>
          <w:szCs w:val="20"/>
        </w:rPr>
        <w:t xml:space="preserve">June 2026</w:t>
      </w:r>
    </w:p>
    <w:p>
      <w:pPr>
        <w:spacing w:after="800" w:before="0"/>
      </w:pPr>
      <w:r>
        <w:t xml:space="preserve"/>
      </w:r>
    </w:p>
    <w:p>
      <w:r>
        <w:br w:type="page"/>
      </w:r>
    </w:p>
    <w:p>
      <w:pPr>
        <w:pStyle w:val="Heading1"/>
        <w:spacing w:after="160" w:before="360"/>
      </w:pPr>
      <w:r>
        <w:rPr>
          <w:rFonts w:ascii="Arial" w:cs="Arial" w:eastAsia="Arial" w:hAnsi="Arial"/>
          <w:b/>
          <w:bCs/>
          <w:color w:val="0F6E56"/>
          <w:sz w:val="30"/>
          <w:szCs w:val="30"/>
        </w:rPr>
        <w:t xml:space="preserve">1. Purpose and Scope</w:t>
      </w:r>
    </w:p>
    <w:p>
      <w:pPr>
        <w:spacing w:after="80" w:before="80"/>
      </w:pPr>
      <w:r>
        <w:rPr>
          <w:rFonts w:ascii="Arial" w:cs="Arial" w:eastAsia="Arial" w:hAnsi="Arial"/>
          <w:color w:val="1A1A1A"/>
          <w:sz w:val="21"/>
          <w:szCs w:val="21"/>
        </w:rPr>
        <w:t xml:space="preserve">This document specifies the AI and machine learning components underpinning PropWise's three model-driven features: AI Property Valuation, the News Signal Layer, and the Investment Score. It defines the MVP approach for each, the data each model consumes, how outputs are validated, and the planned evolution from MVP to a custom-trained model post-launch.</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1F5EE" w:val="clear"/>
            <w:tcMar>
              <w:top w:type="dxa" w:w="140"/>
              <w:left w:type="dxa" w:w="200"/>
              <w:bottom w:type="dxa" w:w="140"/>
              <w:right w:type="dxa" w:w="200"/>
            </w:tcMar>
          </w:tcPr>
          <w:p>
            <w:pPr>
              <w:spacing w:after="60"/>
            </w:pPr>
            <w:r>
              <w:rPr>
                <w:rFonts w:ascii="Arial" w:cs="Arial" w:eastAsia="Arial" w:hAnsi="Arial"/>
                <w:b/>
                <w:bCs/>
                <w:color w:val="0F6E56"/>
                <w:sz w:val="21"/>
                <w:szCs w:val="21"/>
              </w:rPr>
              <w:t xml:space="preserve">MVP Strategy</w:t>
            </w:r>
          </w:p>
          <w:p>
            <w:r>
              <w:rPr>
                <w:rFonts w:ascii="Arial" w:cs="Arial" w:eastAsia="Arial" w:hAnsi="Arial"/>
                <w:color w:val="1A1A1A"/>
                <w:sz w:val="21"/>
                <w:szCs w:val="21"/>
              </w:rPr>
              <w:t xml:space="preserve">At MVP stage, PropWise uses the Claude API as the classification and reasoning engine for unstructured data (news, planning applications), rather than training custom models. This avoids the cost and lead time of building a training pipeline before product-market fit is established. The valuation engine itself uses a transparent statistical model (not an LLM), since pricing predictions require explainability and consistency that general-purpose LLMs do not reliably guarantee.</w:t>
            </w:r>
          </w:p>
        </w:tc>
      </w:tr>
    </w:tbl>
    <w:p>
      <w:pPr>
        <w:pBdr>
          <w:bottom w:val="single" w:color="0F6E56" w:sz="4" w:space="1"/>
        </w:pBdr>
        <w:spacing w:after="200" w:before="160"/>
      </w:pPr>
      <w:r>
        <w:t xml:space="preserve"/>
      </w:r>
    </w:p>
    <w:p>
      <w:pPr>
        <w:pStyle w:val="Heading1"/>
        <w:spacing w:after="160" w:before="360"/>
      </w:pPr>
      <w:r>
        <w:rPr>
          <w:rFonts w:ascii="Arial" w:cs="Arial" w:eastAsia="Arial" w:hAnsi="Arial"/>
          <w:b/>
          <w:bCs/>
          <w:color w:val="0F6E56"/>
          <w:sz w:val="30"/>
          <w:szCs w:val="30"/>
        </w:rPr>
        <w:t xml:space="preserve">2. Component 1: AI Property Valuation Model</w:t>
      </w:r>
    </w:p>
    <w:p>
      <w:pPr>
        <w:pStyle w:val="Heading2"/>
        <w:spacing w:after="120" w:before="280"/>
      </w:pPr>
      <w:r>
        <w:rPr>
          <w:rFonts w:ascii="Arial" w:cs="Arial" w:eastAsia="Arial" w:hAnsi="Arial"/>
          <w:b/>
          <w:bCs/>
          <w:color w:val="1A1A1A"/>
          <w:sz w:val="25"/>
          <w:szCs w:val="25"/>
        </w:rPr>
        <w:t xml:space="preserve">2.1 Model Type</w:t>
      </w:r>
    </w:p>
    <w:p>
      <w:pPr>
        <w:spacing w:after="80" w:before="80"/>
      </w:pPr>
      <w:r>
        <w:rPr>
          <w:rFonts w:ascii="Arial" w:cs="Arial" w:eastAsia="Arial" w:hAnsi="Arial"/>
          <w:color w:val="1A1A1A"/>
          <w:sz w:val="21"/>
          <w:szCs w:val="21"/>
        </w:rPr>
        <w:t xml:space="preserve">A hedonic pricing model — a standard, well-established approach in real estate valuation (used by Zoopla's AVM, among others). This is a weighted regression model, not an LLM. It estimates a property's value as a function of its characteristics and recent comparable sales, rather than relying on AI text generation for the core number.</w:t>
      </w:r>
    </w:p>
    <w:p>
      <w:pPr>
        <w:pStyle w:val="Heading2"/>
        <w:spacing w:after="120" w:before="280"/>
      </w:pPr>
      <w:r>
        <w:rPr>
          <w:rFonts w:ascii="Arial" w:cs="Arial" w:eastAsia="Arial" w:hAnsi="Arial"/>
          <w:b/>
          <w:bCs/>
          <w:color w:val="1A1A1A"/>
          <w:sz w:val="25"/>
          <w:szCs w:val="25"/>
        </w:rPr>
        <w:t xml:space="preserve">2.2 MVP Implementation</w:t>
      </w:r>
    </w:p>
    <w:p>
      <w:pPr>
        <w:spacing w:after="80" w:before="80"/>
      </w:pPr>
      <w:r>
        <w:rPr>
          <w:rFonts w:ascii="Arial" w:cs="Arial" w:eastAsia="Arial" w:hAnsi="Arial"/>
          <w:color w:val="1A1A1A"/>
          <w:sz w:val="21"/>
          <w:szCs w:val="21"/>
        </w:rPr>
        <w:t xml:space="preserve">At MVP, the model is implemented as a comparable sales-weighted average, adjusted for property characteristics — simpler than a full regression, but transparent and defensible. The approach:</w:t>
      </w:r>
    </w:p>
    <w:p>
      <w:pPr>
        <w:pStyle w:val="ListParagraph"/>
        <w:numPr>
          <w:ilvl w:val="0"/>
          <w:numId w:val="2"/>
        </w:numPr>
        <w:spacing w:after="50" w:before="50"/>
      </w:pPr>
      <w:r>
        <w:rPr>
          <w:rFonts w:ascii="Arial" w:cs="Arial" w:eastAsia="Arial" w:hAnsi="Arial"/>
          <w:color w:val="1A1A1A"/>
          <w:sz w:val="21"/>
          <w:szCs w:val="21"/>
        </w:rPr>
        <w:t xml:space="preserve">Identify comparable sales: all Land Registry sales within a configurable radius (starting at 0.5km, expanding if fewer than 8 comps are found) of the target property, within the last 24 months, matching property type and within +/- 1 bedroom.</w:t>
      </w:r>
    </w:p>
    <w:p>
      <w:pPr>
        <w:pStyle w:val="ListParagraph"/>
        <w:numPr>
          <w:ilvl w:val="0"/>
          <w:numId w:val="2"/>
        </w:numPr>
        <w:spacing w:after="50" w:before="50"/>
      </w:pPr>
      <w:r>
        <w:rPr>
          <w:rFonts w:ascii="Arial" w:cs="Arial" w:eastAsia="Arial" w:hAnsi="Arial"/>
          <w:color w:val="1A1A1A"/>
          <w:sz w:val="21"/>
          <w:szCs w:val="21"/>
        </w:rPr>
        <w:t xml:space="preserve">Weight each comparable by recency (more recent sales weighted higher) and proximity (closer sales weighted higher), using an inverse-distance and time-decay weighting function.</w:t>
      </w:r>
    </w:p>
    <w:p>
      <w:pPr>
        <w:pStyle w:val="ListParagraph"/>
        <w:numPr>
          <w:ilvl w:val="0"/>
          <w:numId w:val="2"/>
        </w:numPr>
        <w:spacing w:after="50" w:before="50"/>
      </w:pPr>
      <w:r>
        <w:rPr>
          <w:rFonts w:ascii="Arial" w:cs="Arial" w:eastAsia="Arial" w:hAnsi="Arial"/>
          <w:color w:val="1A1A1A"/>
          <w:sz w:val="21"/>
          <w:szCs w:val="21"/>
        </w:rPr>
        <w:t xml:space="preserve">Compute a weighted average price per square metre from the comparable set.</w:t>
      </w:r>
    </w:p>
    <w:p>
      <w:pPr>
        <w:pStyle w:val="ListParagraph"/>
        <w:numPr>
          <w:ilvl w:val="0"/>
          <w:numId w:val="2"/>
        </w:numPr>
        <w:spacing w:after="50" w:before="50"/>
      </w:pPr>
      <w:r>
        <w:rPr>
          <w:rFonts w:ascii="Arial" w:cs="Arial" w:eastAsia="Arial" w:hAnsi="Arial"/>
          <w:color w:val="1A1A1A"/>
          <w:sz w:val="21"/>
          <w:szCs w:val="21"/>
        </w:rPr>
        <w:t xml:space="preserve">Apply the target property's floor area (where known) to derive a base estimate; where floor area is unknown, use the average for matching property types in the postcode district.</w:t>
      </w:r>
    </w:p>
    <w:p>
      <w:pPr>
        <w:pStyle w:val="ListParagraph"/>
        <w:numPr>
          <w:ilvl w:val="0"/>
          <w:numId w:val="2"/>
        </w:numPr>
        <w:spacing w:after="50" w:before="50"/>
      </w:pPr>
      <w:r>
        <w:rPr>
          <w:rFonts w:ascii="Arial" w:cs="Arial" w:eastAsia="Arial" w:hAnsi="Arial"/>
          <w:color w:val="1A1A1A"/>
          <w:sz w:val="21"/>
          <w:szCs w:val="21"/>
        </w:rPr>
        <w:t xml:space="preserve">Adjust the base estimate using the ONS regional House Price Index to account for market movement between each comparable's sale date and the present.</w:t>
      </w:r>
    </w:p>
    <w:p>
      <w:pPr>
        <w:pStyle w:val="ListParagraph"/>
        <w:numPr>
          <w:ilvl w:val="0"/>
          <w:numId w:val="2"/>
        </w:numPr>
        <w:spacing w:after="50" w:before="50"/>
      </w:pPr>
      <w:r>
        <w:rPr>
          <w:rFonts w:ascii="Arial" w:cs="Arial" w:eastAsia="Arial" w:hAnsi="Arial"/>
          <w:color w:val="1A1A1A"/>
          <w:sz w:val="21"/>
          <w:szCs w:val="21"/>
        </w:rPr>
        <w:t xml:space="preserve">Apply a further adjustment based on aggregated news signal sentiment for the area (see Section 3), within a capped range of +/- 8% to avoid news signals dominating the estimate.</w:t>
      </w:r>
    </w:p>
    <w:p>
      <w:pPr>
        <w:pStyle w:val="ListParagraph"/>
        <w:numPr>
          <w:ilvl w:val="0"/>
          <w:numId w:val="2"/>
        </w:numPr>
        <w:spacing w:after="50" w:before="50"/>
      </w:pPr>
      <w:r>
        <w:rPr>
          <w:rFonts w:ascii="Arial" w:cs="Arial" w:eastAsia="Arial" w:hAnsi="Arial"/>
          <w:color w:val="1A1A1A"/>
          <w:sz w:val="21"/>
          <w:szCs w:val="21"/>
        </w:rPr>
        <w:t xml:space="preserve">Output a value range (low/mid/high) rather than a single number, with the range width determined by comp density and variance — fewer or more inconsistent comps produce a wider range and a lower confidence score.</w:t>
      </w:r>
    </w:p>
    <w:p>
      <w:pPr>
        <w:pStyle w:val="Heading2"/>
        <w:spacing w:after="120" w:before="280"/>
      </w:pPr>
      <w:r>
        <w:rPr>
          <w:rFonts w:ascii="Arial" w:cs="Arial" w:eastAsia="Arial" w:hAnsi="Arial"/>
          <w:b/>
          <w:bCs/>
          <w:color w:val="1A1A1A"/>
          <w:sz w:val="25"/>
          <w:szCs w:val="25"/>
        </w:rPr>
        <w:t xml:space="preserve">2.3 Post-MVP Evolution</w:t>
      </w:r>
    </w:p>
    <w:p>
      <w:pPr>
        <w:spacing w:after="80" w:before="80"/>
      </w:pPr>
      <w:r>
        <w:rPr>
          <w:rFonts w:ascii="Arial" w:cs="Arial" w:eastAsia="Arial" w:hAnsi="Arial"/>
          <w:color w:val="1A1A1A"/>
          <w:sz w:val="21"/>
          <w:szCs w:val="21"/>
        </w:rPr>
        <w:t xml:space="preserve">Once sufficient transaction outcome data exists (i.e. PropWise valuations can be compared against actual subsequent sale prices), the model should evolve toward a trained gradient-boosted regression model (e.g. XGBoost or LightGBM) using the same input features, which can capture non-linear relationships the weighted-average approach cannot. This requires at least 6–12 months of accumulated data and is explicitly out of scope for MVP.</w:t>
      </w:r>
    </w:p>
    <w:p>
      <w:pPr>
        <w:pStyle w:val="Heading2"/>
        <w:spacing w:after="120" w:before="280"/>
      </w:pPr>
      <w:r>
        <w:rPr>
          <w:rFonts w:ascii="Arial" w:cs="Arial" w:eastAsia="Arial" w:hAnsi="Arial"/>
          <w:b/>
          <w:bCs/>
          <w:color w:val="1A1A1A"/>
          <w:sz w:val="25"/>
          <w:szCs w:val="25"/>
        </w:rPr>
        <w:t xml:space="preserve">2.4 Accuracy Target and Validation</w:t>
      </w:r>
    </w:p>
    <w:p>
      <w:pPr>
        <w:spacing w:after="80" w:before="80"/>
      </w:pPr>
      <w:r>
        <w:rPr>
          <w:rFonts w:ascii="Arial" w:cs="Arial" w:eastAsia="Arial" w:hAnsi="Arial"/>
          <w:color w:val="1A1A1A"/>
          <w:sz w:val="21"/>
          <w:szCs w:val="21"/>
        </w:rPr>
        <w:t xml:space="preserve">Per the PRD's success metrics, the target is prediction accuracy within 5% of actual sale price for standard residential properties. Validation approach:</w:t>
      </w:r>
    </w:p>
    <w:p>
      <w:pPr>
        <w:pStyle w:val="ListParagraph"/>
        <w:numPr>
          <w:ilvl w:val="0"/>
          <w:numId w:val="3"/>
        </w:numPr>
        <w:spacing w:after="50" w:before="50"/>
      </w:pPr>
      <w:r>
        <w:rPr>
          <w:rFonts w:ascii="Arial" w:cs="Arial" w:eastAsia="Arial" w:hAnsi="Arial"/>
          <w:color w:val="1A1A1A"/>
          <w:sz w:val="21"/>
          <w:szCs w:val="21"/>
        </w:rPr>
        <w:t xml:space="preserve">Backtesting: for every new Land Registry sale ingested, before it is added to the comparable pool, generate a retrospective valuation using only data available before that sale date, and compare to the actual sale price. This produces a continuously updated accuracy metric without needing to wait for live user valuations to resolve.</w:t>
      </w:r>
    </w:p>
    <w:p>
      <w:pPr>
        <w:pStyle w:val="ListParagraph"/>
        <w:numPr>
          <w:ilvl w:val="0"/>
          <w:numId w:val="3"/>
        </w:numPr>
        <w:spacing w:after="50" w:before="50"/>
      </w:pPr>
      <w:r>
        <w:rPr>
          <w:rFonts w:ascii="Arial" w:cs="Arial" w:eastAsia="Arial" w:hAnsi="Arial"/>
          <w:color w:val="1A1A1A"/>
          <w:sz w:val="21"/>
          <w:szCs w:val="21"/>
        </w:rPr>
        <w:t xml:space="preserve">Track mean absolute percentage error (MAPE) weekly, segmented by property type and London borough, to identify systematic weaknesses (e.g. the model may be more accurate for terraced houses than for flats with shared freeholds, which have higher price variance).</w:t>
      </w:r>
    </w:p>
    <w:p>
      <w:pPr>
        <w:pBdr>
          <w:bottom w:val="single" w:color="0F6E56" w:sz="4" w:space="1"/>
        </w:pBdr>
        <w:spacing w:after="200" w:before="160"/>
      </w:pPr>
      <w:r>
        <w:t xml:space="preserve"/>
      </w:r>
    </w:p>
    <w:p>
      <w:pPr>
        <w:pStyle w:val="Heading1"/>
        <w:spacing w:after="160" w:before="360"/>
      </w:pPr>
      <w:r>
        <w:rPr>
          <w:rFonts w:ascii="Arial" w:cs="Arial" w:eastAsia="Arial" w:hAnsi="Arial"/>
          <w:b/>
          <w:bCs/>
          <w:color w:val="0F6E56"/>
          <w:sz w:val="30"/>
          <w:szCs w:val="30"/>
        </w:rPr>
        <w:t xml:space="preserve">3. Component 2: News Signal Classification</w:t>
      </w:r>
    </w:p>
    <w:p>
      <w:pPr>
        <w:pStyle w:val="Heading2"/>
        <w:spacing w:after="120" w:before="280"/>
      </w:pPr>
      <w:r>
        <w:rPr>
          <w:rFonts w:ascii="Arial" w:cs="Arial" w:eastAsia="Arial" w:hAnsi="Arial"/>
          <w:b/>
          <w:bCs/>
          <w:color w:val="1A1A1A"/>
          <w:sz w:val="25"/>
          <w:szCs w:val="25"/>
        </w:rPr>
        <w:t xml:space="preserve">3.1 Model Type</w:t>
      </w:r>
    </w:p>
    <w:p>
      <w:pPr>
        <w:spacing w:after="80" w:before="80"/>
      </w:pPr>
      <w:r>
        <w:rPr>
          <w:rFonts w:ascii="Arial" w:cs="Arial" w:eastAsia="Arial" w:hAnsi="Arial"/>
          <w:color w:val="1A1A1A"/>
          <w:sz w:val="21"/>
          <w:szCs w:val="21"/>
        </w:rPr>
        <w:t xml:space="preserve">Claude (Anthropic) via API, used as a zero-shot/few-shot classifier with a structured output schema. No fine-tuning is required at MVP — classification quality depends on prompt design and the quality of examples provided in-context.</w:t>
      </w:r>
    </w:p>
    <w:p>
      <w:pPr>
        <w:pStyle w:val="Heading2"/>
        <w:spacing w:after="120" w:before="280"/>
      </w:pPr>
      <w:r>
        <w:rPr>
          <w:rFonts w:ascii="Arial" w:cs="Arial" w:eastAsia="Arial" w:hAnsi="Arial"/>
          <w:b/>
          <w:bCs/>
          <w:color w:val="1A1A1A"/>
          <w:sz w:val="25"/>
          <w:szCs w:val="25"/>
        </w:rPr>
        <w:t xml:space="preserve">3.2 Classification Task Definition</w:t>
      </w:r>
    </w:p>
    <w:p>
      <w:pPr>
        <w:spacing w:after="80" w:before="80"/>
      </w:pPr>
      <w:r>
        <w:rPr>
          <w:rFonts w:ascii="Arial" w:cs="Arial" w:eastAsia="Arial" w:hAnsi="Arial"/>
          <w:color w:val="1A1A1A"/>
          <w:sz w:val="21"/>
          <w:szCs w:val="21"/>
        </w:rPr>
        <w:t xml:space="preserve">Given a news article, planning application, or council announcement (with geo-tagging already applied per the Data Schema document), the model performs four classification tasks in a single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CCCCCC" w:sz="1"/>
              <w:left w:val="single" w:color="CCCCCC" w:sz="1"/>
              <w:bottom w:val="single" w:color="CCCCCC" w:sz="1"/>
              <w:right w:val="single" w:color="CCCCCC" w:sz="1"/>
            </w:tcBorders>
            <w:shd w:fill="0F6E56" w:val="clear"/>
            <w:tcMar>
              <w:top w:type="dxa" w:w="90"/>
              <w:left w:type="dxa" w:w="120"/>
              <w:bottom w:type="dxa" w:w="90"/>
              <w:right w:type="dxa" w:w="120"/>
            </w:tcMar>
          </w:tcPr>
          <w:p>
            <w:r>
              <w:rPr>
                <w:rFonts w:ascii="Arial" w:cs="Arial" w:eastAsia="Arial" w:hAnsi="Arial"/>
                <w:b/>
                <w:bCs/>
                <w:color w:val="FFFFFF"/>
                <w:sz w:val="19"/>
                <w:szCs w:val="19"/>
              </w:rPr>
              <w:t xml:space="preserve">Field</w:t>
            </w:r>
          </w:p>
        </w:tc>
        <w:tc>
          <w:tcPr>
            <w:tcW w:type="dxa" w:w="1800"/>
            <w:tcBorders>
              <w:top w:val="single" w:color="CCCCCC" w:sz="1"/>
              <w:left w:val="single" w:color="CCCCCC" w:sz="1"/>
              <w:bottom w:val="single" w:color="CCCCCC" w:sz="1"/>
              <w:right w:val="single" w:color="CCCCCC" w:sz="1"/>
            </w:tcBorders>
            <w:shd w:fill="0F6E56" w:val="clear"/>
            <w:tcMar>
              <w:top w:type="dxa" w:w="90"/>
              <w:left w:type="dxa" w:w="120"/>
              <w:bottom w:type="dxa" w:w="90"/>
              <w:right w:type="dxa" w:w="120"/>
            </w:tcMar>
          </w:tcPr>
          <w:p>
            <w:r>
              <w:rPr>
                <w:rFonts w:ascii="Arial" w:cs="Arial" w:eastAsia="Arial" w:hAnsi="Arial"/>
                <w:b/>
                <w:bCs/>
                <w:color w:val="FFFFFF"/>
                <w:sz w:val="19"/>
                <w:szCs w:val="19"/>
              </w:rPr>
              <w:t xml:space="preserve">Type</w:t>
            </w:r>
          </w:p>
        </w:tc>
        <w:tc>
          <w:tcPr>
            <w:tcW w:type="dxa" w:w="5360"/>
            <w:tcBorders>
              <w:top w:val="single" w:color="CCCCCC" w:sz="1"/>
              <w:left w:val="single" w:color="CCCCCC" w:sz="1"/>
              <w:bottom w:val="single" w:color="CCCCCC" w:sz="1"/>
              <w:right w:val="single" w:color="CCCCCC" w:sz="1"/>
            </w:tcBorders>
            <w:shd w:fill="0F6E56" w:val="clear"/>
            <w:tcMar>
              <w:top w:type="dxa" w:w="90"/>
              <w:left w:type="dxa" w:w="120"/>
              <w:bottom w:type="dxa" w:w="90"/>
              <w:right w:type="dxa" w:w="120"/>
            </w:tcMar>
          </w:tcPr>
          <w:p>
            <w:r>
              <w:rPr>
                <w:rFonts w:ascii="Arial" w:cs="Arial" w:eastAsia="Arial" w:hAnsi="Arial"/>
                <w:b/>
                <w:bCs/>
                <w:color w:val="FFFFFF"/>
                <w:sz w:val="19"/>
                <w:szCs w:val="19"/>
              </w:rPr>
              <w:t xml:space="preserve">Description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signal_type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Categorical</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infrastructure | flood_risk | school | market | planning | other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sentiment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Categorical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positive | neutral | negative — directional impact on property value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impact_magnitude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Integer 1-5</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Estimated size of value impact; 1=negligible, 5=major (e.g. new transport line)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ai_summary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Text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One sentence, plain English, written for a buyer with no real estate background</w:t>
            </w:r>
          </w:p>
        </w:tc>
      </w:tr>
    </w:tbl>
    <w:p>
      <w:pPr>
        <w:pStyle w:val="Heading2"/>
        <w:spacing w:after="120" w:before="280"/>
      </w:pPr>
      <w:r>
        <w:rPr>
          <w:rFonts w:ascii="Arial" w:cs="Arial" w:eastAsia="Arial" w:hAnsi="Arial"/>
          <w:b/>
          <w:bCs/>
          <w:color w:val="1A1A1A"/>
          <w:sz w:val="25"/>
          <w:szCs w:val="25"/>
        </w:rPr>
        <w:t xml:space="preserve">3.3 Prompt Design Approach</w:t>
      </w:r>
    </w:p>
    <w:p>
      <w:pPr>
        <w:spacing w:after="80" w:before="80"/>
      </w:pPr>
      <w:r>
        <w:rPr>
          <w:rFonts w:ascii="Arial" w:cs="Arial" w:eastAsia="Arial" w:hAnsi="Arial"/>
          <w:color w:val="1A1A1A"/>
          <w:sz w:val="21"/>
          <w:szCs w:val="21"/>
        </w:rPr>
        <w:t xml:space="preserve">The classification prompt should include:</w:t>
      </w:r>
    </w:p>
    <w:p>
      <w:pPr>
        <w:pStyle w:val="ListParagraph"/>
        <w:numPr>
          <w:ilvl w:val="0"/>
          <w:numId w:val="3"/>
        </w:numPr>
        <w:spacing w:after="50" w:before="50"/>
      </w:pPr>
      <w:r>
        <w:rPr>
          <w:rFonts w:ascii="Arial" w:cs="Arial" w:eastAsia="Arial" w:hAnsi="Arial"/>
          <w:color w:val="1A1A1A"/>
          <w:sz w:val="21"/>
          <w:szCs w:val="21"/>
        </w:rPr>
        <w:t xml:space="preserve">A clear instruction to output structured JSON matching the schema above, with no preamble.</w:t>
      </w:r>
    </w:p>
    <w:p>
      <w:pPr>
        <w:pStyle w:val="ListParagraph"/>
        <w:numPr>
          <w:ilvl w:val="0"/>
          <w:numId w:val="3"/>
        </w:numPr>
        <w:spacing w:after="50" w:before="50"/>
      </w:pPr>
      <w:r>
        <w:rPr>
          <w:rFonts w:ascii="Arial" w:cs="Arial" w:eastAsia="Arial" w:hAnsi="Arial"/>
          <w:color w:val="1A1A1A"/>
          <w:sz w:val="21"/>
          <w:szCs w:val="21"/>
        </w:rPr>
        <w:t xml:space="preserve">3–5 worked examples covering each signal_type, including edge cases (e.g. a planning application for a single house extension should generally classify as low magnitude, while a new train station should classify as high magnitude).</w:t>
      </w:r>
    </w:p>
    <w:p>
      <w:pPr>
        <w:pStyle w:val="ListParagraph"/>
        <w:numPr>
          <w:ilvl w:val="0"/>
          <w:numId w:val="3"/>
        </w:numPr>
        <w:spacing w:after="50" w:before="50"/>
      </w:pPr>
      <w:r>
        <w:rPr>
          <w:rFonts w:ascii="Arial" w:cs="Arial" w:eastAsia="Arial" w:hAnsi="Arial"/>
          <w:color w:val="1A1A1A"/>
          <w:sz w:val="21"/>
          <w:szCs w:val="21"/>
        </w:rPr>
        <w:t xml:space="preserve">Explicit instruction to default to 'neutral' sentiment and low magnitude when the article's relevance to property value is unclear, rather than guessing — false positives erode user trust faster than conservative non-classification.</w:t>
      </w:r>
    </w:p>
    <w:p>
      <w:pPr>
        <w:pStyle w:val="ListParagraph"/>
        <w:numPr>
          <w:ilvl w:val="0"/>
          <w:numId w:val="3"/>
        </w:numPr>
        <w:spacing w:after="50" w:before="50"/>
      </w:pPr>
      <w:r>
        <w:rPr>
          <w:rFonts w:ascii="Arial" w:cs="Arial" w:eastAsia="Arial" w:hAnsi="Arial"/>
          <w:color w:val="1A1A1A"/>
          <w:sz w:val="21"/>
          <w:szCs w:val="21"/>
        </w:rPr>
        <w:t xml:space="preserve">The geo-tagged postcode district or local authority, so the model can reason about hyperlocal vs. citywide relevance (a borough-wide bus route change is lower magnitude for a specific street than a development directly on that street).</w:t>
      </w:r>
    </w:p>
    <w:p>
      <w:pPr>
        <w:spacing w:after="100" w:before="0"/>
      </w:pPr>
      <w:r>
        <w:t xml:space="preserve"/>
      </w:r>
    </w:p>
    <w:p>
      <w:pPr>
        <w:pStyle w:val="Heading3"/>
        <w:spacing w:after="100" w:before="200"/>
      </w:pPr>
      <w:r>
        <w:rPr>
          <w:rFonts w:ascii="Arial" w:cs="Arial" w:eastAsia="Arial" w:hAnsi="Arial"/>
          <w:b/>
          <w:bCs/>
          <w:color w:val="444444"/>
          <w:sz w:val="22"/>
          <w:szCs w:val="22"/>
        </w:rPr>
        <w:t xml:space="preserve">Example prompt structure (abbreviated)</w:t>
      </w:r>
    </w:p>
    <w:p>
      <w:pPr>
        <w:shd w:fill="F0F0F0" w:val="clear"/>
        <w:spacing w:after="0" w:before="100"/>
      </w:pPr>
      <w:r>
        <w:rPr>
          <w:rFonts w:ascii="Courier New" w:cs="Courier New" w:eastAsia="Courier New" w:hAnsi="Courier New"/>
          <w:color w:val="1A1A1A"/>
          <w:sz w:val="18"/>
          <w:szCs w:val="18"/>
        </w:rPr>
        <w:t xml:space="preserve">System: You are a UK property market analyst classifying news for</w:t>
      </w:r>
    </w:p>
    <w:p>
      <w:pPr>
        <w:shd w:fill="F0F0F0" w:val="clear"/>
        <w:spacing w:after="0" w:before="0"/>
      </w:pPr>
      <w:r>
        <w:rPr>
          <w:rFonts w:ascii="Courier New" w:cs="Courier New" w:eastAsia="Courier New" w:hAnsi="Courier New"/>
          <w:color w:val="1A1A1A"/>
          <w:sz w:val="18"/>
          <w:szCs w:val="18"/>
        </w:rPr>
        <w:t xml:space="preserve">their impact on residential property values in a specific area.</w:t>
      </w:r>
    </w:p>
    <w:p>
      <w:pPr>
        <w:shd w:fill="F0F0F0" w:val="clear"/>
        <w:spacing w:after="0" w:before="0"/>
      </w:pPr>
      <w:r>
        <w:rPr>
          <w:rFonts w:ascii="Courier New" w:cs="Courier New" w:eastAsia="Courier New" w:hAnsi="Courier New"/>
          <w:color w:val="1A1A1A"/>
          <w:sz w:val="18"/>
          <w:szCs w:val="18"/>
        </w:rPr>
        <w:t xml:space="preserve">Output valid JSON only, matching this schema: {signal_type, sentiment,</w:t>
      </w:r>
    </w:p>
    <w:p>
      <w:pPr>
        <w:shd w:fill="F0F0F0" w:val="clear"/>
        <w:spacing w:after="0" w:before="0"/>
      </w:pPr>
      <w:r>
        <w:rPr>
          <w:rFonts w:ascii="Courier New" w:cs="Courier New" w:eastAsia="Courier New" w:hAnsi="Courier New"/>
          <w:color w:val="1A1A1A"/>
          <w:sz w:val="18"/>
          <w:szCs w:val="18"/>
        </w:rPr>
        <w:t xml:space="preserve">impact_magnitude, ai_summary}.</w:t>
      </w:r>
    </w:p>
    <w:p>
      <w:pPr>
        <w:shd w:fill="F0F0F0" w:val="clear"/>
        <w:spacing w:after="0" w:before="0"/>
      </w:pPr>
      <w:r>
        <w:rPr>
          <w:rFonts w:ascii="Courier New" w:cs="Courier New" w:eastAsia="Courier New" w:hAnsi="Courier New"/>
          <w:color w:val="1A1A1A"/>
          <w:sz w:val="18"/>
          <w:szCs w:val="18"/>
        </w:rPr>
        <w:t xml:space="preserve"> </w:t>
      </w:r>
    </w:p>
    <w:p>
      <w:pPr>
        <w:shd w:fill="F0F0F0" w:val="clear"/>
        <w:spacing w:after="0" w:before="0"/>
      </w:pPr>
      <w:r>
        <w:rPr>
          <w:rFonts w:ascii="Courier New" w:cs="Courier New" w:eastAsia="Courier New" w:hAnsi="Courier New"/>
          <w:color w:val="1A1A1A"/>
          <w:sz w:val="18"/>
          <w:szCs w:val="18"/>
        </w:rPr>
        <w:t xml:space="preserve">User: Area: SW19 (Wimbledon). Article: "[headline + extracted text]"</w:t>
      </w:r>
    </w:p>
    <w:p>
      <w:pPr>
        <w:shd w:fill="F0F0F0" w:val="clear"/>
        <w:spacing w:after="0" w:before="0"/>
      </w:pPr>
      <w:r>
        <w:rPr>
          <w:rFonts w:ascii="Courier New" w:cs="Courier New" w:eastAsia="Courier New" w:hAnsi="Courier New"/>
          <w:color w:val="1A1A1A"/>
          <w:sz w:val="18"/>
          <w:szCs w:val="18"/>
        </w:rPr>
        <w:t xml:space="preserve"> </w:t>
      </w:r>
    </w:p>
    <w:p>
      <w:pPr>
        <w:shd w:fill="F0F0F0" w:val="clear"/>
        <w:spacing w:after="100" w:before="0"/>
      </w:pPr>
      <w:r>
        <w:rPr>
          <w:rFonts w:ascii="Courier New" w:cs="Courier New" w:eastAsia="Courier New" w:hAnsi="Courier New"/>
          <w:color w:val="1A1A1A"/>
          <w:sz w:val="18"/>
          <w:szCs w:val="18"/>
        </w:rPr>
        <w:t xml:space="preserve">Classify this article's impact on residential property values in SW19.</w:t>
      </w:r>
    </w:p>
    <w:p>
      <w:pPr>
        <w:pStyle w:val="Heading2"/>
        <w:spacing w:after="120" w:before="280"/>
      </w:pPr>
      <w:r>
        <w:rPr>
          <w:rFonts w:ascii="Arial" w:cs="Arial" w:eastAsia="Arial" w:hAnsi="Arial"/>
          <w:b/>
          <w:bCs/>
          <w:color w:val="1A1A1A"/>
          <w:sz w:val="25"/>
          <w:szCs w:val="25"/>
        </w:rPr>
        <w:t xml:space="preserve">3.4 Validation and Human Review</w:t>
      </w:r>
    </w:p>
    <w:p>
      <w:pPr>
        <w:spacing w:after="80" w:before="80"/>
      </w:pPr>
      <w:r>
        <w:rPr>
          <w:rFonts w:ascii="Arial" w:cs="Arial" w:eastAsia="Arial" w:hAnsi="Arial"/>
          <w:color w:val="1A1A1A"/>
          <w:sz w:val="21"/>
          <w:szCs w:val="21"/>
        </w:rPr>
        <w:t xml:space="preserve">Per the Data Schema document's data quality rules, classifications are stored with the model version used, enabling reprocessing if prompt or model changes are made. A sample of classifications (initially 100%, reducing to a random 10% sample once accuracy is established) should be reviewed by a human for the first 2–3 months post-launch to catch systematic misclassification before it reaches users.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EEDA" w:val="clear"/>
            <w:tcMar>
              <w:top w:type="dxa" w:w="140"/>
              <w:left w:type="dxa" w:w="200"/>
              <w:bottom w:type="dxa" w:w="140"/>
              <w:right w:type="dxa" w:w="200"/>
            </w:tcMar>
          </w:tcPr>
          <w:p>
            <w:pPr>
              <w:spacing w:after="60"/>
            </w:pPr>
            <w:r>
              <w:rPr>
                <w:rFonts w:ascii="Arial" w:cs="Arial" w:eastAsia="Arial" w:hAnsi="Arial"/>
                <w:b/>
                <w:bCs/>
                <w:color w:val="854F0B"/>
                <w:sz w:val="21"/>
                <w:szCs w:val="21"/>
              </w:rPr>
              <w:t xml:space="preserve">Risk to manage</w:t>
            </w:r>
          </w:p>
          <w:p>
            <w:r>
              <w:rPr>
                <w:rFonts w:ascii="Arial" w:cs="Arial" w:eastAsia="Arial" w:hAnsi="Arial"/>
                <w:color w:val="1A1A1A"/>
                <w:sz w:val="21"/>
                <w:szCs w:val="21"/>
              </w:rPr>
              <w:t xml:space="preserve">LLM classification of news sentiment is inherently approximate. PropWise should never present a news signal's impact_magnitude as a precise financial figure (e.g. "this will add £8,200 to your property's value") — only as a directional, qualitative signal with a capped influence on the overall valuation, as specified in Section 2.2, step 6.</w:t>
            </w:r>
          </w:p>
        </w:tc>
      </w:tr>
    </w:tbl>
    <w:p>
      <w:pPr>
        <w:pStyle w:val="Heading2"/>
        <w:spacing w:after="120" w:before="280"/>
      </w:pPr>
      <w:r>
        <w:rPr>
          <w:rFonts w:ascii="Arial" w:cs="Arial" w:eastAsia="Arial" w:hAnsi="Arial"/>
          <w:b/>
          <w:bCs/>
          <w:color w:val="1A1A1A"/>
          <w:sz w:val="25"/>
          <w:szCs w:val="25"/>
        </w:rPr>
        <w:t xml:space="preserve">3.5 Cost Estimate</w:t>
      </w:r>
    </w:p>
    <w:p>
      <w:pPr>
        <w:spacing w:after="80" w:before="80"/>
      </w:pPr>
      <w:r>
        <w:rPr>
          <w:rFonts w:ascii="Arial" w:cs="Arial" w:eastAsia="Arial" w:hAnsi="Arial"/>
          <w:color w:val="1A1A1A"/>
          <w:sz w:val="21"/>
          <w:szCs w:val="21"/>
        </w:rPr>
        <w:t xml:space="preserve">At an estimated ingestion volume of 200–400 classified articles/applications per day across launch boroughs, and using Claude at standard API pricing, monthly classification cost is estimated at £150–£400/month at MVP scale — well within the infrastructure budget defined in the System Architecture Document.</w:t>
      </w:r>
    </w:p>
    <w:p>
      <w:pPr>
        <w:pBdr>
          <w:bottom w:val="single" w:color="0F6E56" w:sz="4" w:space="1"/>
        </w:pBdr>
        <w:spacing w:after="200" w:before="160"/>
      </w:pPr>
      <w:r>
        <w:t xml:space="preserve"/>
      </w:r>
    </w:p>
    <w:p>
      <w:pPr>
        <w:pStyle w:val="Heading1"/>
        <w:spacing w:after="160" w:before="360"/>
      </w:pPr>
      <w:r>
        <w:rPr>
          <w:rFonts w:ascii="Arial" w:cs="Arial" w:eastAsia="Arial" w:hAnsi="Arial"/>
          <w:b/>
          <w:bCs/>
          <w:color w:val="0F6E56"/>
          <w:sz w:val="30"/>
          <w:szCs w:val="30"/>
        </w:rPr>
        <w:t xml:space="preserve">4. Component 3: Investment Score</w:t>
      </w:r>
    </w:p>
    <w:p>
      <w:pPr>
        <w:pStyle w:val="Heading2"/>
        <w:spacing w:after="120" w:before="280"/>
      </w:pPr>
      <w:r>
        <w:rPr>
          <w:rFonts w:ascii="Arial" w:cs="Arial" w:eastAsia="Arial" w:hAnsi="Arial"/>
          <w:b/>
          <w:bCs/>
          <w:color w:val="1A1A1A"/>
          <w:sz w:val="25"/>
          <w:szCs w:val="25"/>
        </w:rPr>
        <w:t xml:space="preserve">4.1 Model Type</w:t>
      </w:r>
    </w:p>
    <w:p>
      <w:pPr>
        <w:spacing w:after="80" w:before="80"/>
      </w:pPr>
      <w:r>
        <w:rPr>
          <w:rFonts w:ascii="Arial" w:cs="Arial" w:eastAsia="Arial" w:hAnsi="Arial"/>
          <w:color w:val="1A1A1A"/>
          <w:sz w:val="21"/>
          <w:szCs w:val="21"/>
        </w:rPr>
        <w:t xml:space="preserve">A deterministic, weighted scoring function — explicitly not an LLM call. This is a design decision, not a limitation: investors and agents need to interrogate and trust a score, which requires it to be reproducible and explainable from underlying data, as outlined in the System Architecture Document (Section 4.4).</w:t>
      </w:r>
    </w:p>
    <w:p>
      <w:pPr>
        <w:pStyle w:val="Heading2"/>
        <w:spacing w:after="120" w:before="280"/>
      </w:pPr>
      <w:r>
        <w:rPr>
          <w:rFonts w:ascii="Arial" w:cs="Arial" w:eastAsia="Arial" w:hAnsi="Arial"/>
          <w:b/>
          <w:bCs/>
          <w:color w:val="1A1A1A"/>
          <w:sz w:val="25"/>
          <w:szCs w:val="25"/>
        </w:rPr>
        <w:t xml:space="preserve">4.2 Scoring Formula</w:t>
      </w:r>
    </w:p>
    <w:p>
      <w:pPr>
        <w:spacing w:after="80" w:before="80"/>
      </w:pPr>
      <w:r>
        <w:rPr>
          <w:rFonts w:ascii="Arial" w:cs="Arial" w:eastAsia="Arial" w:hAnsi="Arial"/>
          <w:color w:val="1A1A1A"/>
          <w:sz w:val="21"/>
          <w:szCs w:val="21"/>
        </w:rPr>
        <w:t xml:space="preserve">The composite Investment Score (0–100) is a weighted sum of four sub-scores: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CCCCCC" w:sz="1"/>
              <w:left w:val="single" w:color="CCCCCC" w:sz="1"/>
              <w:bottom w:val="single" w:color="CCCCCC" w:sz="1"/>
              <w:right w:val="single" w:color="CCCCCC" w:sz="1"/>
            </w:tcBorders>
            <w:shd w:fill="0F6E56" w:val="clear"/>
            <w:tcMar>
              <w:top w:type="dxa" w:w="90"/>
              <w:left w:type="dxa" w:w="120"/>
              <w:bottom w:type="dxa" w:w="90"/>
              <w:right w:type="dxa" w:w="120"/>
            </w:tcMar>
          </w:tcPr>
          <w:p>
            <w:r>
              <w:rPr>
                <w:rFonts w:ascii="Arial" w:cs="Arial" w:eastAsia="Arial" w:hAnsi="Arial"/>
                <w:b/>
                <w:bCs/>
                <w:color w:val="FFFFFF"/>
                <w:sz w:val="19"/>
                <w:szCs w:val="19"/>
              </w:rPr>
              <w:t xml:space="preserve">Sub-score</w:t>
            </w:r>
          </w:p>
        </w:tc>
        <w:tc>
          <w:tcPr>
            <w:tcW w:type="dxa" w:w="1400"/>
            <w:tcBorders>
              <w:top w:val="single" w:color="CCCCCC" w:sz="1"/>
              <w:left w:val="single" w:color="CCCCCC" w:sz="1"/>
              <w:bottom w:val="single" w:color="CCCCCC" w:sz="1"/>
              <w:right w:val="single" w:color="CCCCCC" w:sz="1"/>
            </w:tcBorders>
            <w:shd w:fill="0F6E56" w:val="clear"/>
            <w:tcMar>
              <w:top w:type="dxa" w:w="90"/>
              <w:left w:type="dxa" w:w="120"/>
              <w:bottom w:type="dxa" w:w="90"/>
              <w:right w:type="dxa" w:w="120"/>
            </w:tcMar>
          </w:tcPr>
          <w:p>
            <w:r>
              <w:rPr>
                <w:rFonts w:ascii="Arial" w:cs="Arial" w:eastAsia="Arial" w:hAnsi="Arial"/>
                <w:b/>
                <w:bCs/>
                <w:color w:val="FFFFFF"/>
                <w:sz w:val="19"/>
                <w:szCs w:val="19"/>
              </w:rPr>
              <w:t xml:space="preserve">Weight</w:t>
            </w:r>
          </w:p>
        </w:tc>
        <w:tc>
          <w:tcPr>
            <w:tcW w:type="dxa" w:w="5560"/>
            <w:tcBorders>
              <w:top w:val="single" w:color="CCCCCC" w:sz="1"/>
              <w:left w:val="single" w:color="CCCCCC" w:sz="1"/>
              <w:bottom w:val="single" w:color="CCCCCC" w:sz="1"/>
              <w:right w:val="single" w:color="CCCCCC" w:sz="1"/>
            </w:tcBorders>
            <w:shd w:fill="0F6E56" w:val="clear"/>
            <w:tcMar>
              <w:top w:type="dxa" w:w="90"/>
              <w:left w:type="dxa" w:w="120"/>
              <w:bottom w:type="dxa" w:w="90"/>
              <w:right w:type="dxa" w:w="120"/>
            </w:tcMar>
          </w:tcPr>
          <w:p>
            <w:r>
              <w:rPr>
                <w:rFonts w:ascii="Arial" w:cs="Arial" w:eastAsia="Arial" w:hAnsi="Arial"/>
                <w:b/>
                <w:bCs/>
                <w:color w:val="FFFFFF"/>
                <w:sz w:val="19"/>
                <w:szCs w:val="19"/>
              </w:rPr>
              <w:t xml:space="preserve">Primary Inputs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Location quality</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30%</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Proximity to transport, school ratings (Ofsted data), local amenity density, flood risk (Environment Agency)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Price fairness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30%</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Deviation of asking/estimated price from the Valuation Model's mid-point estimate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Infrastructure growth</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20%</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Aggregated positive news signal density and magnitude for the postcode district over the last 18 months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Rental yield potential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20%</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Estimated achievable rent (derived from comparable rental listings, Phase 2) divided by estimated property value</w:t>
            </w:r>
          </w:p>
        </w:tc>
      </w:tr>
    </w:tbl>
    <w:p>
      <w:pPr>
        <w:spacing w:after="80" w:before="80"/>
      </w:pPr>
      <w:r>
        <w:rPr>
          <w:rFonts w:ascii="Arial" w:cs="Arial" w:eastAsia="Arial" w:hAnsi="Arial"/>
          <w:color w:val="1A1A1A"/>
          <w:sz w:val="21"/>
          <w:szCs w:val="21"/>
        </w:rPr>
        <w:t xml:space="preserve">Each sub-score is independently normalised to a 0–100 scale before weighting, using min-max normalisation against the distribution of all properties in the launch area, recalculated monthly as new data arrives.</w:t>
      </w:r>
    </w:p>
    <w:p>
      <w:pPr>
        <w:pStyle w:val="Heading2"/>
        <w:spacing w:after="120" w:before="280"/>
      </w:pPr>
      <w:r>
        <w:rPr>
          <w:rFonts w:ascii="Arial" w:cs="Arial" w:eastAsia="Arial" w:hAnsi="Arial"/>
          <w:b/>
          <w:bCs/>
          <w:color w:val="1A1A1A"/>
          <w:sz w:val="25"/>
          <w:szCs w:val="25"/>
        </w:rPr>
        <w:t xml:space="preserve">4.3 Explainability Requirement</w:t>
      </w:r>
    </w:p>
    <w:p>
      <w:pPr>
        <w:spacing w:after="80" w:before="80"/>
      </w:pPr>
      <w:r>
        <w:rPr>
          <w:rFonts w:ascii="Arial" w:cs="Arial" w:eastAsia="Arial" w:hAnsi="Arial"/>
          <w:color w:val="1A1A1A"/>
          <w:sz w:val="21"/>
          <w:szCs w:val="21"/>
        </w:rPr>
        <w:t xml:space="preserve">Every investment score shown to a user must be accompanied by its four sub-score components (as already reflected in the valuation_snapshots schema). This is a product requirement, not just a technical nicety — agencies specifically need to be able to point to why a score is what it is when discussing it with a buyer or seller.</w:t>
      </w:r>
    </w:p>
    <w:p>
      <w:pPr>
        <w:pBdr>
          <w:bottom w:val="single" w:color="0F6E56" w:sz="4" w:space="1"/>
        </w:pBdr>
        <w:spacing w:after="200" w:before="160"/>
      </w:pPr>
      <w:r>
        <w:t xml:space="preserve"/>
      </w:r>
    </w:p>
    <w:p>
      <w:pPr>
        <w:pStyle w:val="Heading1"/>
        <w:spacing w:after="160" w:before="360"/>
      </w:pPr>
      <w:r>
        <w:rPr>
          <w:rFonts w:ascii="Arial" w:cs="Arial" w:eastAsia="Arial" w:hAnsi="Arial"/>
          <w:b/>
          <w:bCs/>
          <w:color w:val="0F6E56"/>
          <w:sz w:val="30"/>
          <w:szCs w:val="30"/>
        </w:rPr>
        <w:t xml:space="preserve">5. Model Governance</w:t>
      </w:r>
    </w:p>
    <w:p>
      <w:pPr>
        <w:pStyle w:val="ListParagraph"/>
        <w:numPr>
          <w:ilvl w:val="0"/>
          <w:numId w:val="3"/>
        </w:numPr>
        <w:spacing w:after="50" w:before="50"/>
      </w:pPr>
      <w:r>
        <w:rPr>
          <w:rFonts w:ascii="Arial" w:cs="Arial" w:eastAsia="Arial" w:hAnsi="Arial"/>
          <w:color w:val="1A1A1A"/>
          <w:sz w:val="21"/>
          <w:szCs w:val="21"/>
        </w:rPr>
        <w:t xml:space="preserve">Model version tracking: every valuation snapshot and news classification stores the model/version used, enabling retrospective analysis if a model update changes outputs unexpectedly.</w:t>
      </w:r>
    </w:p>
    <w:p>
      <w:pPr>
        <w:pStyle w:val="ListParagraph"/>
        <w:numPr>
          <w:ilvl w:val="0"/>
          <w:numId w:val="3"/>
        </w:numPr>
        <w:spacing w:after="50" w:before="50"/>
      </w:pPr>
      <w:r>
        <w:rPr>
          <w:rFonts w:ascii="Arial" w:cs="Arial" w:eastAsia="Arial" w:hAnsi="Arial"/>
          <w:color w:val="1A1A1A"/>
          <w:sz w:val="21"/>
          <w:szCs w:val="21"/>
        </w:rPr>
        <w:t xml:space="preserve">Prompt versioning: classification prompts should be stored in source control, not edited ad-hoc in a dashboard, so changes are reviewable and revertible.</w:t>
      </w:r>
    </w:p>
    <w:p>
      <w:pPr>
        <w:pStyle w:val="ListParagraph"/>
        <w:numPr>
          <w:ilvl w:val="0"/>
          <w:numId w:val="3"/>
        </w:numPr>
        <w:spacing w:after="50" w:before="50"/>
      </w:pPr>
      <w:r>
        <w:rPr>
          <w:rFonts w:ascii="Arial" w:cs="Arial" w:eastAsia="Arial" w:hAnsi="Arial"/>
          <w:color w:val="1A1A1A"/>
          <w:sz w:val="21"/>
          <w:szCs w:val="21"/>
        </w:rPr>
        <w:t xml:space="preserve">Accuracy monitoring: the backtesting approach in Section 2.4 should run as a continuous automated job, with weekly accuracy reports surfaced to the founding team — not a one-time validation exercise.</w:t>
      </w:r>
    </w:p>
    <w:p>
      <w:pPr>
        <w:pStyle w:val="ListParagraph"/>
        <w:numPr>
          <w:ilvl w:val="0"/>
          <w:numId w:val="3"/>
        </w:numPr>
        <w:spacing w:after="50" w:before="50"/>
      </w:pPr>
      <w:r>
        <w:rPr>
          <w:rFonts w:ascii="Arial" w:cs="Arial" w:eastAsia="Arial" w:hAnsi="Arial"/>
          <w:color w:val="1A1A1A"/>
          <w:sz w:val="21"/>
          <w:szCs w:val="21"/>
        </w:rPr>
        <w:t xml:space="preserve">Bias monitoring: valuation accuracy should be segmented and monitored by London borough and property type to catch systematic under- or over-valuation in any specific area, which could otherwise go unnoticed in an aggregate accuracy figure.</w:t>
      </w:r>
    </w:p>
    <w:p>
      <w:pPr>
        <w:pBdr>
          <w:bottom w:val="single" w:color="0F6E56" w:sz="4" w:space="1"/>
        </w:pBdr>
        <w:spacing w:after="200" w:before="160"/>
      </w:pPr>
      <w:r>
        <w:t xml:space="preserve"/>
      </w:r>
    </w:p>
    <w:p>
      <w:pPr>
        <w:pStyle w:val="Heading1"/>
        <w:spacing w:after="160" w:before="360"/>
      </w:pPr>
      <w:r>
        <w:rPr>
          <w:rFonts w:ascii="Arial" w:cs="Arial" w:eastAsia="Arial" w:hAnsi="Arial"/>
          <w:b/>
          <w:bCs/>
          <w:color w:val="0F6E56"/>
          <w:sz w:val="30"/>
          <w:szCs w:val="30"/>
        </w:rPr>
        <w:t xml:space="preserve">6. Roadmap: MVP to Custom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c>
          <w:tcPr>
            <w:tcW w:type="dxa" w:w="2600"/>
            <w:tcBorders>
              <w:top w:val="single" w:color="CCCCCC" w:sz="1"/>
              <w:left w:val="single" w:color="CCCCCC" w:sz="1"/>
              <w:bottom w:val="single" w:color="CCCCCC" w:sz="1"/>
              <w:right w:val="single" w:color="CCCCCC" w:sz="1"/>
            </w:tcBorders>
            <w:shd w:fill="0F6E56" w:val="clear"/>
            <w:tcMar>
              <w:top w:type="dxa" w:w="90"/>
              <w:left w:type="dxa" w:w="120"/>
              <w:bottom w:type="dxa" w:w="90"/>
              <w:right w:type="dxa" w:w="120"/>
            </w:tcMar>
          </w:tcPr>
          <w:p>
            <w:r>
              <w:rPr>
                <w:rFonts w:ascii="Arial" w:cs="Arial" w:eastAsia="Arial" w:hAnsi="Arial"/>
                <w:b/>
                <w:bCs/>
                <w:color w:val="FFFFFF"/>
                <w:sz w:val="19"/>
                <w:szCs w:val="19"/>
              </w:rPr>
              <w:t xml:space="preserve">Stage</w:t>
            </w:r>
          </w:p>
        </w:tc>
        <w:tc>
          <w:tcPr>
            <w:tcW w:type="dxa" w:w="1800"/>
            <w:tcBorders>
              <w:top w:val="single" w:color="CCCCCC" w:sz="1"/>
              <w:left w:val="single" w:color="CCCCCC" w:sz="1"/>
              <w:bottom w:val="single" w:color="CCCCCC" w:sz="1"/>
              <w:right w:val="single" w:color="CCCCCC" w:sz="1"/>
            </w:tcBorders>
            <w:shd w:fill="0F6E56" w:val="clear"/>
            <w:tcMar>
              <w:top w:type="dxa" w:w="90"/>
              <w:left w:type="dxa" w:w="120"/>
              <w:bottom w:type="dxa" w:w="90"/>
              <w:right w:type="dxa" w:w="120"/>
            </w:tcMar>
          </w:tcPr>
          <w:p>
            <w:r>
              <w:rPr>
                <w:rFonts w:ascii="Arial" w:cs="Arial" w:eastAsia="Arial" w:hAnsi="Arial"/>
                <w:b/>
                <w:bCs/>
                <w:color w:val="FFFFFF"/>
                <w:sz w:val="19"/>
                <w:szCs w:val="19"/>
              </w:rPr>
              <w:t xml:space="preserve">Timeline</w:t>
            </w:r>
          </w:p>
        </w:tc>
        <w:tc>
          <w:tcPr>
            <w:tcW w:type="dxa" w:w="4960"/>
            <w:tcBorders>
              <w:top w:val="single" w:color="CCCCCC" w:sz="1"/>
              <w:left w:val="single" w:color="CCCCCC" w:sz="1"/>
              <w:bottom w:val="single" w:color="CCCCCC" w:sz="1"/>
              <w:right w:val="single" w:color="CCCCCC" w:sz="1"/>
            </w:tcBorders>
            <w:shd w:fill="0F6E56" w:val="clear"/>
            <w:tcMar>
              <w:top w:type="dxa" w:w="90"/>
              <w:left w:type="dxa" w:w="120"/>
              <w:bottom w:type="dxa" w:w="90"/>
              <w:right w:type="dxa" w:w="120"/>
            </w:tcMar>
          </w:tcPr>
          <w:p>
            <w:r>
              <w:rPr>
                <w:rFonts w:ascii="Arial" w:cs="Arial" w:eastAsia="Arial" w:hAnsi="Arial"/>
                <w:b/>
                <w:bCs/>
                <w:color w:val="FFFFFF"/>
                <w:sz w:val="19"/>
                <w:szCs w:val="19"/>
              </w:rPr>
              <w:t xml:space="preserve">Approach</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MVP</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Months 1-6</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Weighted comparable-sales valuation; Claude-based news classification; deterministic scoring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Post-MVP refinement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Months 6-12</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Tune weighting functions using accumulated backtest data; expand few-shot examples in classification prompts based on observed misclassifications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Custom valuation model</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Months 12-18</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Train a gradient-boosted regression model on accumulated London transaction outcome data, run in parallel with the MVP model before fully replacing it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Custom classification model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Months 18+</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Evaluate fine-tuning a smaller, cheaper classification model once sufficient labelled training data exists from the human review process, primarily to reduce per-classification cost at scale</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PropWise — Confidential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F6E56"/>
      <w:sz w:val="30"/>
      <w:szCs w:val="30"/>
    </w:rPr>
  </w:style>
  <w:style w:type="paragraph" w:styleId="Heading2">
    <w:name w:val="Heading 2"/>
    <w:basedOn w:val="Normal"/>
    <w:next w:val="Normal"/>
    <w:qFormat/>
    <w:pPr>
      <w:spacing w:after="120" w:before="280"/>
      <w:outlineLvl w:val="1"/>
    </w:pPr>
    <w:rPr>
      <w:rFonts w:ascii="Arial" w:cs="Arial" w:eastAsia="Arial" w:hAnsi="Arial"/>
      <w:b/>
      <w:bCs/>
      <w:color w:val="1A1A1A"/>
      <w:sz w:val="25"/>
      <w:szCs w:val="25"/>
    </w:rPr>
  </w:style>
  <w:style w:type="paragraph" w:styleId="Heading3">
    <w:name w:val="Heading 3"/>
    <w:basedOn w:val="Normal"/>
    <w:next w:val="Normal"/>
    <w:qFormat/>
    <w:pPr>
      <w:spacing w:after="100" w:before="20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2026-06-19T04:50:26.869Z</dcterms:created>
  <dcterms:modified xsi:type="dcterms:W3CDTF">2026-06-19T04:50:26.869Z</dcterms:modified>
</cp:coreProperties>
</file>

<file path=docProps/custom.xml><?xml version="1.0" encoding="utf-8"?>
<Properties xmlns="http://schemas.openxmlformats.org/officeDocument/2006/custom-properties" xmlns:vt="http://schemas.openxmlformats.org/officeDocument/2006/docPropsVTypes"/>
</file>