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00"/>
        <w:jc w:val="center"/>
      </w:pPr>
      <w:r>
        <w:rPr>
          <w:rFonts w:ascii="Arial" w:cs="Arial" w:eastAsia="Arial" w:hAnsi="Arial"/>
          <w:b/>
          <w:bCs/>
          <w:color w:val="0F6E56"/>
          <w:sz w:val="64"/>
          <w:szCs w:val="64"/>
        </w:rPr>
        <w:t xml:space="preserve">PropWise</w:t>
      </w:r>
    </w:p>
    <w:p>
      <w:pPr>
        <w:spacing w:after="160"/>
        <w:jc w:val="center"/>
      </w:pPr>
      <w:r>
        <w:rPr>
          <w:rFonts w:ascii="Arial" w:cs="Arial" w:eastAsia="Arial" w:hAnsi="Arial"/>
          <w:color w:val="444444"/>
          <w:sz w:val="32"/>
          <w:szCs w:val="32"/>
        </w:rPr>
        <w:t xml:space="preserve">Data Privacy and Compliance Policy</w:t>
      </w:r>
    </w:p>
    <w:p>
      <w:pPr>
        <w:spacing w:after="200"/>
        <w:jc w:val="center"/>
      </w:pPr>
      <w:r>
        <w:rPr>
          <w:rFonts w:ascii="Arial" w:cs="Arial" w:eastAsia="Arial" w:hAnsi="Arial"/>
          <w:i/>
          <w:iCs/>
          <w:color w:val="666666"/>
          <w:sz w:val="22"/>
          <w:szCs w:val="22"/>
        </w:rPr>
        <w:t xml:space="preserve">UK GDPR, data handling, and regulatory positioning</w:t>
      </w:r>
    </w:p>
    <w:p>
      <w:pPr>
        <w:spacing w:after="200" w:before="0"/>
      </w:pPr>
      <w:r>
        <w:t xml:space="preserve"/>
      </w:r>
    </w:p>
    <w:p>
      <w:pPr>
        <w:spacing w:after="40"/>
        <w:jc w:val="center"/>
      </w:pPr>
      <w:r>
        <w:rPr>
          <w:rFonts w:ascii="Arial" w:cs="Arial" w:eastAsia="Arial" w:hAnsi="Arial"/>
          <w:b/>
          <w:bCs/>
          <w:color w:val="1A1A1A"/>
          <w:sz w:val="20"/>
          <w:szCs w:val="20"/>
        </w:rPr>
        <w:t xml:space="preserve">Document Owner:  </w:t>
      </w:r>
      <w:r>
        <w:rPr>
          <w:rFonts w:ascii="Arial" w:cs="Arial" w:eastAsia="Arial" w:hAnsi="Arial"/>
          <w:color w:val="444444"/>
          <w:sz w:val="20"/>
          <w:szCs w:val="20"/>
        </w:rPr>
        <w:t xml:space="preserve">SURG Solutions Limited</w:t>
      </w:r>
    </w:p>
    <w:p>
      <w:pPr>
        <w:spacing w:after="40"/>
        <w:jc w:val="center"/>
      </w:pPr>
      <w:r>
        <w:rPr>
          <w:rFonts w:ascii="Arial" w:cs="Arial" w:eastAsia="Arial" w:hAnsi="Arial"/>
          <w:b/>
          <w:bCs/>
          <w:color w:val="1A1A1A"/>
          <w:sz w:val="20"/>
          <w:szCs w:val="20"/>
        </w:rPr>
        <w:t xml:space="preserve">Status:  </w:t>
      </w:r>
      <w:r>
        <w:rPr>
          <w:rFonts w:ascii="Arial" w:cs="Arial" w:eastAsia="Arial" w:hAnsi="Arial"/>
          <w:color w:val="444444"/>
          <w:sz w:val="20"/>
          <w:szCs w:val="20"/>
        </w:rPr>
        <w:t xml:space="preserve">Draft v1.0 — Ideation and Planning</w:t>
      </w:r>
    </w:p>
    <w:p>
      <w:pPr>
        <w:spacing w:after="40"/>
        <w:jc w:val="center"/>
      </w:pPr>
      <w:r>
        <w:rPr>
          <w:rFonts w:ascii="Arial" w:cs="Arial" w:eastAsia="Arial" w:hAnsi="Arial"/>
          <w:b/>
          <w:bCs/>
          <w:color w:val="1A1A1A"/>
          <w:sz w:val="20"/>
          <w:szCs w:val="20"/>
        </w:rPr>
        <w:t xml:space="preserve">Jurisdiction:  </w:t>
      </w:r>
      <w:r>
        <w:rPr>
          <w:rFonts w:ascii="Arial" w:cs="Arial" w:eastAsia="Arial" w:hAnsi="Arial"/>
          <w:color w:val="444444"/>
          <w:sz w:val="20"/>
          <w:szCs w:val="20"/>
        </w:rPr>
        <w:t xml:space="preserve">United Kingdom (UK GDPR, Data Protection Act 2018)</w:t>
      </w:r>
    </w:p>
    <w:p>
      <w:pPr>
        <w:spacing w:after="40"/>
        <w:jc w:val="center"/>
      </w:pPr>
      <w:r>
        <w:rPr>
          <w:rFonts w:ascii="Arial" w:cs="Arial" w:eastAsia="Arial" w:hAnsi="Arial"/>
          <w:b/>
          <w:bCs/>
          <w:color w:val="1A1A1A"/>
          <w:sz w:val="20"/>
          <w:szCs w:val="20"/>
        </w:rPr>
        <w:t xml:space="preserve">Date:  </w:t>
      </w:r>
      <w:r>
        <w:rPr>
          <w:rFonts w:ascii="Arial" w:cs="Arial" w:eastAsia="Arial" w:hAnsi="Arial"/>
          <w:color w:val="444444"/>
          <w:sz w:val="20"/>
          <w:szCs w:val="20"/>
        </w:rPr>
        <w:t xml:space="preserve">June 2026</w:t>
      </w:r>
    </w:p>
    <w:p>
      <w:pPr>
        <w:spacing w:after="800" w:before="0"/>
      </w:pPr>
      <w:r>
        <w:t xml:space="preserve"/>
      </w:r>
    </w:p>
    <w:p>
      <w:r>
        <w:br w:type="page"/>
      </w:r>
    </w:p>
    <w:p>
      <w:pPr>
        <w:pStyle w:val="Heading1"/>
        <w:spacing w:after="160" w:before="360"/>
      </w:pPr>
      <w:r>
        <w:rPr>
          <w:rFonts w:ascii="Arial" w:cs="Arial" w:eastAsia="Arial" w:hAnsi="Arial"/>
          <w:b/>
          <w:bCs/>
          <w:color w:val="0F6E56"/>
          <w:sz w:val="30"/>
          <w:szCs w:val="30"/>
        </w:rPr>
        <w:t xml:space="preserve">1. Purpose</w:t>
      </w:r>
    </w:p>
    <w:p>
      <w:pPr>
        <w:spacing w:after="80" w:before="80"/>
      </w:pPr>
      <w:r>
        <w:rPr>
          <w:rFonts w:ascii="Arial" w:cs="Arial" w:eastAsia="Arial" w:hAnsi="Arial"/>
          <w:color w:val="1A1A1A"/>
          <w:sz w:val="21"/>
          <w:szCs w:val="21"/>
        </w:rPr>
        <w:t xml:space="preserve">This policy defines how PropWise collects, processes, stores, and protects personal and property data, and sets out PropWise's regulatory positioning with respect to UK GDPR, the Data Protection Act 2018, and FCA regulatory boundaries relevant to property valuation and investment information services.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40"/>
              <w:left w:type="dxa" w:w="200"/>
              <w:bottom w:type="dxa" w:w="140"/>
              <w:right w:type="dxa" w:w="200"/>
            </w:tcMar>
          </w:tcPr>
          <w:p>
            <w:pPr>
              <w:spacing w:after="60"/>
            </w:pPr>
            <w:r>
              <w:rPr>
                <w:rFonts w:ascii="Arial" w:cs="Arial" w:eastAsia="Arial" w:hAnsi="Arial"/>
                <w:b/>
                <w:bCs/>
                <w:color w:val="854F0B"/>
                <w:sz w:val="21"/>
                <w:szCs w:val="21"/>
              </w:rPr>
              <w:t xml:space="preserve">Important note</w:t>
            </w:r>
          </w:p>
          <w:p>
            <w:r>
              <w:rPr>
                <w:rFonts w:ascii="Arial" w:cs="Arial" w:eastAsia="Arial" w:hAnsi="Arial"/>
                <w:color w:val="1A1A1A"/>
                <w:sz w:val="21"/>
                <w:szCs w:val="21"/>
              </w:rPr>
              <w:t xml:space="preserve">This document is a working policy framework to guide product and engineering decisions. It is not a substitute for review by a qualified UK data protection solicitor before launch, particularly given PropWise processes location-linked data at scale and operates adjacent to financial decision-making. Legal review is listed as a required pre-launch milestone in the Business Plan's risk analysis.</w:t>
            </w:r>
          </w:p>
        </w:tc>
      </w:tr>
    </w:tbl>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2. Data Categories Processed by PropWise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Category</w:t>
            </w:r>
          </w:p>
        </w:tc>
        <w:tc>
          <w:tcPr>
            <w:tcW w:type="dxa" w:w="516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Examples</w:t>
            </w:r>
          </w:p>
        </w:tc>
        <w:tc>
          <w:tcPr>
            <w:tcW w:type="dxa" w:w="20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Personal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Account data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Name, email, password hash, organisation membership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Usage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Properties searched, reports generated, login timestamps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(linked to account)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Payment data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Handled entirely by Stripe; PropWise stores only subscription status and plan 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(but minimal; processor handles card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Property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Addresses, sale prices, valuations, planning applications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 relates to property, not identifiable individuals, with one exception below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News content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Article text, headlines, AI classifications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 — public news content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40"/>
              <w:left w:type="dxa" w:w="200"/>
              <w:bottom w:type="dxa" w:w="140"/>
              <w:right w:type="dxa" w:w="200"/>
            </w:tcMar>
          </w:tcPr>
          <w:p>
            <w:pPr>
              <w:spacing w:after="60"/>
            </w:pPr>
            <w:r>
              <w:rPr>
                <w:rFonts w:ascii="Arial" w:cs="Arial" w:eastAsia="Arial" w:hAnsi="Arial"/>
                <w:b/>
                <w:bCs/>
                <w:color w:val="A32D2D"/>
                <w:sz w:val="21"/>
                <w:szCs w:val="21"/>
              </w:rPr>
              <w:t xml:space="preserve">The one exception</w:t>
            </w:r>
          </w:p>
          <w:p>
            <w:r>
              <w:rPr>
                <w:rFonts w:ascii="Arial" w:cs="Arial" w:eastAsia="Arial" w:hAnsi="Arial"/>
                <w:color w:val="1A1A1A"/>
                <w:sz w:val="21"/>
                <w:szCs w:val="21"/>
              </w:rPr>
              <w:t xml:space="preserve">Where a Land Registry record or news article identifies a specific named individual (e.g. a seller's name in a historical transaction, or a named individual in a planning dispute article), that becomes personal data under UK GDPR even though the primary subject is a property. PropWise's data pipeline must strip or pseudonymise personal names from ingested Land Registry and news data wherever they are not essential to the product's function, per Section 5.</w:t>
            </w:r>
          </w:p>
        </w:tc>
      </w:tr>
    </w:tbl>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3. Lawful Basis for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c>
          <w:tcPr>
            <w:tcW w:type="dxa" w:w="436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Processing Activity</w:t>
            </w:r>
          </w:p>
        </w:tc>
        <w:tc>
          <w:tcPr>
            <w:tcW w:type="dxa" w:w="50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Lawful Basis (UK GDPR Art. 6)</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Account creation and service delivery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Contract — necessary to perform the service the user signed up for</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Sending product/billing emails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Contract</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Marketing emails (with opt-in)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Consent — explicit opt-in at signup, separate from account terms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Usage analytics for product improvement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Legitimate interest — balanced against user privacy expectations, documented via a Legitimate Interest Assessment</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Processing publicly available Land Registry / news data</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Legitimate interest — data is already public; processing is for a clearly disclosed, compatible purpose</w:t>
            </w:r>
          </w:p>
        </w:tc>
      </w:tr>
    </w:tbl>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4. Data Subject Rights</w:t>
      </w:r>
    </w:p>
    <w:p>
      <w:pPr>
        <w:spacing w:after="80" w:before="80"/>
      </w:pPr>
      <w:r>
        <w:rPr>
          <w:rFonts w:ascii="Arial" w:cs="Arial" w:eastAsia="Arial" w:hAnsi="Arial"/>
          <w:color w:val="1A1A1A"/>
          <w:sz w:val="21"/>
          <w:szCs w:val="21"/>
        </w:rPr>
        <w:t xml:space="preserve">PropWise must support the following UK GDPR data subject rights for all account holders:</w:t>
      </w:r>
    </w:p>
    <w:p>
      <w:pPr>
        <w:pStyle w:val="ListParagraph"/>
        <w:numPr>
          <w:ilvl w:val="0"/>
          <w:numId w:val="2"/>
        </w:numPr>
        <w:spacing w:after="50" w:before="50"/>
      </w:pPr>
      <w:r>
        <w:rPr>
          <w:rFonts w:ascii="Arial" w:cs="Arial" w:eastAsia="Arial" w:hAnsi="Arial"/>
          <w:color w:val="1A1A1A"/>
          <w:sz w:val="21"/>
          <w:szCs w:val="21"/>
        </w:rPr>
        <w:t xml:space="preserve">Right of access — users can request a copy of all personal data PropWise holds about them.</w:t>
      </w:r>
    </w:p>
    <w:p>
      <w:pPr>
        <w:pStyle w:val="ListParagraph"/>
        <w:numPr>
          <w:ilvl w:val="0"/>
          <w:numId w:val="2"/>
        </w:numPr>
        <w:spacing w:after="50" w:before="50"/>
      </w:pPr>
      <w:r>
        <w:rPr>
          <w:rFonts w:ascii="Arial" w:cs="Arial" w:eastAsia="Arial" w:hAnsi="Arial"/>
          <w:color w:val="1A1A1A"/>
          <w:sz w:val="21"/>
          <w:szCs w:val="21"/>
        </w:rPr>
        <w:t xml:space="preserve">Right to rectification — users can correct inaccurate account information.</w:t>
      </w:r>
    </w:p>
    <w:p>
      <w:pPr>
        <w:pStyle w:val="ListParagraph"/>
        <w:numPr>
          <w:ilvl w:val="0"/>
          <w:numId w:val="2"/>
        </w:numPr>
        <w:spacing w:after="50" w:before="50"/>
      </w:pPr>
      <w:r>
        <w:rPr>
          <w:rFonts w:ascii="Arial" w:cs="Arial" w:eastAsia="Arial" w:hAnsi="Arial"/>
          <w:color w:val="1A1A1A"/>
          <w:sz w:val="21"/>
          <w:szCs w:val="21"/>
        </w:rPr>
        <w:t xml:space="preserve">Right to erasure — users can request account deletion; PropWise must delete personal data within 30 days, retaining only what is legally required (e.g. financial records for tax purposes, retained per Section 7).</w:t>
      </w:r>
    </w:p>
    <w:p>
      <w:pPr>
        <w:pStyle w:val="ListParagraph"/>
        <w:numPr>
          <w:ilvl w:val="0"/>
          <w:numId w:val="2"/>
        </w:numPr>
        <w:spacing w:after="50" w:before="50"/>
      </w:pPr>
      <w:r>
        <w:rPr>
          <w:rFonts w:ascii="Arial" w:cs="Arial" w:eastAsia="Arial" w:hAnsi="Arial"/>
          <w:color w:val="1A1A1A"/>
          <w:sz w:val="21"/>
          <w:szCs w:val="21"/>
        </w:rPr>
        <w:t xml:space="preserve">Right to data portability — users can request their account data in a machine-readable format.</w:t>
      </w:r>
    </w:p>
    <w:p>
      <w:pPr>
        <w:pStyle w:val="ListParagraph"/>
        <w:numPr>
          <w:ilvl w:val="0"/>
          <w:numId w:val="2"/>
        </w:numPr>
        <w:spacing w:after="50" w:before="50"/>
      </w:pPr>
      <w:r>
        <w:rPr>
          <w:rFonts w:ascii="Arial" w:cs="Arial" w:eastAsia="Arial" w:hAnsi="Arial"/>
          <w:color w:val="1A1A1A"/>
          <w:sz w:val="21"/>
          <w:szCs w:val="21"/>
        </w:rPr>
        <w:t xml:space="preserve">Right to object — users can object to processing based on legitimate interest, including analytics tracking.</w:t>
      </w:r>
    </w:p>
    <w:p>
      <w:pPr>
        <w:pStyle w:val="ListParagraph"/>
        <w:numPr>
          <w:ilvl w:val="0"/>
          <w:numId w:val="2"/>
        </w:numPr>
        <w:spacing w:after="50" w:before="50"/>
      </w:pPr>
      <w:r>
        <w:rPr>
          <w:rFonts w:ascii="Arial" w:cs="Arial" w:eastAsia="Arial" w:hAnsi="Arial"/>
          <w:color w:val="1A1A1A"/>
          <w:sz w:val="21"/>
          <w:szCs w:val="21"/>
        </w:rPr>
        <w:t xml:space="preserve">Right to withdraw consent — users can unsubscribe from marketing communications at any time via a one-click mechanism in every email.</w:t>
      </w:r>
    </w:p>
    <w:p>
      <w:pPr>
        <w:spacing w:after="100" w:before="0"/>
      </w:pPr>
      <w:r>
        <w:t xml:space="preserve"/>
      </w:r>
    </w:p>
    <w:p>
      <w:pPr>
        <w:spacing w:after="80" w:before="80"/>
      </w:pPr>
      <w:r>
        <w:rPr>
          <w:rFonts w:ascii="Arial" w:cs="Arial" w:eastAsia="Arial" w:hAnsi="Arial"/>
          <w:color w:val="1A1A1A"/>
          <w:sz w:val="21"/>
          <w:szCs w:val="21"/>
        </w:rPr>
        <w:t xml:space="preserve">Operationally, these rights should be supportable via a single internal admin tool from MVP launch, even if initially handled manually by the founding team rather than through a self-service portal.</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5. Data Minimisation in the News and Land Registry Pipeline</w:t>
      </w:r>
    </w:p>
    <w:p>
      <w:pPr>
        <w:spacing w:after="80" w:before="80"/>
      </w:pPr>
      <w:r>
        <w:rPr>
          <w:rFonts w:ascii="Arial" w:cs="Arial" w:eastAsia="Arial" w:hAnsi="Arial"/>
          <w:color w:val="1A1A1A"/>
          <w:sz w:val="21"/>
          <w:szCs w:val="21"/>
        </w:rPr>
        <w:t xml:space="preserve">Because PropWise ingests large volumes of third-party content (news articles, planning applications, historical sales records), data minimisation requires specific technical controls in the ingestion pipeline described in the Data Schema and API Ingestion Specification document:</w:t>
      </w:r>
    </w:p>
    <w:p>
      <w:pPr>
        <w:pStyle w:val="ListParagraph"/>
        <w:numPr>
          <w:ilvl w:val="0"/>
          <w:numId w:val="3"/>
        </w:numPr>
        <w:spacing w:after="50" w:before="50"/>
      </w:pPr>
      <w:r>
        <w:rPr>
          <w:rFonts w:ascii="Arial" w:cs="Arial" w:eastAsia="Arial" w:hAnsi="Arial"/>
          <w:color w:val="1A1A1A"/>
          <w:sz w:val="21"/>
          <w:szCs w:val="21"/>
        </w:rPr>
        <w:t xml:space="preserve">Named individuals appearing in ingested news articles or planning applications should be identified via the same NER process used for geo-tagging (Section 4.4 of the Data Schema document) and redacted from the ai_summary field before storage, unless the individual is a public official acting in an official capacity (e.g. a named councillor commenting on a planning decision).</w:t>
      </w:r>
    </w:p>
    <w:p>
      <w:pPr>
        <w:pStyle w:val="ListParagraph"/>
        <w:numPr>
          <w:ilvl w:val="0"/>
          <w:numId w:val="3"/>
        </w:numPr>
        <w:spacing w:after="50" w:before="50"/>
      </w:pPr>
      <w:r>
        <w:rPr>
          <w:rFonts w:ascii="Arial" w:cs="Arial" w:eastAsia="Arial" w:hAnsi="Arial"/>
          <w:color w:val="1A1A1A"/>
          <w:sz w:val="21"/>
          <w:szCs w:val="21"/>
        </w:rPr>
        <w:t xml:space="preserve">Land Registry data is processed at the property level; seller/buyer names are not present in the standard Price Paid Data file PropWise ingests, which limits exposure at the source.</w:t>
      </w:r>
    </w:p>
    <w:p>
      <w:pPr>
        <w:pStyle w:val="ListParagraph"/>
        <w:numPr>
          <w:ilvl w:val="0"/>
          <w:numId w:val="3"/>
        </w:numPr>
        <w:spacing w:after="50" w:before="50"/>
      </w:pPr>
      <w:r>
        <w:rPr>
          <w:rFonts w:ascii="Arial" w:cs="Arial" w:eastAsia="Arial" w:hAnsi="Arial"/>
          <w:color w:val="1A1A1A"/>
          <w:sz w:val="21"/>
          <w:szCs w:val="21"/>
        </w:rPr>
        <w:t xml:space="preserve">Raw article text is not retained beyond what is needed for classification; only the headline, source, URL, and AI-generated outputs are stored long-term. This limits the personal data footprint of the news_signals table.</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6. Third-Party Processors and International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Processor</w:t>
            </w:r>
          </w:p>
        </w:tc>
        <w:tc>
          <w:tcPr>
            <w:tcW w:type="dxa" w:w="24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Purpose</w:t>
            </w:r>
          </w:p>
        </w:tc>
        <w:tc>
          <w:tcPr>
            <w:tcW w:type="dxa" w:w="28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Data Shared</w:t>
            </w:r>
          </w:p>
        </w:tc>
        <w:tc>
          <w:tcPr>
            <w:tcW w:type="dxa" w:w="176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Location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Anthropic (Claude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News classification, report summary generation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Article text, geo-tags — no personal account data</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US (covered by UK GDPR-compliant data processing terms)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Billing details, card data (tokenised)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Global, GDPR/PCI-DSS compliant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Supabase / hosting provider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Database and application hosting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All application data</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EU/UK region selected at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NewsAPI / Diffbot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News content sourcing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PropWise user data shared — outbound queries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Email provider (e.g. Postmark/Resend)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Transactional and marketing 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Name, email address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EU/UK region selected at setup</w:t>
            </w:r>
          </w:p>
        </w:tc>
      </w:tr>
    </w:tbl>
    <w:p>
      <w:pPr>
        <w:spacing w:after="100" w:before="0"/>
      </w:pPr>
      <w:r>
        <w:t xml:space="preserve"/>
      </w:r>
    </w:p>
    <w:p>
      <w:pPr>
        <w:spacing w:after="80" w:before="80"/>
      </w:pPr>
      <w:r>
        <w:rPr>
          <w:rFonts w:ascii="Arial" w:cs="Arial" w:eastAsia="Arial" w:hAnsi="Arial"/>
          <w:color w:val="1A1A1A"/>
          <w:sz w:val="21"/>
          <w:szCs w:val="21"/>
        </w:rPr>
        <w:t xml:space="preserve">Where a processor is based outside the UK/EU, a Data Processing Agreement incorporating UK International Data Transfer Addendum terms (or equivalent Standard Contractual Clauses) must be in place before launch. This should be confirmed for each processor as part of pre-launch legal review.</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7.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Data Type</w:t>
            </w:r>
          </w:p>
        </w:tc>
        <w:tc>
          <w:tcPr>
            <w:tcW w:type="dxa" w:w="260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Retention Period</w:t>
            </w:r>
          </w:p>
        </w:tc>
        <w:tc>
          <w:tcPr>
            <w:tcW w:type="dxa" w:w="4160"/>
            <w:tcBorders>
              <w:top w:val="single" w:color="CCCCCC" w:sz="1"/>
              <w:left w:val="single" w:color="CCCCCC" w:sz="1"/>
              <w:bottom w:val="single" w:color="CCCCCC" w:sz="1"/>
              <w:right w:val="single" w:color="CCCCCC" w:sz="1"/>
            </w:tcBorders>
            <w:shd w:fill="0F6E56" w:val="clear"/>
            <w:tcMar>
              <w:top w:type="dxa" w:w="90"/>
              <w:left w:type="dxa" w:w="120"/>
              <w:bottom w:type="dxa" w:w="90"/>
              <w:right w:type="dxa" w:w="120"/>
            </w:tcMar>
          </w:tcPr>
          <w:p>
            <w:r>
              <w:rPr>
                <w:rFonts w:ascii="Arial" w:cs="Arial" w:eastAsia="Arial" w:hAnsi="Arial"/>
                <w:b/>
                <w:bCs/>
                <w:color w:val="FFFFFF"/>
                <w:sz w:val="19"/>
                <w:szCs w:val="19"/>
              </w:rPr>
              <w:t xml:space="preserve">Rationale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Active account data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Duration of account, plus 30 days post-deletion request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Operational need; UK GDPR erasure compliance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Financial/billing records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 years post-transaction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UK statutory requirement (HMRC record-keeping)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Usage analytics (aggregated)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Indefinite, in anonymised/aggregated form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Anonymised data falls outside UK GDPR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Raw news article content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90 days, then purged (only classified outputs retained)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Minimises personal data footprint per Section 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Valuation snapshots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Indefinite (property-level, not personal data)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Required for model backtesting and accuracy tracking</w:t>
            </w:r>
          </w:p>
        </w:tc>
      </w:tr>
    </w:tbl>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8. Security Measures</w:t>
      </w:r>
    </w:p>
    <w:p>
      <w:pPr>
        <w:pStyle w:val="ListParagraph"/>
        <w:numPr>
          <w:ilvl w:val="0"/>
          <w:numId w:val="2"/>
        </w:numPr>
        <w:spacing w:after="50" w:before="50"/>
      </w:pPr>
      <w:r>
        <w:rPr>
          <w:rFonts w:ascii="Arial" w:cs="Arial" w:eastAsia="Arial" w:hAnsi="Arial"/>
          <w:color w:val="1A1A1A"/>
          <w:sz w:val="21"/>
          <w:szCs w:val="21"/>
        </w:rPr>
        <w:t xml:space="preserve">All data encrypted in transit (TLS 1.2+) and at rest (database-level encryption via the managed database provider).</w:t>
      </w:r>
    </w:p>
    <w:p>
      <w:pPr>
        <w:pStyle w:val="ListParagraph"/>
        <w:numPr>
          <w:ilvl w:val="0"/>
          <w:numId w:val="2"/>
        </w:numPr>
        <w:spacing w:after="50" w:before="50"/>
      </w:pPr>
      <w:r>
        <w:rPr>
          <w:rFonts w:ascii="Arial" w:cs="Arial" w:eastAsia="Arial" w:hAnsi="Arial"/>
          <w:color w:val="1A1A1A"/>
          <w:sz w:val="21"/>
          <w:szCs w:val="21"/>
        </w:rPr>
        <w:t xml:space="preserve">Authentication handled by a managed auth provider with secure password hashing (bcrypt/argon2) — PropWise never stores plaintext passwords.</w:t>
      </w:r>
    </w:p>
    <w:p>
      <w:pPr>
        <w:pStyle w:val="ListParagraph"/>
        <w:numPr>
          <w:ilvl w:val="0"/>
          <w:numId w:val="2"/>
        </w:numPr>
        <w:spacing w:after="50" w:before="50"/>
      </w:pPr>
      <w:r>
        <w:rPr>
          <w:rFonts w:ascii="Arial" w:cs="Arial" w:eastAsia="Arial" w:hAnsi="Arial"/>
          <w:color w:val="1A1A1A"/>
          <w:sz w:val="21"/>
          <w:szCs w:val="21"/>
        </w:rPr>
        <w:t xml:space="preserve">Role-based access control as defined in the System Architecture Document, Section 7, limiting agency staff to their own organisation's data.</w:t>
      </w:r>
    </w:p>
    <w:p>
      <w:pPr>
        <w:pStyle w:val="ListParagraph"/>
        <w:numPr>
          <w:ilvl w:val="0"/>
          <w:numId w:val="2"/>
        </w:numPr>
        <w:spacing w:after="50" w:before="50"/>
      </w:pPr>
      <w:r>
        <w:rPr>
          <w:rFonts w:ascii="Arial" w:cs="Arial" w:eastAsia="Arial" w:hAnsi="Arial"/>
          <w:color w:val="1A1A1A"/>
          <w:sz w:val="21"/>
          <w:szCs w:val="21"/>
        </w:rPr>
        <w:t xml:space="preserve">API keys and secrets stored in the hosting platform's secret manager, never in source control, per the System Architecture Document.</w:t>
      </w:r>
    </w:p>
    <w:p>
      <w:pPr>
        <w:pStyle w:val="ListParagraph"/>
        <w:numPr>
          <w:ilvl w:val="0"/>
          <w:numId w:val="2"/>
        </w:numPr>
        <w:spacing w:after="50" w:before="50"/>
      </w:pPr>
      <w:r>
        <w:rPr>
          <w:rFonts w:ascii="Arial" w:cs="Arial" w:eastAsia="Arial" w:hAnsi="Arial"/>
          <w:color w:val="1A1A1A"/>
          <w:sz w:val="21"/>
          <w:szCs w:val="21"/>
        </w:rPr>
        <w:t xml:space="preserve">Access logging for all admin actions (e.g. manual data subject request fulfilment) to maintain an audit trail.</w:t>
      </w:r>
    </w:p>
    <w:p>
      <w:pPr>
        <w:pStyle w:val="ListParagraph"/>
        <w:numPr>
          <w:ilvl w:val="0"/>
          <w:numId w:val="2"/>
        </w:numPr>
        <w:spacing w:after="50" w:before="50"/>
      </w:pPr>
      <w:r>
        <w:rPr>
          <w:rFonts w:ascii="Arial" w:cs="Arial" w:eastAsia="Arial" w:hAnsi="Arial"/>
          <w:color w:val="1A1A1A"/>
          <w:sz w:val="21"/>
          <w:szCs w:val="21"/>
        </w:rPr>
        <w:t xml:space="preserve">A documented incident response process, including a 72-hour notification commitment to the ICO (Information Commissioner's Office) in the event of a qualifying personal data breach, per UK GDPR Article 33.</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9. Regulatory Positioning — Financial Promotion and Advice Boundaries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40"/>
              <w:left w:type="dxa" w:w="200"/>
              <w:bottom w:type="dxa" w:w="140"/>
              <w:right w:type="dxa" w:w="200"/>
            </w:tcMar>
          </w:tcPr>
          <w:p>
            <w:pPr>
              <w:spacing w:after="60"/>
            </w:pPr>
            <w:r>
              <w:rPr>
                <w:rFonts w:ascii="Arial" w:cs="Arial" w:eastAsia="Arial" w:hAnsi="Arial"/>
                <w:b/>
                <w:bCs/>
                <w:color w:val="A32D2D"/>
                <w:sz w:val="21"/>
                <w:szCs w:val="21"/>
              </w:rPr>
              <w:t xml:space="preserve">Key regulatory risk</w:t>
            </w:r>
          </w:p>
          <w:p>
            <w:r>
              <w:rPr>
                <w:rFonts w:ascii="Arial" w:cs="Arial" w:eastAsia="Arial" w:hAnsi="Arial"/>
                <w:color w:val="1A1A1A"/>
                <w:sz w:val="21"/>
                <w:szCs w:val="21"/>
              </w:rPr>
              <w:t xml:space="preserve">PropWise must not be positioned, marketed, or function as regulated investment advice under the Financial Services and Markets Act 2000 (FSMA) and FCA rules. PropWise provides property data and analytical tools, not personalised investment recommendations — this distinction must be reflected consistently in product copy, marketing, and terms of service.</w:t>
            </w:r>
          </w:p>
        </w:tc>
      </w:tr>
    </w:tbl>
    <w:p>
      <w:pPr>
        <w:spacing w:after="80" w:before="80"/>
      </w:pPr>
      <w:r>
        <w:rPr>
          <w:rFonts w:ascii="Arial" w:cs="Arial" w:eastAsia="Arial" w:hAnsi="Arial"/>
          <w:color w:val="1A1A1A"/>
          <w:sz w:val="21"/>
          <w:szCs w:val="21"/>
        </w:rPr>
        <w:t xml:space="preserve">Practical implications for product and marketing:</w:t>
      </w:r>
    </w:p>
    <w:p>
      <w:pPr>
        <w:pStyle w:val="ListParagraph"/>
        <w:numPr>
          <w:ilvl w:val="0"/>
          <w:numId w:val="2"/>
        </w:numPr>
        <w:spacing w:after="50" w:before="50"/>
      </w:pPr>
      <w:r>
        <w:rPr>
          <w:rFonts w:ascii="Arial" w:cs="Arial" w:eastAsia="Arial" w:hAnsi="Arial"/>
          <w:color w:val="1A1A1A"/>
          <w:sz w:val="21"/>
          <w:szCs w:val="21"/>
        </w:rPr>
        <w:t xml:space="preserve">All valuation outputs must be framed as estimates with disclosed confidence levels and methodology, never as guaranteed or certain figures.</w:t>
      </w:r>
    </w:p>
    <w:p>
      <w:pPr>
        <w:pStyle w:val="ListParagraph"/>
        <w:numPr>
          <w:ilvl w:val="0"/>
          <w:numId w:val="2"/>
        </w:numPr>
        <w:spacing w:after="50" w:before="50"/>
      </w:pPr>
      <w:r>
        <w:rPr>
          <w:rFonts w:ascii="Arial" w:cs="Arial" w:eastAsia="Arial" w:hAnsi="Arial"/>
          <w:color w:val="1A1A1A"/>
          <w:sz w:val="21"/>
          <w:szCs w:val="21"/>
        </w:rPr>
        <w:t xml:space="preserve">The Investment Score and AI verdict language (as shown in product mockups) must avoid imperative language like "you should buy" or "this is a good investment" and instead use descriptive framing: "this property scores X based on the following factors."</w:t>
      </w:r>
    </w:p>
    <w:p>
      <w:pPr>
        <w:pStyle w:val="ListParagraph"/>
        <w:numPr>
          <w:ilvl w:val="0"/>
          <w:numId w:val="2"/>
        </w:numPr>
        <w:spacing w:after="50" w:before="50"/>
      </w:pPr>
      <w:r>
        <w:rPr>
          <w:rFonts w:ascii="Arial" w:cs="Arial" w:eastAsia="Arial" w:hAnsi="Arial"/>
          <w:color w:val="1A1A1A"/>
          <w:sz w:val="21"/>
          <w:szCs w:val="21"/>
        </w:rPr>
        <w:t xml:space="preserve">Terms of Service must include a clear disclaimer that PropWise is an information and analytics service, not a financial adviser, mortgage broker, or surveyor, and that users should seek independent professional advice (e.g. a RICS-qualified surveyor) before making a purchase decision.</w:t>
      </w:r>
    </w:p>
    <w:p>
      <w:pPr>
        <w:pStyle w:val="ListParagraph"/>
        <w:numPr>
          <w:ilvl w:val="0"/>
          <w:numId w:val="2"/>
        </w:numPr>
        <w:spacing w:after="50" w:before="50"/>
      </w:pPr>
      <w:r>
        <w:rPr>
          <w:rFonts w:ascii="Arial" w:cs="Arial" w:eastAsia="Arial" w:hAnsi="Arial"/>
          <w:color w:val="1A1A1A"/>
          <w:sz w:val="21"/>
          <w:szCs w:val="21"/>
        </w:rPr>
        <w:t xml:space="preserve">If PropWise later introduces features closer to personalised recommendations (e.g. "properties matched to your investment goals") FCA authorisation requirements should be re-assessed at that time with legal counsel, as the regulatory boundary shifts with product functionality.</w:t>
      </w:r>
    </w:p>
    <w:p>
      <w:pPr>
        <w:pBdr>
          <w:bottom w:val="single" w:color="0F6E56" w:sz="4" w:space="1"/>
        </w:pBdr>
        <w:spacing w:after="200" w:before="160"/>
      </w:pPr>
      <w:r>
        <w:t xml:space="preserve"/>
      </w:r>
    </w:p>
    <w:p>
      <w:pPr>
        <w:pStyle w:val="Heading1"/>
        <w:spacing w:after="160" w:before="360"/>
      </w:pPr>
      <w:r>
        <w:rPr>
          <w:rFonts w:ascii="Arial" w:cs="Arial" w:eastAsia="Arial" w:hAnsi="Arial"/>
          <w:b/>
          <w:bCs/>
          <w:color w:val="0F6E56"/>
          <w:sz w:val="30"/>
          <w:szCs w:val="30"/>
        </w:rPr>
        <w:t xml:space="preserve">10. Pre-Launch Compliance Checklist</w:t>
      </w:r>
    </w:p>
    <w:p>
      <w:pPr>
        <w:pStyle w:val="ListParagraph"/>
        <w:numPr>
          <w:ilvl w:val="0"/>
          <w:numId w:val="2"/>
        </w:numPr>
        <w:spacing w:after="50" w:before="50"/>
      </w:pPr>
      <w:r>
        <w:rPr>
          <w:rFonts w:ascii="Arial" w:cs="Arial" w:eastAsia="Arial" w:hAnsi="Arial"/>
          <w:color w:val="1A1A1A"/>
          <w:sz w:val="21"/>
          <w:szCs w:val="21"/>
        </w:rPr>
        <w:t xml:space="preserve">Engage a UK data protection solicitor to review this policy and the resulting Privacy Policy / Terms of Service before public launch.</w:t>
      </w:r>
    </w:p>
    <w:p>
      <w:pPr>
        <w:pStyle w:val="ListParagraph"/>
        <w:numPr>
          <w:ilvl w:val="0"/>
          <w:numId w:val="2"/>
        </w:numPr>
        <w:spacing w:after="50" w:before="50"/>
      </w:pPr>
      <w:r>
        <w:rPr>
          <w:rFonts w:ascii="Arial" w:cs="Arial" w:eastAsia="Arial" w:hAnsi="Arial"/>
          <w:color w:val="1A1A1A"/>
          <w:sz w:val="21"/>
          <w:szCs w:val="21"/>
        </w:rPr>
        <w:t xml:space="preserve">Register with the ICO as a data controller (required for organisations processing personal data, with a modest annual fee based on company size).</w:t>
      </w:r>
    </w:p>
    <w:p>
      <w:pPr>
        <w:pStyle w:val="ListParagraph"/>
        <w:numPr>
          <w:ilvl w:val="0"/>
          <w:numId w:val="2"/>
        </w:numPr>
        <w:spacing w:after="50" w:before="50"/>
      </w:pPr>
      <w:r>
        <w:rPr>
          <w:rFonts w:ascii="Arial" w:cs="Arial" w:eastAsia="Arial" w:hAnsi="Arial"/>
          <w:color w:val="1A1A1A"/>
          <w:sz w:val="21"/>
          <w:szCs w:val="21"/>
        </w:rPr>
        <w:t xml:space="preserve">Complete Data Processing Agreements with all third-party processors listed in Section 6.</w:t>
      </w:r>
    </w:p>
    <w:p>
      <w:pPr>
        <w:pStyle w:val="ListParagraph"/>
        <w:numPr>
          <w:ilvl w:val="0"/>
          <w:numId w:val="2"/>
        </w:numPr>
        <w:spacing w:after="50" w:before="50"/>
      </w:pPr>
      <w:r>
        <w:rPr>
          <w:rFonts w:ascii="Arial" w:cs="Arial" w:eastAsia="Arial" w:hAnsi="Arial"/>
          <w:color w:val="1A1A1A"/>
          <w:sz w:val="21"/>
          <w:szCs w:val="21"/>
        </w:rPr>
        <w:t xml:space="preserve">Conduct a Data Protection Impact Assessment (DPIA) given the scale of location-linked data processing, as recommended (and likely required) under UK GDPR for processing that involves systematic monitoring or large-scale processing of data linked to specific locations.</w:t>
      </w:r>
    </w:p>
    <w:p>
      <w:pPr>
        <w:pStyle w:val="ListParagraph"/>
        <w:numPr>
          <w:ilvl w:val="0"/>
          <w:numId w:val="2"/>
        </w:numPr>
        <w:spacing w:after="50" w:before="50"/>
      </w:pPr>
      <w:r>
        <w:rPr>
          <w:rFonts w:ascii="Arial" w:cs="Arial" w:eastAsia="Arial" w:hAnsi="Arial"/>
          <w:color w:val="1A1A1A"/>
          <w:sz w:val="21"/>
          <w:szCs w:val="21"/>
        </w:rPr>
        <w:t xml:space="preserve">Confirm FCA guidance positioning with legal counsel before finalising any product copy that could be construed as investment advice, per Section 9.</w:t>
      </w:r>
    </w:p>
    <w:p>
      <w:pPr>
        <w:pStyle w:val="ListParagraph"/>
        <w:numPr>
          <w:ilvl w:val="0"/>
          <w:numId w:val="2"/>
        </w:numPr>
        <w:spacing w:after="50" w:before="50"/>
      </w:pPr>
      <w:r>
        <w:rPr>
          <w:rFonts w:ascii="Arial" w:cs="Arial" w:eastAsia="Arial" w:hAnsi="Arial"/>
          <w:color w:val="1A1A1A"/>
          <w:sz w:val="21"/>
          <w:szCs w:val="21"/>
        </w:rPr>
        <w:t xml:space="preserve">Implement the data subject rights workflows described in Section 4 before accepting the first paying customer.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PropWise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5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2026-06-19T04:52:06.927Z</dcterms:created>
  <dcterms:modified xsi:type="dcterms:W3CDTF">2026-06-19T04:52:06.927Z</dcterms:modified>
</cp:coreProperties>
</file>

<file path=docProps/custom.xml><?xml version="1.0" encoding="utf-8"?>
<Properties xmlns="http://schemas.openxmlformats.org/officeDocument/2006/custom-properties" xmlns:vt="http://schemas.openxmlformats.org/officeDocument/2006/docPropsVTypes"/>
</file>