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 del sistema de restaurante</w:t>
      </w:r>
    </w:p>
    <w:p>
      <w:pPr>
        <w:pStyle w:val="Subtitle"/>
      </w:pPr>
      <w:r>
        <w:t>Expediente de restaurante 1.2   Octubre de 2026</w:t>
      </w:r>
    </w:p>
    <w:p>
      <w:pPr>
        <w:pStyle w:val="Heading1"/>
      </w:pPr>
      <w:r>
        <w:t>Propósito y uso del registro</w:t>
      </w:r>
    </w:p>
    <w:p>
      <w:r>
        <w:t>Este documento conserva las razones de las decisiones de arquitectura del sistema de restaurante y sus efectos sobre datos, API, seguridad, pruebas e implementación. Reúne siete registros relacionados con el ADD. La base PostgreSQL 18 V4 ya existe; el backend, el stack de aplicación y la adopción productiva siguen la planificación pendiente.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408"/>
        <w:gridCol w:w="1872"/>
      </w:tblGrid>
      <w:tr>
        <w:trPr>
          <w:cantSplit/>
          <w:tblHeader/>
        </w:trPr>
        <w:tc>
          <w:tcPr>
            <w:tcW w:type="dxa" w:w="1152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6408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Decisión</w:t>
            </w:r>
          </w:p>
        </w:tc>
        <w:tc>
          <w:tcPr>
            <w:tcW w:type="dxa" w:w="1872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Estado formal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ADR-01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Monolito modular con transacciones locales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ADR-02</w:t>
            </w:r>
          </w:p>
        </w:tc>
        <w:tc>
          <w:tcPr>
            <w:tcW w:type="dxa" w:w="64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PostgreSQL como autoridad de integridad</w:t>
            </w:r>
          </w:p>
        </w:tc>
        <w:tc>
          <w:tcPr>
            <w:tcW w:type="dxa" w:w="187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ADR-03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Auditoría contextual y baja lógica selectiva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ADR-04</w:t>
            </w:r>
          </w:p>
        </w:tc>
        <w:tc>
          <w:tcPr>
            <w:tcW w:type="dxa" w:w="64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Idempotencia persistente por intención</w:t>
            </w:r>
          </w:p>
        </w:tc>
        <w:tc>
          <w:tcPr>
            <w:tcW w:type="dxa" w:w="187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ADR-05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Integraciones externas recuperables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ADR-06</w:t>
            </w:r>
          </w:p>
        </w:tc>
        <w:tc>
          <w:tcPr>
            <w:tcW w:type="dxa" w:w="64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Selección explícita del stack de aplicación</w:t>
            </w:r>
          </w:p>
        </w:tc>
        <w:tc>
          <w:tcPr>
            <w:tcW w:type="dxa" w:w="187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ADR-07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Evolución del esquema mediante migraciones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PROPUESTO</w:t>
            </w:r>
          </w:p>
        </w:tc>
      </w:tr>
    </w:tbl>
    <w:p>
      <w:pPr>
        <w:spacing w:after="20"/>
      </w:pPr>
    </w:p>
    <w:p>
      <w:pPr>
        <w:pStyle w:val="Heading2"/>
      </w:pPr>
      <w:r>
        <w:t>Control y responsabilidad</w:t>
      </w:r>
    </w:p>
    <w:p>
      <w:r>
        <w:t>El responsable técnico propuesto mantiene el registro. La aceptación debe identificar quién decide, fecha, versión y evidencia; estos campos aún están vacíos. Una decisión documentada no acredita una implementación. El estado base existente se consigna por separado para no confundir V4 con una aprobación de producción.</w:t>
      </w:r>
    </w:p>
    <w:p>
      <w:r>
        <w:t>Un ADR explica contexto, opciones, decisión y consecuencias. Después de aceptación, un cambio sustantivo se registra mediante otro ADR que lo sustituye, conservando el anterior. Este ciclo sigue la referencia F11. Los asuntos de negocio y operación DEC 01 a 08 tienen su propio registro y no se renombran como ADR.</w:t>
      </w:r>
    </w:p>
    <w:p>
      <w:pPr>
        <w:pStyle w:val="Heading2"/>
      </w:pPr>
      <w:r>
        <w:t>Corrección de la numeración</w:t>
      </w:r>
    </w:p>
    <w:p>
      <w:r>
        <w:t>ADR 06 conserva la selección del stack. La referencia anterior a migraciones bajo ese número se corrige a ADR 07. El HTML, el JSON, el ADD y la trazabilidad usan la misma correspondencia. Los siete registros proceden de registro_adr.json.</w:t>
      </w:r>
    </w:p>
    <w:p>
      <w:r>
        <w:t>Referencia metodológica F11: AWS Prescriptive Guidance, Architectural decision record process. URL y fecha en fuentes.html. Los vínculos RF y CP de cada registro remiten a requisitos y pruebas del expediente.</w:t>
      </w:r>
    </w:p>
    <w:p>
      <w:r>
        <w:br w:type="page"/>
      </w:r>
    </w:p>
    <w:p>
      <w:pPr>
        <w:pStyle w:val="Heading1"/>
      </w:pPr>
      <w:r>
        <w:t>ADR 01 Monolito modular con transacciones locales</w:t>
      </w:r>
    </w:p>
    <w:p>
      <w:r>
        <w:t>Estado PROPUESTO   Versión 1.2   Fecha 12 octubre 2026</w:t>
      </w:r>
    </w:p>
    <w:p>
      <w:r>
        <w:t>Base verificable: Diseño propuesto; backend pendiente.</w:t>
      </w:r>
    </w:p>
    <w:p>
      <w:pPr>
        <w:pStyle w:val="Heading2"/>
      </w:pPr>
      <w:r>
        <w:t>Contexto</w:t>
      </w:r>
    </w:p>
    <w:p>
      <w:r>
        <w:t>Abrir un pedido, distribuir sus consumos, cobrar y confirmar movimientos de inventario requiere preservar reglas compartidas. El equipo de implementación aún no necesita despliegues independientes por dominio y el SQL V4 reúne el negocio en un esquema.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Microservicios por dominio: permiten despliegues independientes, pero incorporan coordinación distribuida y operación adicional.</w:t>
      </w:r>
    </w:p>
    <w:p>
      <w:pPr>
        <w:pStyle w:val="ListBullet"/>
      </w:pPr>
      <w:r>
        <w:t>Monolito sin límites internos: facilita el inicio, pero favorece accesos cruzados y reglas duplicadas.</w:t>
      </w:r>
    </w:p>
    <w:p>
      <w:r>
        <w:t>Organizar un backend como monolito modular y una aplicación web. Separar Identidad, Catálogos, Atención, Producción, Caja, Abastecimiento, Comprobantes y Consulta. Un caso de uso puede coordinar varios módulos dentro de una transacción PostgreSQL.</w:t>
      </w:r>
    </w:p>
    <w:p>
      <w:pPr>
        <w:pStyle w:val="Heading2"/>
      </w:pPr>
      <w:r>
        <w:t>Justificación y consecuencias</w:t>
      </w:r>
    </w:p>
    <w:p>
      <w:r>
        <w:t>Las operaciones críticas pueden confirmarse o revertirse juntas. Cada módulo expone servicios internos y concentra sus reglas; esta separación permite cambiar la interfaz sin repartir prematuramente la consistencia entre servicios.</w:t>
      </w:r>
    </w:p>
    <w:p>
      <w:r>
        <w:t>Reduce componentes desplegables y facilita pruebas integradas. Exige controlar dependencias y evitar que un módulo escriba directamente en las tablas de otro. Las consultas de reportes pueden combinar proyecciones autorizadas sin asumir autoridad de escritura.</w:t>
      </w:r>
    </w:p>
    <w:p>
      <w:pPr>
        <w:pStyle w:val="Heading2"/>
      </w:pPr>
      <w:r>
        <w:t>Verificación y revisión</w:t>
      </w:r>
    </w:p>
    <w:p>
      <w:r>
        <w:t>Revisar dependencias y ejecutar apertura de pedido, cobro y consumo con fallos inyectados. Ningún fallo debe dejar cabeceras, pagos o movimientos parciales.</w:t>
      </w:r>
    </w:p>
    <w:p>
      <w:r>
        <w:t>Reconsiderar separación de servicios cuando una necesidad medida de escala, equipos o aislamiento supere el costo de coordinación.</w:t>
      </w:r>
    </w:p>
    <w:p>
      <w:pPr>
        <w:pStyle w:val="Heading2"/>
      </w:pPr>
      <w:r>
        <w:t>Trazabilidad</w:t>
      </w:r>
    </w:p>
    <w:p>
      <w:r>
        <w:t>Requisitos: RES-RF-006, RES-RF-007, RES-RF-009, RES-RF-011, RES-RF-012, RES-RF-013, RES-RF-014, RES-RF-015, RES-RF-016, RES-RF-019, RES-RF-020, RES-RF-023, RES-RF-026, RES-RF-032. Pruebas: mismos números RES CP. Calidad: NFR-02, NFR-09.</w:t>
      </w:r>
    </w:p>
    <w:p>
      <w:r>
        <w:t>Diseño: ADD-02, ADD-03, ADD-07. Incrementos: I1, I3, I4, I5, I6, I8. Resoluciones: DEC-02, DEC-03. Fuentes: F07.</w:t>
      </w:r>
    </w:p>
    <w:p>
      <w:r>
        <w:br w:type="page"/>
      </w:r>
    </w:p>
    <w:p>
      <w:pPr>
        <w:pStyle w:val="Heading1"/>
      </w:pPr>
      <w:r>
        <w:t>ADR 02 PostgreSQL como autoridad de integridad</w:t>
      </w:r>
    </w:p>
    <w:p>
      <w:r>
        <w:t>Estado PROPUESTO   Versión 1.2   Fecha 12 octubre 2026</w:t>
      </w:r>
    </w:p>
    <w:p>
      <w:r>
        <w:t>Base verificable: SQL V4 existente; integración de aplicación pendiente.</w:t>
      </w:r>
    </w:p>
    <w:p>
      <w:pPr>
        <w:pStyle w:val="Heading2"/>
      </w:pPr>
      <w:r>
        <w:t>Contexto</w:t>
      </w:r>
    </w:p>
    <w:p>
      <w:r>
        <w:t>El modelo cuenta con 49 tablas, restricciones, funciones y triggers. Un servicio, una importación o un proceso interno pueden escribir datos; una validación exclusiva del formulario no protege a todos los escritores.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Validar solo en interfaz u ORM: deja huecos ante procesos externos o escrituras concurrentes.</w:t>
      </w:r>
    </w:p>
    <w:p>
      <w:pPr>
        <w:pStyle w:val="ListBullet"/>
      </w:pPr>
      <w:r>
        <w:t>Mover toda regla a la base: dificulta autorización, integración externa y coordinación de casos de uso.</w:t>
      </w:r>
    </w:p>
    <w:p>
      <w:r>
        <w:t>Mantener claves, unicidad, restricciones y protecciones transaccionales de la V4 en PostgreSQL 18. El backend valida permisos, sucursal, estados permitidos y unidades de trabajo. Usar READ COMMITTED conforme a las funciones existentes y orden consistente de bloqueos.</w:t>
      </w:r>
    </w:p>
    <w:p>
      <w:pPr>
        <w:pStyle w:val="Heading2"/>
      </w:pPr>
      <w:r>
        <w:t>Justificación y consecuencias</w:t>
      </w:r>
    </w:p>
    <w:p>
      <w:r>
        <w:t>La protección de dinero, stock e identidad debe mantenerse incluso si una solicitud llega por un canal distinto. La base conserva integridad; el servicio aporta contexto funcional y mensajes adecuados.</w:t>
      </w:r>
    </w:p>
    <w:p>
      <w:r>
        <w:t>Requiere pruebas contra PostgreSQL nativo, migraciones revisadas y un rol de ejecución limitado. No se pueden reemplazar reglas SQL por validaciones del ORM sin demostrar cobertura equivalente. Las pruebas temporales PGlite no prueban concurrencia multiproceso.</w:t>
      </w:r>
    </w:p>
    <w:p>
      <w:pPr>
        <w:pStyle w:val="Heading2"/>
      </w:pPr>
      <w:r>
        <w:t>Verificación y revisión</w:t>
      </w:r>
    </w:p>
    <w:p>
      <w:r>
        <w:t>Comprobar dos cobros sobre una misma cuenta y dos salidas del mismo artículo. Debe impedirse sobrepago y stock negativo sin efectos parciales. Verificar también restricciones y reservas.</w:t>
      </w:r>
    </w:p>
    <w:p>
      <w:r>
        <w:t>Revisar cualquier cambio de aislamiento o motor junto con las funciones críticas y sus pruebas. El catálogo estructural describe la implementación V4.</w:t>
      </w:r>
    </w:p>
    <w:p>
      <w:pPr>
        <w:pStyle w:val="Heading2"/>
      </w:pPr>
      <w:r>
        <w:t>Trazabilidad</w:t>
      </w:r>
    </w:p>
    <w:p>
      <w:r>
        <w:t>Requisitos: RES-RF-006, RES-RF-007, RES-RF-008, RES-RF-009, RES-RF-010, RES-RF-011, RES-RF-013, RES-RF-014, RES-RF-015, RES-RF-016, RES-RF-018, RES-RF-019, RES-RF-020, RES-RF-021, RES-RF-022, RES-RF-023, RES-RF-024, RES-RF-025, RES-RF-026, RES-RF-032. Pruebas: mismos números RES CP. Calidad: NFR-02, NFR-10.</w:t>
      </w:r>
    </w:p>
    <w:p>
      <w:r>
        <w:t>Diseño: ADD-04, ADD-06, ADD-07. Incrementos: I1, I2, I3, I4, I5, I6, I8. Resoluciones: DEC-05. Fuentes: F01, F02.</w:t>
      </w:r>
    </w:p>
    <w:p>
      <w:r>
        <w:br w:type="page"/>
      </w:r>
    </w:p>
    <w:p>
      <w:pPr>
        <w:pStyle w:val="Heading1"/>
      </w:pPr>
      <w:r>
        <w:t>ADR 03 Auditoría contextual y baja lógica selectiva</w:t>
      </w:r>
    </w:p>
    <w:p>
      <w:r>
        <w:t>Estado PROPUESTO   Versión 1.2   Fecha 12 octubre 2026</w:t>
      </w:r>
    </w:p>
    <w:p>
      <w:r>
        <w:t>Base verificable: Campos y protecciones existentes en SQL V4.</w:t>
      </w:r>
    </w:p>
    <w:p>
      <w:pPr>
        <w:pStyle w:val="Heading2"/>
      </w:pPr>
      <w:r>
        <w:t>Contexto</w:t>
      </w:r>
    </w:p>
    <w:p>
      <w:r>
        <w:t>El usuario solicitó creado_por, actualizado_por y eliminación lógica sin confundirlos con el estado del negocio. Los documentos, pagos y movimientos deben permanecer conciliables aunque un maestro deje de utilizarse.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Borrar físicamente: rompe historia y referencias.</w:t>
      </w:r>
    </w:p>
    <w:p>
      <w:pPr>
        <w:pStyle w:val="ListBullet"/>
      </w:pPr>
      <w:r>
        <w:t>Agregar es_activo a toda tabla y ocultar filas: puede esconder saldos, documentos o movimientos confirmados.</w:t>
      </w:r>
    </w:p>
    <w:p>
      <w:r>
        <w:t>Conservar creado_en/por en 49 tablas y actualizado_en/por en 46. Usar es_activo en 26: nueve maestros principales con tres marcadores de eliminación y 17 catálogos o relaciones sin ellos. El backend fija app.usuario_id; los 13 estados operativos permanecen independientes de la baja.</w:t>
      </w:r>
    </w:p>
    <w:p>
      <w:pPr>
        <w:pStyle w:val="Heading2"/>
      </w:pPr>
      <w:r>
        <w:t>Justificación y consecuencias</w:t>
      </w:r>
    </w:p>
    <w:p>
      <w:r>
        <w:t>La baja impide nuevas selecciones sin destruir la identidad histórica. Separar última edición del historial auditoria_eventos permite seguir tanto el estado actual como los cambios relevantes.</w:t>
      </w:r>
    </w:p>
    <w:p>
      <w:r>
        <w:t>Restaurar reutiliza el mismo ID; los códigos únicos no se liberan por la baja. Las consultas nuevas deben verificar toda la cadena activa. Los históricos y saldos no se filtran según la actividad actual del maestro. Retención y purga requieren una política aparte.</w:t>
      </w:r>
    </w:p>
    <w:p>
      <w:pPr>
        <w:pStyle w:val="Heading2"/>
      </w:pPr>
      <w:r>
        <w:t>Verificación y revisión</w:t>
      </w:r>
    </w:p>
    <w:p>
      <w:r>
        <w:t>Dar de baja y restaurar un producto o cliente, verificar actor, fecha y motivo, y confirmar que el historial y la unicidad se conservan. Rechazar intento de suplantar creado_por y excluir secretos del evento.</w:t>
      </w:r>
    </w:p>
    <w:p>
      <w:r>
        <w:t>Revisar retención de datos y futuras entidades mediante migración. La matriz de auditoría conserva el inventario exacto y es preferible a generalizar por nombre de módulo.</w:t>
      </w:r>
    </w:p>
    <w:p>
      <w:pPr>
        <w:pStyle w:val="Heading2"/>
      </w:pPr>
      <w:r>
        <w:t>Trazabilidad</w:t>
      </w:r>
    </w:p>
    <w:p>
      <w:r>
        <w:t>Requisitos: RES-RF-003, RES-RF-004, RES-RF-005, RES-RF-008, RES-RF-021, RES-RF-030, RES-RF-031, RES-RF-033. Pruebas: mismos números RES CP. Calidad: NFR-01, NFR-07.</w:t>
      </w:r>
    </w:p>
    <w:p>
      <w:r>
        <w:t>Diseño: ADD-05, ADD-09. Incrementos: I1, I2, I5, I8. Resoluciones: DEC-06, DEC-08. Fuentes: F01, F06.</w:t>
      </w:r>
    </w:p>
    <w:p>
      <w:r>
        <w:br w:type="page"/>
      </w:r>
    </w:p>
    <w:p>
      <w:pPr>
        <w:pStyle w:val="Heading1"/>
      </w:pPr>
      <w:r>
        <w:t>ADR 04 Idempotencia persistente por intención</w:t>
      </w:r>
    </w:p>
    <w:p>
      <w:r>
        <w:t>Estado PROPUESTO   Versión 1.2   Fecha 12 octubre 2026</w:t>
      </w:r>
    </w:p>
    <w:p>
      <w:r>
        <w:t>Base verificable: Claves existentes en V4; coordinación HTTP pendiente.</w:t>
      </w:r>
    </w:p>
    <w:p>
      <w:pPr>
        <w:pStyle w:val="Heading2"/>
      </w:pPr>
      <w:r>
        <w:t>Contexto</w:t>
      </w:r>
    </w:p>
    <w:p>
      <w:r>
        <w:t>Un doble clic, timeout o reconexión puede repetir un cobro, comanda o recepción. Desactivar botones no permite distinguir una intención repetida de otra operación válida y no protege varias sesiones.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Bloqueo de botón: útil para experiencia, insuficiente para integridad.</w:t>
      </w:r>
    </w:p>
    <w:p>
      <w:pPr>
        <w:pStyle w:val="ListBullet"/>
      </w:pPr>
      <w:r>
        <w:t>Caché efímera de respuestas: puede perder la deduplicación al reiniciar o cambiar de instancia.</w:t>
      </w:r>
    </w:p>
    <w:p>
      <w:r>
        <w:t>Usar una clave estable por intención y persistir la relación entre clave, operación, alcance, huella de entrada y resultado. Repetir el mismo contenido recupera el mismo efecto; contenido diferente con la misma clave produce conflicto. Autorizar antes de revelar un resultado previo.</w:t>
      </w:r>
    </w:p>
    <w:p>
      <w:pPr>
        <w:pStyle w:val="Heading2"/>
      </w:pPr>
      <w:r>
        <w:t>Justificación y consecuencias</w:t>
      </w:r>
    </w:p>
    <w:p>
      <w:r>
        <w:t>La intención permanece identificable tras reinicios. En dinero y stock se verifica además el estado real, porque recibir una clave no confirma por sí mismo que el proveedor externo haya ejecutado una operación.</w:t>
      </w:r>
    </w:p>
    <w:p>
      <w:r>
        <w:t>La V4 ya contiene clave_idempotencia en comandas, pagos, devoluciones y movimientos de caja e inventario. Para comandos compuestos sin persistencia suficiente se requiere una migración adicional; no se declara resuelto un almacén genérico de resultados. Deben fijarse ámbito y retención.</w:t>
      </w:r>
    </w:p>
    <w:p>
      <w:pPr>
        <w:pStyle w:val="Heading2"/>
      </w:pPr>
      <w:r>
        <w:t>Verificación y revisión</w:t>
      </w:r>
    </w:p>
    <w:p>
      <w:r>
        <w:t>Repetir solicitud idéntica, repetir con contenido distinto, enviar simultáneamente y reintentar tras interrumpir la respuesta. Conciliar un solo efecto y no exponer resultados de otra sucursal.</w:t>
      </w:r>
    </w:p>
    <w:p>
      <w:r>
        <w:t>Revisar retención, operaciones compuestas e integración externa antes de ofrecer garantías generales de reintento.</w:t>
      </w:r>
    </w:p>
    <w:p>
      <w:pPr>
        <w:pStyle w:val="Heading2"/>
      </w:pPr>
      <w:r>
        <w:t>Trazabilidad</w:t>
      </w:r>
    </w:p>
    <w:p>
      <w:r>
        <w:t>Requisitos: RES-RF-012, RES-RF-013, RES-RF-016, RES-RF-017, RES-RF-018, RES-RF-020, RES-RF-029, RES-RF-034. Pruebas: mismos números RES CP. Calidad: NFR-02, NFR-04.</w:t>
      </w:r>
    </w:p>
    <w:p>
      <w:r>
        <w:t>Diseño: ADD-07, ADD-08, ADD-11. Incrementos: I1, I3, I4, I5, I7. Resoluciones: DEC-06. Fuentes: F02, F05.</w:t>
      </w:r>
    </w:p>
    <w:p>
      <w:r>
        <w:br w:type="page"/>
      </w:r>
    </w:p>
    <w:p>
      <w:pPr>
        <w:pStyle w:val="Heading1"/>
      </w:pPr>
      <w:r>
        <w:t>ADR 05 Integraciones externas recuperables</w:t>
      </w:r>
    </w:p>
    <w:p>
      <w:r>
        <w:t>Estado PROPUESTO   Versión 1.2   Fecha 12 octubre 2026</w:t>
      </w:r>
    </w:p>
    <w:p>
      <w:r>
        <w:t>Base verificable: Tablas de comprobantes existentes; proveedor pendiente.</w:t>
      </w:r>
    </w:p>
    <w:p>
      <w:pPr>
        <w:pStyle w:val="Heading2"/>
      </w:pPr>
      <w:r>
        <w:t>Contexto</w:t>
      </w:r>
    </w:p>
    <w:p>
      <w:r>
        <w:t>La base local y un proveedor fiscal o de pagos no participan de una transacción ACID común. Un envío puede completarse en el proveedor mientras la respuesta se pierde en la red.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Llamar desde un trigger: acopla integridad a la red.</w:t>
      </w:r>
    </w:p>
    <w:p>
      <w:pPr>
        <w:pStyle w:val="ListBullet"/>
      </w:pPr>
      <w:r>
        <w:t>Mantener una transacción abierta durante el envío: prolonga bloqueos y tampoco ofrece atomicidad distribuida.</w:t>
      </w:r>
    </w:p>
    <w:p>
      <w:r>
        <w:t>Aislar el proveedor detrás de un adaptador. Persistir la intención y las referencias de negocio antes de ejecutar trabajo externo; registrar intentos y respuesta y conciliar resultados inciertos. Evaluar un outbox durable y su migración según el proveedor y el volumen.</w:t>
      </w:r>
    </w:p>
    <w:p>
      <w:pPr>
        <w:pStyle w:val="Heading2"/>
      </w:pPr>
      <w:r>
        <w:t>Justificación y consecuencias</w:t>
      </w:r>
    </w:p>
    <w:p>
      <w:r>
        <w:t>El servicio puede reanudar trabajo y consultar resultados sin volver a crear el documento o consumir otro correlativo. El estado local EMITIDO y la respuesta fiscal deben seguir ejes distintos.</w:t>
      </w:r>
    </w:p>
    <w:p>
      <w:r>
        <w:t>Se acepta consistencia eventual y se necesitan monitoreo, deduplicación y tratamiento de fallos. La V4 incluye envios_comprobante, pero no un outbox genérico ni un adaptador fiscal implementado. Un HTTP 202 indica trabajo recibido, no aceptación tributaria.</w:t>
      </w:r>
    </w:p>
    <w:p>
      <w:pPr>
        <w:pStyle w:val="Heading2"/>
      </w:pPr>
      <w:r>
        <w:t>Verificación y revisión</w:t>
      </w:r>
    </w:p>
    <w:p>
      <w:r>
        <w:t>Simular respuesta perdida, repetición y rechazo; consultar estado antes de reenviar y comprobar que no aparece otro documento. Validar callbacks firmados solo si el proveedor elegido los ofrece.</w:t>
      </w:r>
    </w:p>
    <w:p>
      <w:r>
        <w:t>Cerrar contrato y modalidad fiscal con DEC 04 antes de I7 y de operar con ventas reales. Reestimar integración después de conocer al proveedor.</w:t>
      </w:r>
    </w:p>
    <w:p>
      <w:pPr>
        <w:pStyle w:val="Heading2"/>
      </w:pPr>
      <w:r>
        <w:t>Trazabilidad</w:t>
      </w:r>
    </w:p>
    <w:p>
      <w:r>
        <w:t>Requisitos: RES-RF-027, RES-RF-028, RES-RF-029, RES-RF-034. Pruebas: mismos números RES CP. Calidad: NFR-04, NFR-09.</w:t>
      </w:r>
    </w:p>
    <w:p>
      <w:r>
        <w:t>Diseño: ADD-08, ADD-09, ADD-10. Incrementos: I2, I4, I7, I9. Resoluciones: DEC-04. Fuentes: F05, F09.</w:t>
      </w:r>
    </w:p>
    <w:p>
      <w:r>
        <w:br w:type="page"/>
      </w:r>
    </w:p>
    <w:p>
      <w:pPr>
        <w:pStyle w:val="Heading1"/>
      </w:pPr>
      <w:r>
        <w:t>ADR 06 Selección explícita del stack de aplicación</w:t>
      </w:r>
    </w:p>
    <w:p>
      <w:r>
        <w:t>Estado PROPUESTO   Versión 1.2   Fecha 12 octubre 2026</w:t>
      </w:r>
    </w:p>
    <w:p>
      <w:r>
        <w:t>Base verificable: PostgreSQL 18 fijado; backend y frontend por seleccionar.</w:t>
      </w:r>
    </w:p>
    <w:p>
      <w:pPr>
        <w:pStyle w:val="Heading2"/>
      </w:pPr>
      <w:r>
        <w:t>Contexto</w:t>
      </w:r>
    </w:p>
    <w:p>
      <w:r>
        <w:t>Existen otros proyectos del usuario con tecnologías diferentes. La experiencia previa sirve como criterio, pero no constituye una elección para este restaurante. El prototipo estático tampoco obliga a un framework productivo.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Reutilizar un stack conocido: reduce aprendizaje, pero requiere comprobar compatibilidad y operación.</w:t>
      </w:r>
    </w:p>
    <w:p>
      <w:pPr>
        <w:pStyle w:val="ListBullet"/>
      </w:pPr>
      <w:r>
        <w:t>Elegir otro stack: puede resolver restricciones específicas a cambio de capacitación y mantenimiento adicionales.</w:t>
      </w:r>
    </w:p>
    <w:p>
      <w:r>
        <w:t>Mantener el contrato y el diseño independientes del lenguaje hasta cerrar DEC 02. Comparar al menos dos combinaciones por experiencia, soporte, acceso transaccional a PostgreSQL, seguridad, pruebas, despliegue y costo. Registrar versiones exactas y herramientas de migración al seleccionar.</w:t>
      </w:r>
    </w:p>
    <w:p>
      <w:pPr>
        <w:pStyle w:val="Heading2"/>
      </w:pPr>
      <w:r>
        <w:t>Justificación y consecuencias</w:t>
      </w:r>
    </w:p>
    <w:p>
      <w:r>
        <w:t>Evita trasladar supuestos de ferreterías u otros sistemas y permite estimar con la capacidad real del responsable. La base PostgreSQL 18 y las invariantes V4 se mantienen como restricciones de esta selección.</w:t>
      </w:r>
    </w:p>
    <w:p>
      <w:r>
        <w:t>La consolidación documental puede completarse ahora. El inicio de la plataforma productiva I1 requiere la elección del backend, frontend y su operación. Las estimaciones siguen siendo orientativas y deben revisarse al cerrar la decisión.</w:t>
      </w:r>
    </w:p>
    <w:p>
      <w:pPr>
        <w:pStyle w:val="Heading2"/>
      </w:pPr>
      <w:r>
        <w:t>Verificación y revisión</w:t>
      </w:r>
    </w:p>
    <w:p>
      <w:r>
        <w:t>Construir una prueba corta con autenticación, una transacción parametrizada y consulta de catálogo; verificar permisos, rollback y empaquetado. Registrar comparación, elección, fecha y responsable real.</w:t>
      </w:r>
    </w:p>
    <w:p>
      <w:r>
        <w:t>Cerrar DEC 02 antes de implementar I1. Si cambia el stack después de aceptación, registrar un ADR nuevo que sustituya al anterior.</w:t>
      </w:r>
    </w:p>
    <w:p>
      <w:pPr>
        <w:pStyle w:val="Heading2"/>
      </w:pPr>
      <w:r>
        <w:t>Trazabilidad</w:t>
      </w:r>
    </w:p>
    <w:p>
      <w:r>
        <w:t>Requisitos: RES-RF-001, RES-RF-002, RES-RF-033, RES-RF-036. Pruebas: mismos números RES CP. Calidad: NFR-03, NFR-06, NFR-08.</w:t>
      </w:r>
    </w:p>
    <w:p>
      <w:r>
        <w:t>Diseño: ADD-02, ADD-10, ADD-13. Incrementos: I0, I1, I2. Resoluciones: DEC-02. Fuentes: F10, F11.</w:t>
      </w:r>
    </w:p>
    <w:p>
      <w:r>
        <w:br w:type="page"/>
      </w:r>
    </w:p>
    <w:p>
      <w:pPr>
        <w:pStyle w:val="Heading1"/>
      </w:pPr>
      <w:r>
        <w:t>ADR 07 Evolución del esquema mediante migraciones</w:t>
      </w:r>
    </w:p>
    <w:p>
      <w:r>
        <w:t>Estado PROPUESTO   Versión 1.2   Fecha 12 octubre 2026</w:t>
      </w:r>
    </w:p>
    <w:p>
      <w:r>
        <w:t>Base verificable: Baseline V4 disponible; proceso de migración por implementar.</w:t>
      </w:r>
    </w:p>
    <w:p>
      <w:pPr>
        <w:pStyle w:val="Heading2"/>
      </w:pPr>
      <w:r>
        <w:t>Contexto</w:t>
      </w:r>
    </w:p>
    <w:p>
      <w:r>
        <w:t>El SQL V4 instala un esquema nuevo y se detiene si ya existe. Cambiar y volver a ejecutar ese archivo sobre una base operativa no define cómo conservar datos ni cómo actualizar instalaciones anteriores.</w:t>
      </w:r>
    </w:p>
    <w:p>
      <w:pPr>
        <w:pStyle w:val="Heading2"/>
      </w:pPr>
      <w:r>
        <w:t>Opciones y decisión</w:t>
      </w:r>
    </w:p>
    <w:p>
      <w:pPr>
        <w:pStyle w:val="ListBullet"/>
      </w:pPr>
      <w:r>
        <w:t>Modificar el SQL inicial y recrear la base: pierde continuidad.</w:t>
      </w:r>
    </w:p>
    <w:p>
      <w:pPr>
        <w:pStyle w:val="ListBullet"/>
      </w:pPr>
      <w:r>
        <w:t>Actualizar automáticamente el esquema desde el ORM: dificulta revisión del cambio, trazabilidad y control de transformaciones de datos.</w:t>
      </w:r>
    </w:p>
    <w:p>
      <w:r>
        <w:t>Tratar V4 como baseline inmutable. Añadir migraciones ordenadas con checksum y prueba desde la versión previa. Separar al propietario de esquema del rol de operación. Diseñar cambios compatibles por etapas y definir recuperación para cambios de datos.</w:t>
      </w:r>
    </w:p>
    <w:p>
      <w:pPr>
        <w:pStyle w:val="Heading2"/>
      </w:pPr>
      <w:r>
        <w:t>Justificación y consecuencias</w:t>
      </w:r>
    </w:p>
    <w:p>
      <w:r>
        <w:t>Una evolución reproducible relaciona versión de aplicación, contrato y esquema y permite ensayar el camino real de una instalación existente. Una reversión de aplicación no deshace automáticamente los datos ya transformados.</w:t>
      </w:r>
    </w:p>
    <w:p>
      <w:r>
        <w:t>Requiere una herramienta elegida con el stack, copias comprobadas y disciplina de despliegue. Los permisos finos, idempotencia general, posible outbox y control de revisión pueden requerir migraciones; ninguna se presenta como parte ya implementada de V4.</w:t>
      </w:r>
    </w:p>
    <w:p>
      <w:pPr>
        <w:pStyle w:val="Heading2"/>
      </w:pPr>
      <w:r>
        <w:t>Verificación y revisión</w:t>
      </w:r>
    </w:p>
    <w:p>
      <w:r>
        <w:t>Aplicar migraciones sobre una base de pruebas V4 y sobre copia representativa anonimizada, comprobar invariantes y ejecutar un ensayo de recuperación. Registrar versión, resultado y duración.</w:t>
      </w:r>
    </w:p>
    <w:p>
      <w:r>
        <w:t>Definir herramienta en I1 y aplicar el proceso a cada incremento. Revisar compatibilidad antes de modificar claves, estados, triggers o grandes volúmenes.</w:t>
      </w:r>
    </w:p>
    <w:p>
      <w:pPr>
        <w:pStyle w:val="Heading2"/>
      </w:pPr>
      <w:r>
        <w:t>Trazabilidad</w:t>
      </w:r>
    </w:p>
    <w:p>
      <w:r>
        <w:t>Requisitos: RES-RF-001, RES-RF-002, RES-RF-030, RES-RF-031, RES-RF-033, RES-RF-034, RES-RF-035. Pruebas: mismos números RES CP. Calidad: NFR-05, NFR-08.</w:t>
      </w:r>
    </w:p>
    <w:p>
      <w:r>
        <w:t>Diseño: ADD-10, ADD-11, ADD-12. Incrementos: I1, I2, I4, I8, I9. Resoluciones: DEC-02, DEC-08. Fuentes: F01, F03, F04.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Versión 1.2  ·  12 octubre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SISTEMA DE RESTAURANTE  |  RES ADR 01 a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lang w:val="es-P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color w:val="000000"/>
      <w:sz w:val="21"/>
      <w:lang w:val="es-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P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Calibri" w:hAnsi="Calibri"/>
      <w:color w:val="000000"/>
      <w:sz w:val="21"/>
      <w:lang w:val="es-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P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P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P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es-P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 del sistema de restaurante</dc:title>
  <dc:subject>Documentación de desarrollo del sistema de restaurante</dc:subject>
  <dc:creator/>
  <cp:keywords>restaurante; planificación; requisitos;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