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rFonts w:ascii="Calibri" w:cs="Calibri" w:eastAsia="Calibri" w:hAnsi="Calibri"/>
          <w:b/>
          <w:bCs/>
          <w:color w:val="2E74B5"/>
          <w:spacing w:val="60"/>
          <w:sz w:val="20"/>
          <w:szCs w:val="20"/>
        </w:rPr>
        <w:t xml:space="preserve">DIGITAL ACQUISITION</w:t>
      </w:r>
    </w:p>
    <w:p>
      <w:pPr>
        <w:spacing w:after="160"/>
        <w:jc w:val="center"/>
      </w:pPr>
      <w:r>
        <w:rPr>
          <w:rFonts w:ascii="Calibri" w:cs="Calibri" w:eastAsia="Calibri" w:hAnsi="Calibri"/>
          <w:b/>
          <w:bCs/>
          <w:color w:val="1F3864"/>
          <w:sz w:val="56"/>
          <w:szCs w:val="56"/>
        </w:rPr>
        <w:t xml:space="preserve">Loop Engineering</w:t>
      </w:r>
    </w:p>
    <w:p>
      <w:pPr>
        <w:spacing w:after="400"/>
        <w:jc w:val="center"/>
      </w:pPr>
      <w:r>
        <w:rPr>
          <w:rFonts w:ascii="Calibri" w:cs="Calibri" w:eastAsia="Calibri" w:hAnsi="Calibri"/>
          <w:color w:val="404040"/>
          <w:sz w:val="30"/>
          <w:szCs w:val="30"/>
        </w:rPr>
        <w:t xml:space="preserve">Closed-Loop Landing Page Optimization</w:t>
      </w:r>
    </w:p>
    <w:p>
      <w:pPr>
        <w:pBdr>
          <w:top w:val="single" w:color="2E74B5" w:sz="8" w:space="12"/>
          <w:bottom w:val="single" w:color="2E74B5" w:sz="8" w:space="12"/>
        </w:pBdr>
        <w:spacing w:after="500"/>
        <w:jc w:val="center"/>
      </w:pPr>
      <w:r>
        <w:rPr>
          <w:rFonts w:ascii="Calibri" w:cs="Calibri" w:eastAsia="Calibri" w:hAnsi="Calibri"/>
          <w:color w:val="595959"/>
          <w:sz w:val="22"/>
          <w:szCs w:val="22"/>
        </w:rPr>
        <w:t xml:space="preserve">Industry Research  ·  Data Readiness Assessment  ·  Executive Recommendation</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6760"/>
      </w:tblGrid>
      <w:tr>
        <w:trPr>
          <w:tblHeader/>
        </w:trPr>
        <w:tc>
          <w:tcPr>
            <w:tcW w:type="dxa" w:w="26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Field</w:t>
            </w:r>
          </w:p>
        </w:tc>
        <w:tc>
          <w:tcPr>
            <w:tcW w:type="dxa" w:w="67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Detail</w:t>
            </w:r>
          </w:p>
        </w:tc>
      </w:tr>
      <w:tr>
        <w:trPr>
          <w:tblHeader w:val="false"/>
        </w:trPr>
        <w:tc>
          <w:tcPr>
            <w:tcW w:type="dxa" w:w="26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Document type</w:t>
            </w:r>
          </w:p>
        </w:tc>
        <w:tc>
          <w:tcPr>
            <w:tcW w:type="dxa" w:w="67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Feasibility study — research phase deliverable</w:t>
            </w:r>
          </w:p>
        </w:tc>
      </w:tr>
      <w:tr>
        <w:trPr>
          <w:tblHeader w:val="false"/>
        </w:trPr>
        <w:tc>
          <w:tcPr>
            <w:tcW w:type="dxa" w:w="26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Covers</w:t>
            </w:r>
          </w:p>
        </w:tc>
        <w:tc>
          <w:tcPr>
            <w:tcW w:type="dxa" w:w="67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BR-1 Industry Research · BR-2 Technology Assessment · BR-3 Data Requirements · BR-4 Data Gap Analysis · BR-5 Feasibility Assessment</w:t>
            </w:r>
          </w:p>
        </w:tc>
      </w:tr>
      <w:tr>
        <w:trPr>
          <w:tblHeader w:val="false"/>
        </w:trPr>
        <w:tc>
          <w:tcPr>
            <w:tcW w:type="dxa" w:w="26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Requesting function</w:t>
            </w:r>
          </w:p>
        </w:tc>
        <w:tc>
          <w:tcPr>
            <w:tcW w:type="dxa" w:w="67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Digital Acquisition</w:t>
            </w:r>
          </w:p>
        </w:tc>
      </w:tr>
      <w:tr>
        <w:trPr>
          <w:tblHeader w:val="false"/>
        </w:trPr>
        <w:tc>
          <w:tcPr>
            <w:tcW w:type="dxa" w:w="26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In scope</w:t>
            </w:r>
          </w:p>
        </w:tc>
        <w:tc>
          <w:tcPr>
            <w:tcW w:type="dxa" w:w="67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Industry research, technology assessment, data readiness assessment, data gap analysis, feasibility study</w:t>
            </w:r>
          </w:p>
        </w:tc>
      </w:tr>
      <w:tr>
        <w:trPr>
          <w:tblHeader w:val="false"/>
        </w:trPr>
        <w:tc>
          <w:tcPr>
            <w:tcW w:type="dxa" w:w="26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Out of scope</w:t>
            </w:r>
          </w:p>
        </w:tc>
        <w:tc>
          <w:tcPr>
            <w:tcW w:type="dxa" w:w="67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Solution development, production implementation, platform procurement, model development</w:t>
            </w:r>
          </w:p>
        </w:tc>
      </w:tr>
      <w:tr>
        <w:trPr>
          <w:tblHeader w:val="false"/>
        </w:trPr>
        <w:tc>
          <w:tcPr>
            <w:tcW w:type="dxa" w:w="26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Status</w:t>
            </w:r>
          </w:p>
        </w:tc>
        <w:tc>
          <w:tcPr>
            <w:tcW w:type="dxa" w:w="67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Draft for review</w:t>
            </w:r>
          </w:p>
        </w:tc>
      </w:tr>
      <w:tr>
        <w:trPr>
          <w:tblHeader w:val="false"/>
        </w:trPr>
        <w:tc>
          <w:tcPr>
            <w:tcW w:type="dxa" w:w="26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Version / date</w:t>
            </w:r>
          </w:p>
        </w:tc>
        <w:tc>
          <w:tcPr>
            <w:tcW w:type="dxa" w:w="67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v0.1 — August 2026</w:t>
            </w:r>
          </w:p>
        </w:tc>
      </w:tr>
    </w:tbl>
    <w:p>
      <w:pPr>
        <w:spacing w:after="300"/>
      </w:pPr>
    </w:p>
    <w:p>
      <w:pPr>
        <w:spacing w:after="120" w:line="276"/>
        <w:jc w:val="center"/>
      </w:pPr>
      <w:r>
        <w:rPr>
          <w:rFonts w:ascii="Calibri" w:cs="Calibri" w:eastAsia="Calibri" w:hAnsi="Calibri"/>
          <w:i/>
          <w:iCs/>
          <w:color w:val="595959"/>
          <w:sz w:val="18"/>
          <w:szCs w:val="18"/>
        </w:rPr>
        <w:t xml:space="preserve">Prepared as a decision-support document. Organisation-specific figures are marked as placeholders and must be completed from internal systems before this document is presented for funding approval.</w:t>
      </w:r>
    </w:p>
    <w:p>
      <w:r>
        <w:br w:type="page"/>
      </w:r>
    </w:p>
    <w:p>
      <w:pPr>
        <w:pStyle w:val="Heading1"/>
        <w:spacing w:after="160" w:before="360"/>
      </w:pPr>
      <w:r>
        <w:rPr>
          <w:rFonts w:ascii="Calibri" w:cs="Calibri" w:eastAsia="Calibri" w:hAnsi="Calibri"/>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rFonts w:ascii="Calibri" w:cs="Calibri" w:eastAsia="Calibri" w:hAnsi="Calibri"/>
          <w:i/>
          <w:iCs/>
          <w:color w:val="595959"/>
          <w:sz w:val="17"/>
          <w:szCs w:val="17"/>
        </w:rPr>
        <w:t xml:space="preserve">Right-click the field above and choose "Update Field" to populate page numbers.</w:t>
      </w:r>
    </w:p>
    <w:p>
      <w:r>
        <w:br w:type="page"/>
      </w:r>
    </w:p>
    <w:p>
      <w:pPr>
        <w:pStyle w:val="Heading1"/>
        <w:spacing w:after="160" w:before="360"/>
      </w:pPr>
      <w:r>
        <w:rPr>
          <w:rFonts w:ascii="Calibri" w:cs="Calibri" w:eastAsia="Calibri" w:hAnsi="Calibri"/>
          <w:b/>
          <w:bCs/>
          <w:color w:val="1F3864"/>
          <w:sz w:val="30"/>
          <w:szCs w:val="30"/>
        </w:rPr>
        <w:t xml:space="preserve">1. Executive Summary</w:t>
      </w:r>
    </w:p>
    <w:p>
      <w:pPr>
        <w:spacing w:after="120" w:line="276"/>
      </w:pPr>
      <w:r>
        <w:rPr>
          <w:rFonts w:ascii="Calibri" w:cs="Calibri" w:eastAsia="Calibri" w:hAnsi="Calibri"/>
          <w:sz w:val="21"/>
          <w:szCs w:val="21"/>
        </w:rPr>
        <w:t xml:space="preserve">The Digital Acquisition team is evaluating whether a closed-loop optimization capability — a system that observes visitor behaviour, personalises the landing experience, measures the outcome, and feeds that outcome back into the next decision without manual intervention — can materially improve digital acquisition conversion rates and reduce the manual effort currently consumed by analytics reviews, A/B testing and agency-led content changes.</w:t>
      </w:r>
    </w:p>
    <w:p>
      <w:pPr>
        <w:spacing w:after="120" w:line="276"/>
      </w:pPr>
      <w:r>
        <w:rPr>
          <w:rFonts w:ascii="Calibri" w:cs="Calibri" w:eastAsia="Calibri" w:hAnsi="Calibri"/>
          <w:sz w:val="21"/>
          <w:szCs w:val="21"/>
        </w:rPr>
        <w:t xml:space="preserve">This phase delivers research and feasibility assessment only. No platform has been selected, no solution has been built, and no procurement commitment is implied by this document.</w:t>
      </w:r>
    </w:p>
    <w:p>
      <w:pPr>
        <w:pStyle w:val="Heading2"/>
        <w:spacing w:after="120" w:before="260"/>
      </w:pPr>
      <w:r>
        <w:rPr>
          <w:rFonts w:ascii="Calibri" w:cs="Calibri" w:eastAsia="Calibri" w:hAnsi="Calibri"/>
          <w:b/>
          <w:bCs/>
          <w:color w:val="2E74B5"/>
          <w:sz w:val="24"/>
          <w:szCs w:val="24"/>
        </w:rPr>
        <w:t xml:space="preserve">1.1 Headline finding</w:t>
      </w:r>
    </w:p>
    <w:tbl>
      <w:tblPr>
        <w:tblW w:type="dxa" w:w="936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AF1F8" w:color="auto" w:val="clear"/>
            <w:tcMar>
              <w:top w:type="dxa" w:w="140"/>
              <w:left w:type="dxa" w:w="180"/>
              <w:bottom w:type="dxa" w:w="140"/>
              <w:right w:type="dxa" w:w="180"/>
            </w:tcMar>
          </w:tcPr>
          <w:p>
            <w:pPr>
              <w:spacing w:after="80"/>
            </w:pPr>
            <w:r>
              <w:rPr>
                <w:rFonts w:ascii="Calibri" w:cs="Calibri" w:eastAsia="Calibri" w:hAnsi="Calibri"/>
                <w:b/>
                <w:bCs/>
                <w:color w:val="1F3864"/>
                <w:sz w:val="21"/>
                <w:szCs w:val="21"/>
              </w:rPr>
              <w:t xml:space="preserve">Verdict: Technically feasible. Commercially conditional. Not yet operationally ready.</w:t>
            </w:r>
          </w:p>
          <w:p>
            <w:pPr>
              <w:spacing w:after="60" w:line="270"/>
            </w:pPr>
            <w:r>
              <w:rPr>
                <w:rFonts w:ascii="Calibri" w:cs="Calibri" w:eastAsia="Calibri" w:hAnsi="Calibri"/>
                <w:sz w:val="20"/>
                <w:szCs w:val="20"/>
              </w:rPr>
              <w:t xml:space="preserve">The technology is mature and commoditised. Closed-loop optimization is a solved engineering problem serviced by an established vendor market — the 2026 Gartner Magic Quadrant for Personalization Engines evaluated twelve vendors in a market that grew 26.1% in 2024 to roughly USD 1.2 billion. Nothing in the required capability set is experimental.</w:t>
            </w:r>
          </w:p>
          <w:p>
            <w:pPr>
              <w:spacing w:after="60" w:line="270"/>
            </w:pPr>
            <w:r>
              <w:rPr>
                <w:rFonts w:ascii="Calibri" w:cs="Calibri" w:eastAsia="Calibri" w:hAnsi="Calibri"/>
                <w:sz w:val="20"/>
                <w:szCs w:val="20"/>
              </w:rPr>
              <w:t xml:space="preserve">The binding constraint is data, not algorithms. Closed-loop optimization requires a reliable, low-latency join between an anonymous on-site visitor, the content variant they were served, and the eventual downstream outcome — including outcomes that occur days later in fulfilment or servicing systems. In most organisations this join is broken, delayed, or exists only in aggregate. This is the single determinant of whether the capability produces compounding value or a well-instrumented random number generator.</w:t>
            </w:r>
          </w:p>
          <w:p>
            <w:pPr>
              <w:spacing w:after="60" w:line="270"/>
            </w:pPr>
            <w:r>
              <w:rPr>
                <w:rFonts w:ascii="Calibri" w:cs="Calibri" w:eastAsia="Calibri" w:hAnsi="Calibri"/>
                <w:sz w:val="20"/>
                <w:szCs w:val="20"/>
              </w:rPr>
              <w:t xml:space="preserve">The value case cannot be sized yet. Uplift claims in vendor and marketing literature are self-reported, unaudited and rarely counterfactual. A defensible business case requires the organisation's own baseline traffic volume, conversion rate and per-conversion value — none of which are established in this phase.</w:t>
            </w:r>
          </w:p>
        </w:tc>
      </w:tr>
    </w:tbl>
    <w:p>
      <w:pPr>
        <w:pStyle w:val="Heading2"/>
        <w:spacing w:after="120" w:before="260"/>
      </w:pPr>
      <w:r>
        <w:rPr>
          <w:rFonts w:ascii="Calibri" w:cs="Calibri" w:eastAsia="Calibri" w:hAnsi="Calibri"/>
          <w:b/>
          <w:bCs/>
          <w:color w:val="2E74B5"/>
          <w:sz w:val="24"/>
          <w:szCs w:val="24"/>
        </w:rPr>
        <w:t xml:space="preserve">1.2 Recommendation in brief</w:t>
      </w:r>
    </w:p>
    <w:p>
      <w:pPr>
        <w:spacing w:after="120" w:line="276"/>
      </w:pPr>
      <w:r>
        <w:rPr>
          <w:rFonts w:ascii="Calibri" w:cs="Calibri" w:eastAsia="Calibri" w:hAnsi="Calibri"/>
          <w:sz w:val="21"/>
          <w:szCs w:val="21"/>
        </w:rPr>
        <w:t xml:space="preserve">Proceed to a time-boxed, narrow-scope proof of value — but gate it behind a data readiness remediation step. Do not proceed directly to platform selection.</w:t>
      </w:r>
    </w:p>
    <w:p>
      <w:pPr>
        <w:pStyle w:val="ListParagraph"/>
        <w:numPr>
          <w:ilvl w:val="0"/>
          <w:numId w:val="2"/>
        </w:numPr>
        <w:spacing w:after="70" w:line="270"/>
      </w:pPr>
      <w:r>
        <w:rPr>
          <w:rFonts w:ascii="Calibri" w:cs="Calibri" w:eastAsia="Calibri" w:hAnsi="Calibri"/>
          <w:sz w:val="21"/>
          <w:szCs w:val="21"/>
        </w:rPr>
        <w:t xml:space="preserve">Run a six-to-eight week data readiness remediation on a single high-volume acquisition journey, targeting the identity, attribution and outcome-feedback gaps identified in Section 6.</w:t>
      </w:r>
    </w:p>
    <w:p>
      <w:pPr>
        <w:pStyle w:val="ListParagraph"/>
        <w:numPr>
          <w:ilvl w:val="0"/>
          <w:numId w:val="2"/>
        </w:numPr>
        <w:spacing w:after="70" w:line="270"/>
      </w:pPr>
      <w:r>
        <w:rPr>
          <w:rFonts w:ascii="Calibri" w:cs="Calibri" w:eastAsia="Calibri" w:hAnsi="Calibri"/>
          <w:sz w:val="21"/>
          <w:szCs w:val="21"/>
        </w:rPr>
        <w:t xml:space="preserve">Establish a measured conversion baseline and a per-conversion value figure agreed with Finance, so that later uplift claims are auditable.</w:t>
      </w:r>
    </w:p>
    <w:p>
      <w:pPr>
        <w:pStyle w:val="ListParagraph"/>
        <w:numPr>
          <w:ilvl w:val="0"/>
          <w:numId w:val="2"/>
        </w:numPr>
        <w:spacing w:after="70" w:line="270"/>
      </w:pPr>
      <w:r>
        <w:rPr>
          <w:rFonts w:ascii="Calibri" w:cs="Calibri" w:eastAsia="Calibri" w:hAnsi="Calibri"/>
          <w:sz w:val="21"/>
          <w:szCs w:val="21"/>
        </w:rPr>
        <w:t xml:space="preserve">Run a 12-week proof of value on that one journey, using capability already licensed where possible, with success defined in advance as a statistically significant uplift on a pre-agreed primary metric.</w:t>
      </w:r>
    </w:p>
    <w:p>
      <w:pPr>
        <w:pStyle w:val="ListParagraph"/>
        <w:numPr>
          <w:ilvl w:val="0"/>
          <w:numId w:val="2"/>
        </w:numPr>
        <w:spacing w:after="70" w:line="270"/>
      </w:pPr>
      <w:r>
        <w:rPr>
          <w:rFonts w:ascii="Calibri" w:cs="Calibri" w:eastAsia="Calibri" w:hAnsi="Calibri"/>
          <w:sz w:val="21"/>
          <w:szCs w:val="21"/>
        </w:rPr>
        <w:t xml:space="preserve">Return to a decision gate with measured evidence before any platform procurement or scaled build is authorised.</w:t>
      </w:r>
    </w:p>
    <w:p>
      <w:pPr>
        <w:spacing w:after="120" w:line="276"/>
      </w:pPr>
      <w:r>
        <w:rPr>
          <w:rFonts w:ascii="Calibri" w:cs="Calibri" w:eastAsia="Calibri" w:hAnsi="Calibri"/>
          <w:sz w:val="21"/>
          <w:szCs w:val="21"/>
        </w:rPr>
        <w:t xml:space="preserve">Estimated cost to reach that decision gate is internal effort plus limited vendor trial cost. The principal risk of proceeding is sunk effort on remediation that has independent analytics value regardless. The principal risk of not proceeding is that optimization capacity remains capped by manual test throughput while acquisition costs continue to rise.</w:t>
      </w:r>
    </w:p>
    <w:p>
      <w:pPr>
        <w:pStyle w:val="Heading2"/>
        <w:spacing w:after="120" w:before="260"/>
      </w:pPr>
      <w:r>
        <w:rPr>
          <w:rFonts w:ascii="Calibri" w:cs="Calibri" w:eastAsia="Calibri" w:hAnsi="Calibri"/>
          <w:b/>
          <w:bCs/>
          <w:color w:val="2E74B5"/>
          <w:sz w:val="24"/>
          <w:szCs w:val="24"/>
        </w:rPr>
        <w:t xml:space="preserve">1.3 What leadership is being asked to decide</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6160"/>
      </w:tblGrid>
      <w:tr>
        <w:trPr>
          <w:tblHeader/>
        </w:trPr>
        <w:tc>
          <w:tcPr>
            <w:tcW w:type="dxa" w:w="32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Decision</w:t>
            </w:r>
          </w:p>
        </w:tc>
        <w:tc>
          <w:tcPr>
            <w:tcW w:type="dxa" w:w="61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Required now?</w:t>
            </w:r>
          </w:p>
        </w:tc>
      </w:tr>
      <w:tr>
        <w:trPr>
          <w:tblHeader w:val="false"/>
        </w:trPr>
        <w:tc>
          <w:tcPr>
            <w:tcW w:type="dxa" w:w="32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Approve funding for a data readiness remediation sprint on one journey</w:t>
            </w:r>
          </w:p>
        </w:tc>
        <w:tc>
          <w:tcPr>
            <w:tcW w:type="dxa" w:w="61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Yes</w:t>
            </w:r>
          </w:p>
        </w:tc>
      </w:tr>
      <w:tr>
        <w:trPr>
          <w:tblHeader w:val="false"/>
        </w:trPr>
        <w:tc>
          <w:tcPr>
            <w:tcW w:type="dxa" w:w="32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Nominate the pilot journey and an accountable business owner</w:t>
            </w:r>
          </w:p>
        </w:tc>
        <w:tc>
          <w:tcPr>
            <w:tcW w:type="dxa" w:w="61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Yes</w:t>
            </w:r>
          </w:p>
        </w:tc>
      </w:tr>
      <w:tr>
        <w:trPr>
          <w:tblHeader w:val="false"/>
        </w:trPr>
        <w:tc>
          <w:tcPr>
            <w:tcW w:type="dxa" w:w="32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Agree a per-conversion value figure with Finance for benefit measurement</w:t>
            </w:r>
          </w:p>
        </w:tc>
        <w:tc>
          <w:tcPr>
            <w:tcW w:type="dxa" w:w="61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Yes</w:t>
            </w:r>
          </w:p>
        </w:tc>
      </w:tr>
      <w:tr>
        <w:trPr>
          <w:tblHeader w:val="false"/>
        </w:trPr>
        <w:tc>
          <w:tcPr>
            <w:tcW w:type="dxa" w:w="32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Select a personalization platform</w:t>
            </w:r>
          </w:p>
        </w:tc>
        <w:tc>
          <w:tcPr>
            <w:tcW w:type="dxa" w:w="61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No — deferred to the post-pilot gate</w:t>
            </w:r>
          </w:p>
        </w:tc>
      </w:tr>
      <w:tr>
        <w:trPr>
          <w:tblHeader w:val="false"/>
        </w:trPr>
        <w:tc>
          <w:tcPr>
            <w:tcW w:type="dxa" w:w="32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Approve a scaled multi-journey rollout</w:t>
            </w:r>
          </w:p>
        </w:tc>
        <w:tc>
          <w:tcPr>
            <w:tcW w:type="dxa" w:w="61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No — deferred to the post-pilot gate</w:t>
            </w:r>
          </w:p>
        </w:tc>
      </w:tr>
      <w:tr>
        <w:trPr>
          <w:tblHeader w:val="false"/>
        </w:trPr>
        <w:tc>
          <w:tcPr>
            <w:tcW w:type="dxa" w:w="32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Approve model development or in-house build</w:t>
            </w:r>
          </w:p>
        </w:tc>
        <w:tc>
          <w:tcPr>
            <w:tcW w:type="dxa" w:w="61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No — out of scope for this phase</w:t>
            </w:r>
          </w:p>
        </w:tc>
      </w:tr>
    </w:tbl>
    <w:p>
      <w:r>
        <w:br w:type="page"/>
      </w:r>
    </w:p>
    <w:p>
      <w:pPr>
        <w:pStyle w:val="Heading1"/>
        <w:spacing w:after="160" w:before="360"/>
      </w:pPr>
      <w:r>
        <w:rPr>
          <w:rFonts w:ascii="Calibri" w:cs="Calibri" w:eastAsia="Calibri" w:hAnsi="Calibri"/>
          <w:b/>
          <w:bCs/>
          <w:color w:val="1F3864"/>
          <w:sz w:val="30"/>
          <w:szCs w:val="30"/>
        </w:rPr>
        <w:t xml:space="preserve">2. Background, Scope and Method</w:t>
      </w:r>
    </w:p>
    <w:p>
      <w:pPr>
        <w:pStyle w:val="Heading2"/>
        <w:spacing w:after="120" w:before="260"/>
      </w:pPr>
      <w:r>
        <w:rPr>
          <w:rFonts w:ascii="Calibri" w:cs="Calibri" w:eastAsia="Calibri" w:hAnsi="Calibri"/>
          <w:b/>
          <w:bCs/>
          <w:color w:val="2E74B5"/>
          <w:sz w:val="24"/>
          <w:szCs w:val="24"/>
        </w:rPr>
        <w:t xml:space="preserve">2.1 Business problem</w:t>
      </w:r>
    </w:p>
    <w:p>
      <w:pPr>
        <w:spacing w:after="120" w:line="276"/>
      </w:pPr>
      <w:r>
        <w:rPr>
          <w:rFonts w:ascii="Calibri" w:cs="Calibri" w:eastAsia="Calibri" w:hAnsi="Calibri"/>
          <w:sz w:val="21"/>
          <w:szCs w:val="21"/>
        </w:rPr>
        <w:t xml:space="preserve">Landing page optimization is currently driven by manual analytics reviews, discrete A/B tests, ad hoc content changes and agency support. This model has three structural limits:</w:t>
      </w:r>
    </w:p>
    <w:p>
      <w:pPr>
        <w:pStyle w:val="ListParagraph"/>
        <w:numPr>
          <w:ilvl w:val="0"/>
          <w:numId w:val="3"/>
        </w:numPr>
        <w:spacing w:after="70" w:line="270"/>
      </w:pPr>
      <w:r>
        <w:rPr>
          <w:rFonts w:ascii="Calibri" w:cs="Calibri" w:eastAsia="Calibri" w:hAnsi="Calibri"/>
          <w:b/>
          <w:bCs/>
          <w:sz w:val="21"/>
          <w:szCs w:val="21"/>
        </w:rPr>
        <w:t xml:space="preserve">Throughput. </w:t>
      </w:r>
      <w:r>
        <w:rPr>
          <w:rFonts w:ascii="Calibri" w:cs="Calibri" w:eastAsia="Calibri" w:hAnsi="Calibri"/>
          <w:sz w:val="21"/>
          <w:szCs w:val="21"/>
        </w:rPr>
        <w:t xml:space="preserve">The number of improvements the business can discover per quarter is capped by how many tests a small team can design, build, run to significance and interpret. Test velocity, not idea supply, is the bottleneck.</w:t>
      </w:r>
    </w:p>
    <w:p>
      <w:pPr>
        <w:pStyle w:val="ListParagraph"/>
        <w:numPr>
          <w:ilvl w:val="0"/>
          <w:numId w:val="3"/>
        </w:numPr>
        <w:spacing w:after="70" w:line="270"/>
      </w:pPr>
      <w:r>
        <w:rPr>
          <w:rFonts w:ascii="Calibri" w:cs="Calibri" w:eastAsia="Calibri" w:hAnsi="Calibri"/>
          <w:b/>
          <w:bCs/>
          <w:sz w:val="21"/>
          <w:szCs w:val="21"/>
        </w:rPr>
        <w:t xml:space="preserve">Granularity. </w:t>
      </w:r>
      <w:r>
        <w:rPr>
          <w:rFonts w:ascii="Calibri" w:cs="Calibri" w:eastAsia="Calibri" w:hAnsi="Calibri"/>
          <w:sz w:val="21"/>
          <w:szCs w:val="21"/>
        </w:rPr>
        <w:t xml:space="preserve">A/B testing produces a single winning variant applied to all traffic. It optimises for the average visitor, which systematically underserves segments whose preferences differ from the mean — often the highest-value ones.</w:t>
      </w:r>
    </w:p>
    <w:p>
      <w:pPr>
        <w:pStyle w:val="ListParagraph"/>
        <w:numPr>
          <w:ilvl w:val="0"/>
          <w:numId w:val="3"/>
        </w:numPr>
        <w:spacing w:after="70" w:line="270"/>
      </w:pPr>
      <w:r>
        <w:rPr>
          <w:rFonts w:ascii="Calibri" w:cs="Calibri" w:eastAsia="Calibri" w:hAnsi="Calibri"/>
          <w:b/>
          <w:bCs/>
          <w:sz w:val="21"/>
          <w:szCs w:val="21"/>
        </w:rPr>
        <w:t xml:space="preserve">Decay. </w:t>
      </w:r>
      <w:r>
        <w:rPr>
          <w:rFonts w:ascii="Calibri" w:cs="Calibri" w:eastAsia="Calibri" w:hAnsi="Calibri"/>
          <w:sz w:val="21"/>
          <w:szCs w:val="21"/>
        </w:rPr>
        <w:t xml:space="preserve">A winning variant is a snapshot. As campaign mix, traffic sources, competitor offers and seasonality shift, yesterday's winner silently degrades, and nothing in the current process detects that without a human re-testing it.</w:t>
      </w:r>
    </w:p>
    <w:p>
      <w:pPr>
        <w:spacing w:after="120" w:line="276"/>
      </w:pPr>
      <w:r>
        <w:rPr>
          <w:rFonts w:ascii="Calibri" w:cs="Calibri" w:eastAsia="Calibri" w:hAnsi="Calibri"/>
          <w:sz w:val="21"/>
          <w:szCs w:val="21"/>
        </w:rPr>
        <w:t xml:space="preserve">Closed-loop optimization addresses all three by moving the learning cycle from human-paced to machine-paced. That is the hypothesis this study tests.</w:t>
      </w:r>
    </w:p>
    <w:p>
      <w:pPr>
        <w:pStyle w:val="Heading2"/>
        <w:spacing w:after="120" w:before="260"/>
      </w:pPr>
      <w:r>
        <w:rPr>
          <w:rFonts w:ascii="Calibri" w:cs="Calibri" w:eastAsia="Calibri" w:hAnsi="Calibri"/>
          <w:b/>
          <w:bCs/>
          <w:color w:val="2E74B5"/>
          <w:sz w:val="24"/>
          <w:szCs w:val="24"/>
        </w:rPr>
        <w:t xml:space="preserve">2.2 Business objectives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4600"/>
        <w:gridCol w:w="4760"/>
      </w:tblGrid>
      <w:tr>
        <w:trPr>
          <w:tblHeader/>
        </w:trPr>
        <w:tc>
          <w:tcPr>
            <w:tcW w:type="dxa" w:w="46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Objective</w:t>
            </w:r>
          </w:p>
        </w:tc>
        <w:tc>
          <w:tcPr>
            <w:tcW w:type="dxa" w:w="47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How it would be evidenced</w:t>
            </w:r>
          </w:p>
        </w:tc>
      </w:tr>
      <w:tr>
        <w:trPr>
          <w:tblHeader w:val="false"/>
        </w:trPr>
        <w:tc>
          <w:tcPr>
            <w:tcW w:type="dxa" w:w="46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Improve conversion rates</w:t>
            </w:r>
          </w:p>
        </w:tc>
        <w:tc>
          <w:tcPr>
            <w:tcW w:type="dxa" w:w="47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Statistically significant uplift in journey conversion rate against a held-out control, sustained over a full campaign cycle</w:t>
            </w:r>
          </w:p>
        </w:tc>
      </w:tr>
      <w:tr>
        <w:trPr>
          <w:tblHeader w:val="false"/>
        </w:trPr>
        <w:tc>
          <w:tcPr>
            <w:tcW w:type="dxa" w:w="46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Deliver personalized experiences</w:t>
            </w:r>
          </w:p>
        </w:tc>
        <w:tc>
          <w:tcPr>
            <w:tcW w:type="dxa" w:w="47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Measurable difference in content served across defined segments, with per-segment conversion improvement</w:t>
            </w:r>
          </w:p>
        </w:tc>
      </w:tr>
      <w:tr>
        <w:trPr>
          <w:tblHeader w:val="false"/>
        </w:trPr>
        <w:tc>
          <w:tcPr>
            <w:tcW w:type="dxa" w:w="46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Enable data-driven optimization</w:t>
            </w:r>
          </w:p>
        </w:tc>
        <w:tc>
          <w:tcPr>
            <w:tcW w:type="dxa" w:w="47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Decisions traceable to observed outcome data rather than opinion, with a documented decision log</w:t>
            </w:r>
          </w:p>
        </w:tc>
      </w:tr>
      <w:tr>
        <w:trPr>
          <w:tblHeader w:val="false"/>
        </w:trPr>
        <w:tc>
          <w:tcPr>
            <w:tcW w:type="dxa" w:w="46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Reduce manual optimization effort</w:t>
            </w:r>
          </w:p>
        </w:tc>
        <w:tc>
          <w:tcPr>
            <w:tcW w:type="dxa" w:w="47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Reduction in analyst and agency hours per optimization cycle; increase in variants evaluated per quarter</w:t>
            </w:r>
          </w:p>
        </w:tc>
      </w:tr>
      <w:tr>
        <w:trPr>
          <w:tblHeader w:val="false"/>
        </w:trPr>
        <w:tc>
          <w:tcPr>
            <w:tcW w:type="dxa" w:w="46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Establish a scalable framework</w:t>
            </w:r>
          </w:p>
        </w:tc>
        <w:tc>
          <w:tcPr>
            <w:tcW w:type="dxa" w:w="47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A reusable pattern — data contracts, event taxonomy, decisioning integration, measurement design — deployable to a second journey at materially lower cost than the first</w:t>
            </w:r>
          </w:p>
        </w:tc>
      </w:tr>
    </w:tbl>
    <w:p>
      <w:pPr>
        <w:pStyle w:val="Heading2"/>
        <w:spacing w:after="120" w:before="260"/>
      </w:pPr>
      <w:r>
        <w:rPr>
          <w:rFonts w:ascii="Calibri" w:cs="Calibri" w:eastAsia="Calibri" w:hAnsi="Calibri"/>
          <w:b/>
          <w:bCs/>
          <w:color w:val="2E74B5"/>
          <w:sz w:val="24"/>
          <w:szCs w:val="24"/>
        </w:rPr>
        <w:t xml:space="preserve">2.3 Scope boundary</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4600"/>
        <w:gridCol w:w="4760"/>
      </w:tblGrid>
      <w:tr>
        <w:trPr>
          <w:tblHeader/>
        </w:trPr>
        <w:tc>
          <w:tcPr>
            <w:tcW w:type="dxa" w:w="46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In scope (this phase)</w:t>
            </w:r>
          </w:p>
        </w:tc>
        <w:tc>
          <w:tcPr>
            <w:tcW w:type="dxa" w:w="47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Out of scope (this phase)</w:t>
            </w:r>
          </w:p>
        </w:tc>
      </w:tr>
      <w:tr>
        <w:trPr>
          <w:tblHeader w:val="false"/>
        </w:trPr>
        <w:tc>
          <w:tcPr>
            <w:tcW w:type="dxa" w:w="46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Industry research</w:t>
            </w:r>
          </w:p>
        </w:tc>
        <w:tc>
          <w:tcPr>
            <w:tcW w:type="dxa" w:w="47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Solution development</w:t>
            </w:r>
          </w:p>
        </w:tc>
      </w:tr>
      <w:tr>
        <w:trPr>
          <w:tblHeader w:val="false"/>
        </w:trPr>
        <w:tc>
          <w:tcPr>
            <w:tcW w:type="dxa" w:w="46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Technology assessment</w:t>
            </w:r>
          </w:p>
        </w:tc>
        <w:tc>
          <w:tcPr>
            <w:tcW w:type="dxa" w:w="47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Production implementation</w:t>
            </w:r>
          </w:p>
        </w:tc>
      </w:tr>
      <w:tr>
        <w:trPr>
          <w:tblHeader w:val="false"/>
        </w:trPr>
        <w:tc>
          <w:tcPr>
            <w:tcW w:type="dxa" w:w="46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Data requirements assessment</w:t>
            </w:r>
          </w:p>
        </w:tc>
        <w:tc>
          <w:tcPr>
            <w:tcW w:type="dxa" w:w="47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Platform procurement</w:t>
            </w:r>
          </w:p>
        </w:tc>
      </w:tr>
      <w:tr>
        <w:trPr>
          <w:tblHeader w:val="false"/>
        </w:trPr>
        <w:tc>
          <w:tcPr>
            <w:tcW w:type="dxa" w:w="46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Data gap analysis</w:t>
            </w:r>
          </w:p>
        </w:tc>
        <w:tc>
          <w:tcPr>
            <w:tcW w:type="dxa" w:w="47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Model development</w:t>
            </w:r>
          </w:p>
        </w:tc>
      </w:tr>
      <w:tr>
        <w:trPr>
          <w:tblHeader w:val="false"/>
        </w:trPr>
        <w:tc>
          <w:tcPr>
            <w:tcW w:type="dxa" w:w="46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Feasibility study</w:t>
            </w:r>
          </w:p>
        </w:tc>
        <w:tc>
          <w:tcPr>
            <w:tcW w:type="dxa" w:w="47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w:t>
            </w:r>
          </w:p>
        </w:tc>
      </w:tr>
    </w:tbl>
    <w:p>
      <w:pPr>
        <w:spacing w:after="120" w:line="276"/>
      </w:pPr>
      <w:r>
        <w:rPr>
          <w:rFonts w:ascii="Calibri" w:cs="Calibri" w:eastAsia="Calibri" w:hAnsi="Calibri"/>
          <w:i/>
          <w:iCs/>
          <w:sz w:val="21"/>
          <w:szCs w:val="21"/>
        </w:rPr>
        <w:t xml:space="preserve">Any statement in this document about a specific vendor is descriptive research, not a recommendation to purchase. Vendor selection requires a formal evaluation with a scored requirements matrix, which is out of scope here.</w:t>
      </w:r>
    </w:p>
    <w:p>
      <w:pPr>
        <w:pStyle w:val="Heading2"/>
        <w:spacing w:after="120" w:before="260"/>
      </w:pPr>
      <w:r>
        <w:rPr>
          <w:rFonts w:ascii="Calibri" w:cs="Calibri" w:eastAsia="Calibri" w:hAnsi="Calibri"/>
          <w:b/>
          <w:bCs/>
          <w:color w:val="2E74B5"/>
          <w:sz w:val="24"/>
          <w:szCs w:val="24"/>
        </w:rPr>
        <w:t xml:space="preserve">2.4 Method and evidence base</w:t>
      </w:r>
    </w:p>
    <w:p>
      <w:pPr>
        <w:spacing w:after="120" w:line="276"/>
      </w:pPr>
      <w:r>
        <w:rPr>
          <w:rFonts w:ascii="Calibri" w:cs="Calibri" w:eastAsia="Calibri" w:hAnsi="Calibri"/>
          <w:sz w:val="21"/>
          <w:szCs w:val="21"/>
        </w:rPr>
        <w:t xml:space="preserve">This assessment draws on published industry research, vendor technical documentation, analyst market coverage and established experimentation practice. Two limitations should be understood by the reader:</w:t>
      </w:r>
    </w:p>
    <w:p>
      <w:pPr>
        <w:pStyle w:val="ListParagraph"/>
        <w:numPr>
          <w:ilvl w:val="0"/>
          <w:numId w:val="3"/>
        </w:numPr>
        <w:spacing w:after="70" w:line="270"/>
      </w:pPr>
      <w:r>
        <w:rPr>
          <w:rFonts w:ascii="Calibri" w:cs="Calibri" w:eastAsia="Calibri" w:hAnsi="Calibri"/>
          <w:b/>
          <w:bCs/>
          <w:sz w:val="21"/>
          <w:szCs w:val="21"/>
        </w:rPr>
        <w:t xml:space="preserve">Published uplift figures are unreliable as forecasts. </w:t>
      </w:r>
      <w:r>
        <w:rPr>
          <w:rFonts w:ascii="Calibri" w:cs="Calibri" w:eastAsia="Calibri" w:hAnsi="Calibri"/>
          <w:sz w:val="21"/>
          <w:szCs w:val="21"/>
        </w:rPr>
        <w:t xml:space="preserve">Conversion uplift statistics circulating in marketing literature are overwhelmingly vendor-supplied, self-selected for success, rarely counterfactual and almost never independently audited. They are included in this document to characterise market claims, not to size the business case. The business case must be built from internal baselines.</w:t>
      </w:r>
    </w:p>
    <w:p>
      <w:pPr>
        <w:pStyle w:val="ListParagraph"/>
        <w:numPr>
          <w:ilvl w:val="0"/>
          <w:numId w:val="3"/>
        </w:numPr>
        <w:spacing w:after="70" w:line="270"/>
      </w:pPr>
      <w:r>
        <w:rPr>
          <w:rFonts w:ascii="Calibri" w:cs="Calibri" w:eastAsia="Calibri" w:hAnsi="Calibri"/>
          <w:b/>
          <w:bCs/>
          <w:sz w:val="21"/>
          <w:szCs w:val="21"/>
        </w:rPr>
        <w:t xml:space="preserve">No internal data was available for this phase. </w:t>
      </w:r>
      <w:r>
        <w:rPr>
          <w:rFonts w:ascii="Calibri" w:cs="Calibri" w:eastAsia="Calibri" w:hAnsi="Calibri"/>
          <w:sz w:val="21"/>
          <w:szCs w:val="21"/>
        </w:rPr>
        <w:t xml:space="preserve">Sections 5 and 6 therefore present a requirements framework and a gap analysis structure with typical findings, rather than a completed assessment of this organisation. The tables are designed to be populated during the remediation sprint recommended in Section 9.</w:t>
      </w:r>
    </w:p>
    <w:p>
      <w:r>
        <w:br w:type="page"/>
      </w:r>
    </w:p>
    <w:p>
      <w:pPr>
        <w:pStyle w:val="Heading1"/>
        <w:spacing w:after="160" w:before="360"/>
      </w:pPr>
      <w:r>
        <w:rPr>
          <w:rFonts w:ascii="Calibri" w:cs="Calibri" w:eastAsia="Calibri" w:hAnsi="Calibri"/>
          <w:b/>
          <w:bCs/>
          <w:color w:val="1F3864"/>
          <w:sz w:val="30"/>
          <w:szCs w:val="30"/>
        </w:rPr>
        <w:t xml:space="preserve">3. BR-1 — Industry Research</w:t>
      </w:r>
    </w:p>
    <w:p>
      <w:pPr>
        <w:pStyle w:val="Heading2"/>
        <w:spacing w:after="120" w:before="260"/>
      </w:pPr>
      <w:r>
        <w:rPr>
          <w:rFonts w:ascii="Calibri" w:cs="Calibri" w:eastAsia="Calibri" w:hAnsi="Calibri"/>
          <w:b/>
          <w:bCs/>
          <w:color w:val="2E74B5"/>
          <w:sz w:val="24"/>
          <w:szCs w:val="24"/>
        </w:rPr>
        <w:t xml:space="preserve">3.1 What is Loop Engineering?</w:t>
      </w:r>
    </w:p>
    <w:p>
      <w:pPr>
        <w:spacing w:after="120" w:line="276"/>
      </w:pPr>
      <w:r>
        <w:rPr>
          <w:rFonts w:ascii="Calibri" w:cs="Calibri" w:eastAsia="Calibri" w:hAnsi="Calibri"/>
          <w:sz w:val="21"/>
          <w:szCs w:val="21"/>
        </w:rPr>
        <w:t xml:space="preserve">"Loop engineering" describes the discipline of designing, instrumenting and operating a continuous feedback cycle in which a digital experience improves itself from observed outcomes. Applied to landing pages, the loop has six stages: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1200"/>
        <w:gridCol w:w="2400"/>
        <w:gridCol w:w="5760"/>
      </w:tblGrid>
      <w:tr>
        <w:trPr>
          <w:tblHeader/>
        </w:trPr>
        <w:tc>
          <w:tcPr>
            <w:tcW w:type="dxa" w:w="12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Stage</w:t>
            </w:r>
          </w:p>
        </w:tc>
        <w:tc>
          <w:tcPr>
            <w:tcW w:type="dxa" w:w="24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Function</w:t>
            </w:r>
          </w:p>
        </w:tc>
        <w:tc>
          <w:tcPr>
            <w:tcW w:type="dxa" w:w="57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What it requires</w:t>
            </w:r>
          </w:p>
        </w:tc>
      </w:tr>
      <w:tr>
        <w:trPr>
          <w:tblHeader w:val="false"/>
        </w:trPr>
        <w:tc>
          <w:tcPr>
            <w:tcW w:type="dxa" w:w="12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1. Observe</w:t>
            </w:r>
          </w:p>
        </w:tc>
        <w:tc>
          <w:tcPr>
            <w:tcW w:type="dxa" w:w="24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Capture visitor behaviour and context</w:t>
            </w:r>
          </w:p>
        </w:tc>
        <w:tc>
          <w:tcPr>
            <w:tcW w:type="dxa" w:w="57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Client-side and server-side event capture; consistent event taxonomy; campaign and traffic-source attribution carried into the session</w:t>
            </w:r>
          </w:p>
        </w:tc>
      </w:tr>
      <w:tr>
        <w:trPr>
          <w:tblHeader w:val="false"/>
        </w:trPr>
        <w:tc>
          <w:tcPr>
            <w:tcW w:type="dxa" w:w="12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2. Resolve</w:t>
            </w:r>
          </w:p>
        </w:tc>
        <w:tc>
          <w:tcPr>
            <w:tcW w:type="dxa" w:w="24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Determine who this visitor is</w:t>
            </w:r>
          </w:p>
        </w:tc>
        <w:tc>
          <w:tcPr>
            <w:tcW w:type="dxa" w:w="57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Identity resolution — anonymous device ID, cross-device stitching, and merge of pre-login behaviour with the known customer record at authentication</w:t>
            </w:r>
          </w:p>
        </w:tc>
      </w:tr>
      <w:tr>
        <w:trPr>
          <w:tblHeader w:val="false"/>
        </w:trPr>
        <w:tc>
          <w:tcPr>
            <w:tcW w:type="dxa" w:w="12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3. Decide</w:t>
            </w:r>
          </w:p>
        </w:tc>
        <w:tc>
          <w:tcPr>
            <w:tcW w:type="dxa" w:w="24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Choose what to show</w:t>
            </w:r>
          </w:p>
        </w:tc>
        <w:tc>
          <w:tcPr>
            <w:tcW w:type="dxa" w:w="57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 decisioning engine: rules, a bandit algorithm, or a propensity/uplift model returning a variant within page-render latency</w:t>
            </w:r>
          </w:p>
        </w:tc>
      </w:tr>
      <w:tr>
        <w:trPr>
          <w:tblHeader w:val="false"/>
        </w:trPr>
        <w:tc>
          <w:tcPr>
            <w:tcW w:type="dxa" w:w="12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4. Deliver</w:t>
            </w:r>
          </w:p>
        </w:tc>
        <w:tc>
          <w:tcPr>
            <w:tcW w:type="dxa" w:w="24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Render the chosen experience</w:t>
            </w:r>
          </w:p>
        </w:tc>
        <w:tc>
          <w:tcPr>
            <w:tcW w:type="dxa" w:w="57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 content delivery mechanism — client-side SDK, edge/server-side render, or CMS-integrated component slots</w:t>
            </w:r>
          </w:p>
        </w:tc>
      </w:tr>
      <w:tr>
        <w:trPr>
          <w:tblHeader w:val="false"/>
        </w:trPr>
        <w:tc>
          <w:tcPr>
            <w:tcW w:type="dxa" w:w="12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5. Measure</w:t>
            </w:r>
          </w:p>
        </w:tc>
        <w:tc>
          <w:tcPr>
            <w:tcW w:type="dxa" w:w="24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Observe what happened</w:t>
            </w:r>
          </w:p>
        </w:tc>
        <w:tc>
          <w:tcPr>
            <w:tcW w:type="dxa" w:w="57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Outcome events joined back to the exact variant served, including downstream outcomes that occur outside the session</w:t>
            </w:r>
          </w:p>
        </w:tc>
      </w:tr>
      <w:tr>
        <w:trPr>
          <w:tblHeader w:val="false"/>
        </w:trPr>
        <w:tc>
          <w:tcPr>
            <w:tcW w:type="dxa" w:w="12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6. Learn</w:t>
            </w:r>
          </w:p>
        </w:tc>
        <w:tc>
          <w:tcPr>
            <w:tcW w:type="dxa" w:w="24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Update the decision policy</w:t>
            </w:r>
          </w:p>
        </w:tc>
        <w:tc>
          <w:tcPr>
            <w:tcW w:type="dxa" w:w="57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Feedback of the measured outcome into the decisioning engine so the next decision is better informed</w:t>
            </w:r>
          </w:p>
        </w:tc>
      </w:tr>
    </w:tbl>
    <w:p>
      <w:pPr>
        <w:spacing w:after="120" w:line="276"/>
      </w:pPr>
      <w:r>
        <w:rPr>
          <w:rFonts w:ascii="Calibri" w:cs="Calibri" w:eastAsia="Calibri" w:hAnsi="Calibri"/>
          <w:b/>
          <w:bCs/>
          <w:sz w:val="21"/>
          <w:szCs w:val="21"/>
        </w:rPr>
        <w:t xml:space="preserve">The word "closed" is load-bearing. Most organisations already operate stages 1 through 5 in some form. What is typically missing is stage 6 — an automated, low-latency return path from measured outcome to the next decision. Without it the system is an open loop: it personalises, but it does not learn.</w:t>
      </w:r>
    </w:p>
    <w:p>
      <w:pPr>
        <w:pStyle w:val="Heading2"/>
        <w:spacing w:after="120" w:before="260"/>
      </w:pPr>
      <w:r>
        <w:rPr>
          <w:rFonts w:ascii="Calibri" w:cs="Calibri" w:eastAsia="Calibri" w:hAnsi="Calibri"/>
          <w:b/>
          <w:bCs/>
          <w:color w:val="2E74B5"/>
          <w:sz w:val="24"/>
          <w:szCs w:val="24"/>
        </w:rPr>
        <w:t xml:space="preserve">3.2 What closes the loop — and what breaks it</w:t>
      </w:r>
    </w:p>
    <w:p>
      <w:pPr>
        <w:spacing w:after="120" w:line="276"/>
      </w:pPr>
      <w:r>
        <w:rPr>
          <w:rFonts w:ascii="Calibri" w:cs="Calibri" w:eastAsia="Calibri" w:hAnsi="Calibri"/>
          <w:sz w:val="21"/>
          <w:szCs w:val="21"/>
        </w:rPr>
        <w:t xml:space="preserve">Three specific joins determine whether the loop closes. Each is a common point of failure:</w:t>
      </w:r>
    </w:p>
    <w:p>
      <w:pPr>
        <w:pStyle w:val="ListParagraph"/>
        <w:numPr>
          <w:ilvl w:val="0"/>
          <w:numId w:val="3"/>
        </w:numPr>
        <w:spacing w:after="70" w:line="270"/>
      </w:pPr>
      <w:r>
        <w:rPr>
          <w:rFonts w:ascii="Calibri" w:cs="Calibri" w:eastAsia="Calibri" w:hAnsi="Calibri"/>
          <w:b/>
          <w:bCs/>
          <w:sz w:val="21"/>
          <w:szCs w:val="21"/>
        </w:rPr>
        <w:t xml:space="preserve">Visitor ↔ variant. </w:t>
      </w:r>
      <w:r>
        <w:rPr>
          <w:rFonts w:ascii="Calibri" w:cs="Calibri" w:eastAsia="Calibri" w:hAnsi="Calibri"/>
          <w:sz w:val="21"/>
          <w:szCs w:val="21"/>
        </w:rPr>
        <w:t xml:space="preserve">The system must know with certainty which variant a specific visitor was served. Broken by client-side rendering races, caching, tag failures, ad blockers, and variant IDs that are not persisted into the analytics event stream.</w:t>
      </w:r>
    </w:p>
    <w:p>
      <w:pPr>
        <w:pStyle w:val="ListParagraph"/>
        <w:numPr>
          <w:ilvl w:val="0"/>
          <w:numId w:val="3"/>
        </w:numPr>
        <w:spacing w:after="70" w:line="270"/>
      </w:pPr>
      <w:r>
        <w:rPr>
          <w:rFonts w:ascii="Calibri" w:cs="Calibri" w:eastAsia="Calibri" w:hAnsi="Calibri"/>
          <w:b/>
          <w:bCs/>
          <w:sz w:val="21"/>
          <w:szCs w:val="21"/>
        </w:rPr>
        <w:t xml:space="preserve">Variant ↔ outcome. </w:t>
      </w:r>
      <w:r>
        <w:rPr>
          <w:rFonts w:ascii="Calibri" w:cs="Calibri" w:eastAsia="Calibri" w:hAnsi="Calibri"/>
          <w:sz w:val="21"/>
          <w:szCs w:val="21"/>
        </w:rPr>
        <w:t xml:space="preserve">The system must attribute the conversion back to the variant. Broken when the conversion happens in a different domain, a different session, a different channel, or in a back-office system that never receives the variant ID.</w:t>
      </w:r>
    </w:p>
    <w:p>
      <w:pPr>
        <w:pStyle w:val="ListParagraph"/>
        <w:numPr>
          <w:ilvl w:val="0"/>
          <w:numId w:val="3"/>
        </w:numPr>
        <w:spacing w:after="70" w:line="270"/>
      </w:pPr>
      <w:r>
        <w:rPr>
          <w:rFonts w:ascii="Calibri" w:cs="Calibri" w:eastAsia="Calibri" w:hAnsi="Calibri"/>
          <w:b/>
          <w:bCs/>
          <w:sz w:val="21"/>
          <w:szCs w:val="21"/>
        </w:rPr>
        <w:t xml:space="preserve">Outcome ↔ decision. </w:t>
      </w:r>
      <w:r>
        <w:rPr>
          <w:rFonts w:ascii="Calibri" w:cs="Calibri" w:eastAsia="Calibri" w:hAnsi="Calibri"/>
          <w:sz w:val="21"/>
          <w:szCs w:val="21"/>
        </w:rPr>
        <w:t xml:space="preserve">The measured outcome must reach the decisioning engine fast enough to influence subsequent decisions. Broken by nightly batch pipelines, warehouse-only outcome data, and manual reporting handoffs.</w:t>
      </w:r>
    </w:p>
    <w:p>
      <w:pPr>
        <w:spacing w:after="120" w:line="276"/>
      </w:pPr>
      <w:r>
        <w:rPr>
          <w:rFonts w:ascii="Calibri" w:cs="Calibri" w:eastAsia="Calibri" w:hAnsi="Calibri"/>
          <w:sz w:val="21"/>
          <w:szCs w:val="21"/>
        </w:rPr>
        <w:t xml:space="preserve">An organisation can hold best-in-class tooling and still fail all three. Conversely, an organisation with modest tooling and clean joins will generate compounding learning. This is why Section 6 treats data readiness, not platform capability, as the gating assessment.</w:t>
      </w:r>
    </w:p>
    <w:p>
      <w:pPr>
        <w:pStyle w:val="Heading2"/>
        <w:spacing w:after="120" w:before="260"/>
      </w:pPr>
      <w:r>
        <w:rPr>
          <w:rFonts w:ascii="Calibri" w:cs="Calibri" w:eastAsia="Calibri" w:hAnsi="Calibri"/>
          <w:b/>
          <w:bCs/>
          <w:color w:val="2E74B5"/>
          <w:sz w:val="24"/>
          <w:szCs w:val="24"/>
        </w:rPr>
        <w:t xml:space="preserve">3.3 Maturity model</w:t>
      </w:r>
    </w:p>
    <w:p>
      <w:pPr>
        <w:spacing w:after="120" w:line="276"/>
      </w:pPr>
      <w:r>
        <w:rPr>
          <w:rFonts w:ascii="Calibri" w:cs="Calibri" w:eastAsia="Calibri" w:hAnsi="Calibri"/>
          <w:sz w:val="21"/>
          <w:szCs w:val="21"/>
        </w:rPr>
        <w:t xml:space="preserve">Closed-loop optimization is not binary. Positioning the organisation on this scale is the first step of the readiness assessment.</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900"/>
        <w:gridCol w:w="1900"/>
        <w:gridCol w:w="4060"/>
        <w:gridCol w:w="2500"/>
      </w:tblGrid>
      <w:tr>
        <w:trPr>
          <w:tblHeader/>
        </w:trPr>
        <w:tc>
          <w:tcPr>
            <w:tcW w:type="dxa" w:w="9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Level</w:t>
            </w:r>
          </w:p>
        </w:tc>
        <w:tc>
          <w:tcPr>
            <w:tcW w:type="dxa" w:w="19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Name</w:t>
            </w:r>
          </w:p>
        </w:tc>
        <w:tc>
          <w:tcPr>
            <w:tcW w:type="dxa" w:w="40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Characteristics</w:t>
            </w:r>
          </w:p>
        </w:tc>
        <w:tc>
          <w:tcPr>
            <w:tcW w:type="dxa" w:w="25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Typical limitation</w:t>
            </w:r>
          </w:p>
        </w:tc>
      </w:tr>
      <w:tr>
        <w:trPr>
          <w:tblHeader w:val="false"/>
        </w:trPr>
        <w:tc>
          <w:tcPr>
            <w:tcW w:type="dxa" w:w="9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0</w:t>
            </w:r>
          </w:p>
        </w:tc>
        <w:tc>
          <w:tcPr>
            <w:tcW w:type="dxa" w:w="19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Ad hoc</w:t>
            </w:r>
          </w:p>
        </w:tc>
        <w:tc>
          <w:tcPr>
            <w:tcW w:type="dxa" w:w="40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Changes made on opinion, judgement or agency recommendation; analytics reviewed retrospectively</w:t>
            </w:r>
          </w:p>
        </w:tc>
        <w:tc>
          <w:tcPr>
            <w:tcW w:type="dxa" w:w="25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No causal evidence that changes helped</w:t>
            </w:r>
          </w:p>
        </w:tc>
      </w:tr>
      <w:tr>
        <w:trPr>
          <w:tblHeader w:val="false"/>
        </w:trPr>
        <w:tc>
          <w:tcPr>
            <w:tcW w:type="dxa" w:w="9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1</w:t>
            </w:r>
          </w:p>
        </w:tc>
        <w:tc>
          <w:tcPr>
            <w:tcW w:type="dxa" w:w="19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Structured testing</w:t>
            </w:r>
          </w:p>
        </w:tc>
        <w:tc>
          <w:tcPr>
            <w:tcW w:type="dxa" w:w="40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Disciplined A/B and multivariate testing with significance thresholds; a test backlog and a documented cadence</w:t>
            </w:r>
          </w:p>
        </w:tc>
        <w:tc>
          <w:tcPr>
            <w:tcW w:type="dxa" w:w="25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Throughput capped by human cycle time; winner applies to all traffic</w:t>
            </w:r>
          </w:p>
        </w:tc>
      </w:tr>
      <w:tr>
        <w:trPr>
          <w:tblHeader w:val="false"/>
        </w:trPr>
        <w:tc>
          <w:tcPr>
            <w:tcW w:type="dxa" w:w="9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2</w:t>
            </w:r>
          </w:p>
        </w:tc>
        <w:tc>
          <w:tcPr>
            <w:tcW w:type="dxa" w:w="19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Rule-based personalization</w:t>
            </w:r>
          </w:p>
        </w:tc>
        <w:tc>
          <w:tcPr>
            <w:tcW w:type="dxa" w:w="40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Segment-driven content rules — by traffic source, geography, campaign, device, or known-customer status</w:t>
            </w:r>
          </w:p>
        </w:tc>
        <w:tc>
          <w:tcPr>
            <w:tcW w:type="dxa" w:w="25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Rules are static, proliferate, conflict, and decay without anyone noticing</w:t>
            </w:r>
          </w:p>
        </w:tc>
      </w:tr>
      <w:tr>
        <w:trPr>
          <w:tblHeader w:val="false"/>
        </w:trPr>
        <w:tc>
          <w:tcPr>
            <w:tcW w:type="dxa" w:w="9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3</w:t>
            </w:r>
          </w:p>
        </w:tc>
        <w:tc>
          <w:tcPr>
            <w:tcW w:type="dxa" w:w="19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Algorithmic allocation</w:t>
            </w:r>
          </w:p>
        </w:tc>
        <w:tc>
          <w:tcPr>
            <w:tcW w:type="dxa" w:w="40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Bandit-style automated traffic allocation continually shifts exposure toward better-performing variants</w:t>
            </w:r>
          </w:p>
        </w:tc>
        <w:tc>
          <w:tcPr>
            <w:tcW w:type="dxa" w:w="25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Optimises a proxy metric; still one best variant, not a per-visitor decision</w:t>
            </w:r>
          </w:p>
        </w:tc>
      </w:tr>
      <w:tr>
        <w:trPr>
          <w:tblHeader w:val="false"/>
        </w:trPr>
        <w:tc>
          <w:tcPr>
            <w:tcW w:type="dxa" w:w="9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4</w:t>
            </w:r>
          </w:p>
        </w:tc>
        <w:tc>
          <w:tcPr>
            <w:tcW w:type="dxa" w:w="19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Closed-loop contextual optimization</w:t>
            </w:r>
          </w:p>
        </w:tc>
        <w:tc>
          <w:tcPr>
            <w:tcW w:type="dxa" w:w="40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Per-visitor decisions from models trained on live outcome feedback, with automated retraining and guardrails</w:t>
            </w:r>
          </w:p>
        </w:tc>
        <w:tc>
          <w:tcPr>
            <w:tcW w:type="dxa" w:w="25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Requires mature data foundations, MLOps discipline and governance</w:t>
            </w:r>
          </w:p>
        </w:tc>
      </w:tr>
    </w:tbl>
    <w:p>
      <w:pPr>
        <w:spacing w:after="120" w:line="276"/>
      </w:pPr>
      <w:r>
        <w:rPr>
          <w:rFonts w:ascii="Calibri" w:cs="Calibri" w:eastAsia="Calibri" w:hAnsi="Calibri"/>
          <w:sz w:val="21"/>
          <w:szCs w:val="21"/>
        </w:rPr>
        <w:t xml:space="preserve">Level 3 is where most well-run digital acquisition teams can realistically operate. Level 4 is achievable but requires the data foundations described in Section 5 to be genuinely in place — which is uncommon. A candid Level 1 assessment is a more useful starting point than an aspirational Level 4 target.</w:t>
      </w:r>
    </w:p>
    <w:p>
      <w:pPr>
        <w:pStyle w:val="Heading2"/>
        <w:spacing w:after="120" w:before="260"/>
      </w:pPr>
      <w:r>
        <w:rPr>
          <w:rFonts w:ascii="Calibri" w:cs="Calibri" w:eastAsia="Calibri" w:hAnsi="Calibri"/>
          <w:b/>
          <w:bCs/>
          <w:color w:val="2E74B5"/>
          <w:sz w:val="24"/>
          <w:szCs w:val="24"/>
        </w:rPr>
        <w:t xml:space="preserve">3.4 Market practice and benchmarks</w:t>
      </w:r>
    </w:p>
    <w:p>
      <w:pPr>
        <w:spacing w:after="120" w:line="276"/>
      </w:pPr>
      <w:r>
        <w:rPr>
          <w:rFonts w:ascii="Calibri" w:cs="Calibri" w:eastAsia="Calibri" w:hAnsi="Calibri"/>
          <w:sz w:val="21"/>
          <w:szCs w:val="21"/>
        </w:rPr>
        <w:t xml:space="preserve">Published benchmark data provides context for target-setting, with the caveats in Section 2.4:</w:t>
      </w:r>
    </w:p>
    <w:p>
      <w:pPr>
        <w:pStyle w:val="ListParagraph"/>
        <w:numPr>
          <w:ilvl w:val="0"/>
          <w:numId w:val="3"/>
        </w:numPr>
        <w:spacing w:after="70" w:line="270"/>
      </w:pPr>
      <w:r>
        <w:rPr>
          <w:rFonts w:ascii="Calibri" w:cs="Calibri" w:eastAsia="Calibri" w:hAnsi="Calibri"/>
          <w:b/>
          <w:bCs/>
          <w:sz w:val="21"/>
          <w:szCs w:val="21"/>
        </w:rPr>
        <w:t xml:space="preserve">Baseline conversion. </w:t>
      </w:r>
      <w:r>
        <w:rPr>
          <w:rFonts w:ascii="Calibri" w:cs="Calibri" w:eastAsia="Calibri" w:hAnsi="Calibri"/>
          <w:sz w:val="21"/>
          <w:szCs w:val="21"/>
        </w:rPr>
        <w:t xml:space="preserve">Unbounce's Conversion Benchmark Report, drawn from a large sample of landing pages, places the cross-industry median landing page conversion rate at approximately 6.6%, with financial services among the higher-performing sectors at roughly 8.4%. These are self-selected campaign landing pages and should be treated as directional context, not as a target.</w:t>
      </w:r>
    </w:p>
    <w:p>
      <w:pPr>
        <w:pStyle w:val="ListParagraph"/>
        <w:numPr>
          <w:ilvl w:val="0"/>
          <w:numId w:val="3"/>
        </w:numPr>
        <w:spacing w:after="70" w:line="270"/>
      </w:pPr>
      <w:r>
        <w:rPr>
          <w:rFonts w:ascii="Calibri" w:cs="Calibri" w:eastAsia="Calibri" w:hAnsi="Calibri"/>
          <w:b/>
          <w:bCs/>
          <w:sz w:val="21"/>
          <w:szCs w:val="21"/>
        </w:rPr>
        <w:t xml:space="preserve">Personalization uplift claims. </w:t>
      </w:r>
      <w:r>
        <w:rPr>
          <w:rFonts w:ascii="Calibri" w:cs="Calibri" w:eastAsia="Calibri" w:hAnsi="Calibri"/>
          <w:sz w:val="21"/>
          <w:szCs w:val="21"/>
        </w:rPr>
        <w:t xml:space="preserve">Widely cited figures — such as personalized calls-to-action converting substantially better than generic ones, or AI-driven personalization delivering double-digit percentage uplift — originate from vendor and agency case studies. They are not counterfactual studies and should not be used to size a business case.</w:t>
      </w:r>
    </w:p>
    <w:p>
      <w:pPr>
        <w:pStyle w:val="ListParagraph"/>
        <w:numPr>
          <w:ilvl w:val="0"/>
          <w:numId w:val="3"/>
        </w:numPr>
        <w:spacing w:after="70" w:line="270"/>
      </w:pPr>
      <w:r>
        <w:rPr>
          <w:rFonts w:ascii="Calibri" w:cs="Calibri" w:eastAsia="Calibri" w:hAnsi="Calibri"/>
          <w:b/>
          <w:bCs/>
          <w:sz w:val="21"/>
          <w:szCs w:val="21"/>
        </w:rPr>
        <w:t xml:space="preserve">Vendor market maturity. </w:t>
      </w:r>
      <w:r>
        <w:rPr>
          <w:rFonts w:ascii="Calibri" w:cs="Calibri" w:eastAsia="Calibri" w:hAnsi="Calibri"/>
          <w:sz w:val="21"/>
          <w:szCs w:val="21"/>
        </w:rPr>
        <w:t xml:space="preserve">The February 2026 Gartner Magic Quadrant for Personalization Engines assessed twelve vendors in a market valued at approximately USD 1.2 billion after 26.1% growth in 2024, with Adobe, Optimizely, SAP and Insider among those positioned in the Leaders quadrant. A market of this size and structure indicates a commoditised capability, not a frontier one.</w:t>
      </w:r>
    </w:p>
    <w:tbl>
      <w:tblPr>
        <w:tblW w:type="dxa" w:w="936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FFF6E5" w:color="auto" w:val="clear"/>
            <w:tcMar>
              <w:top w:type="dxa" w:w="140"/>
              <w:left w:type="dxa" w:w="180"/>
              <w:bottom w:type="dxa" w:w="140"/>
              <w:right w:type="dxa" w:w="180"/>
            </w:tcMar>
          </w:tcPr>
          <w:p>
            <w:pPr>
              <w:spacing w:after="80"/>
            </w:pPr>
            <w:r>
              <w:rPr>
                <w:rFonts w:ascii="Calibri" w:cs="Calibri" w:eastAsia="Calibri" w:hAnsi="Calibri"/>
                <w:b/>
                <w:bCs/>
                <w:color w:val="1F3864"/>
                <w:sz w:val="21"/>
                <w:szCs w:val="21"/>
              </w:rPr>
              <w:t xml:space="preserve">How to read benchmarks</w:t>
            </w:r>
          </w:p>
          <w:p>
            <w:pPr>
              <w:spacing w:after="60" w:line="270"/>
            </w:pPr>
            <w:r>
              <w:rPr>
                <w:rFonts w:ascii="Calibri" w:cs="Calibri" w:eastAsia="Calibri" w:hAnsi="Calibri"/>
                <w:sz w:val="20"/>
                <w:szCs w:val="20"/>
              </w:rPr>
              <w:t xml:space="preserve">Benchmark conversion rates vary more by traffic source, offer strength and intent than by page design. A page fed by high-intent branded search will outperform a page fed by cold display traffic by a wide margin regardless of optimization quality.</w:t>
            </w:r>
          </w:p>
          <w:p>
            <w:pPr>
              <w:spacing w:after="60" w:line="270"/>
            </w:pPr>
            <w:r>
              <w:rPr>
                <w:rFonts w:ascii="Calibri" w:cs="Calibri" w:eastAsia="Calibri" w:hAnsi="Calibri"/>
                <w:sz w:val="20"/>
                <w:szCs w:val="20"/>
              </w:rPr>
              <w:t xml:space="preserve">Use benchmarks to sanity-check whether internal performance is anomalous, not to set uplift targets. The only defensible target is measured uplift against your own held-out control.</w:t>
            </w:r>
          </w:p>
        </w:tc>
      </w:tr>
    </w:tbl>
    <w:p>
      <w:r>
        <w:br w:type="page"/>
      </w:r>
    </w:p>
    <w:p>
      <w:pPr>
        <w:pStyle w:val="Heading1"/>
        <w:spacing w:after="160" w:before="360"/>
      </w:pPr>
      <w:r>
        <w:rPr>
          <w:rFonts w:ascii="Calibri" w:cs="Calibri" w:eastAsia="Calibri" w:hAnsi="Calibri"/>
          <w:b/>
          <w:bCs/>
          <w:color w:val="1F3864"/>
          <w:sz w:val="30"/>
          <w:szCs w:val="30"/>
        </w:rPr>
        <w:t xml:space="preserve">4. BR-2 — Technology Assessment</w:t>
      </w:r>
    </w:p>
    <w:p>
      <w:pPr>
        <w:pStyle w:val="Heading2"/>
        <w:spacing w:after="120" w:before="260"/>
      </w:pPr>
      <w:r>
        <w:rPr>
          <w:rFonts w:ascii="Calibri" w:cs="Calibri" w:eastAsia="Calibri" w:hAnsi="Calibri"/>
          <w:b/>
          <w:bCs/>
          <w:color w:val="2E74B5"/>
          <w:sz w:val="24"/>
          <w:szCs w:val="24"/>
        </w:rPr>
        <w:t xml:space="preserve">4.1 Reference architecture</w:t>
      </w:r>
    </w:p>
    <w:p>
      <w:pPr>
        <w:spacing w:after="120" w:line="276"/>
      </w:pPr>
      <w:r>
        <w:rPr>
          <w:rFonts w:ascii="Calibri" w:cs="Calibri" w:eastAsia="Calibri" w:hAnsi="Calibri"/>
          <w:sz w:val="21"/>
          <w:szCs w:val="21"/>
        </w:rPr>
        <w:t xml:space="preserve">A closed-loop capability decomposes into five layers. Assessing feasibility means assessing each layer independently — a strong layer cannot compensate for a broken adjacent one.</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1900"/>
        <w:gridCol w:w="3400"/>
        <w:gridCol w:w="4060"/>
      </w:tblGrid>
      <w:tr>
        <w:trPr>
          <w:tblHeader/>
        </w:trPr>
        <w:tc>
          <w:tcPr>
            <w:tcW w:type="dxa" w:w="19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Layer</w:t>
            </w:r>
          </w:p>
        </w:tc>
        <w:tc>
          <w:tcPr>
            <w:tcW w:type="dxa" w:w="34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Responsibility</w:t>
            </w:r>
          </w:p>
        </w:tc>
        <w:tc>
          <w:tcPr>
            <w:tcW w:type="dxa" w:w="40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Assessment questions</w:t>
            </w:r>
          </w:p>
        </w:tc>
      </w:tr>
      <w:tr>
        <w:trPr>
          <w:tblHeader w:val="false"/>
        </w:trPr>
        <w:tc>
          <w:tcPr>
            <w:tcW w:type="dxa" w:w="19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Collection</w:t>
            </w:r>
          </w:p>
        </w:tc>
        <w:tc>
          <w:tcPr>
            <w:tcW w:type="dxa" w:w="34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Capture behavioural, contextual and campaign events from web, app and server-side sources</w:t>
            </w:r>
          </w:p>
        </w:tc>
        <w:tc>
          <w:tcPr>
            <w:tcW w:type="dxa" w:w="40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Is there one event taxonomy or several? Is collection client-side only? What is the tag failure and consent opt-out rate?</w:t>
            </w:r>
          </w:p>
        </w:tc>
      </w:tr>
      <w:tr>
        <w:trPr>
          <w:tblHeader w:val="false"/>
        </w:trPr>
        <w:tc>
          <w:tcPr>
            <w:tcW w:type="dxa" w:w="19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Identity &amp; profile</w:t>
            </w:r>
          </w:p>
        </w:tc>
        <w:tc>
          <w:tcPr>
            <w:tcW w:type="dxa" w:w="34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Resolve events into a stable profile; stitch anonymous to known at login</w:t>
            </w:r>
          </w:p>
        </w:tc>
        <w:tc>
          <w:tcPr>
            <w:tcW w:type="dxa" w:w="40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Is there a CDP or equivalent? Is the anonymous-to-known merge real-time or batch? What identifiers are available pre-login?</w:t>
            </w:r>
          </w:p>
        </w:tc>
      </w:tr>
      <w:tr>
        <w:trPr>
          <w:tblHeader w:val="false"/>
        </w:trPr>
        <w:tc>
          <w:tcPr>
            <w:tcW w:type="dxa" w:w="19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Decisioning</w:t>
            </w:r>
          </w:p>
        </w:tc>
        <w:tc>
          <w:tcPr>
            <w:tcW w:type="dxa" w:w="34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Select the variant or content for a given visitor and context</w:t>
            </w:r>
          </w:p>
        </w:tc>
        <w:tc>
          <w:tcPr>
            <w:tcW w:type="dxa" w:w="40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Rules, bandits or models? What is the decision latency budget? Can it be overridden and audited?</w:t>
            </w:r>
          </w:p>
        </w:tc>
      </w:tr>
      <w:tr>
        <w:trPr>
          <w:tblHeader w:val="false"/>
        </w:trPr>
        <w:tc>
          <w:tcPr>
            <w:tcW w:type="dxa" w:w="19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Delivery</w:t>
            </w:r>
          </w:p>
        </w:tc>
        <w:tc>
          <w:tcPr>
            <w:tcW w:type="dxa" w:w="34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Render the selected experience without degrading page performance</w:t>
            </w:r>
          </w:p>
        </w:tc>
        <w:tc>
          <w:tcPr>
            <w:tcW w:type="dxa" w:w="40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Client-side flicker? Edge or server-side rendering available? Is the CMS componentised enough to swap content?</w:t>
            </w:r>
          </w:p>
        </w:tc>
      </w:tr>
      <w:tr>
        <w:trPr>
          <w:tblHeader w:val="false"/>
        </w:trPr>
        <w:tc>
          <w:tcPr>
            <w:tcW w:type="dxa" w:w="19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Measurement &amp; feedback</w:t>
            </w:r>
          </w:p>
        </w:tc>
        <w:tc>
          <w:tcPr>
            <w:tcW w:type="dxa" w:w="34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Attribute outcomes to variants and return them to decisioning</w:t>
            </w:r>
          </w:p>
        </w:tc>
        <w:tc>
          <w:tcPr>
            <w:tcW w:type="dxa" w:w="40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Where do outcome events originate? What is the latency from conversion to available signal? Is there an automated return path?</w:t>
            </w:r>
          </w:p>
        </w:tc>
      </w:tr>
    </w:tbl>
    <w:p>
      <w:pPr>
        <w:spacing w:after="120" w:line="276"/>
      </w:pPr>
      <w:r>
        <w:rPr>
          <w:rFonts w:ascii="Calibri" w:cs="Calibri" w:eastAsia="Calibri" w:hAnsi="Calibri"/>
          <w:b/>
          <w:bCs/>
          <w:sz w:val="21"/>
          <w:szCs w:val="21"/>
        </w:rPr>
        <w:t xml:space="preserve">The measurement and feedback layer is the one most often under-specified in vendor demonstrations and most often absent in practice. It should be the first thing interrogated in any proof of concept.</w:t>
      </w:r>
    </w:p>
    <w:p>
      <w:pPr>
        <w:pStyle w:val="Heading2"/>
        <w:spacing w:after="120" w:before="260"/>
      </w:pPr>
      <w:r>
        <w:rPr>
          <w:rFonts w:ascii="Calibri" w:cs="Calibri" w:eastAsia="Calibri" w:hAnsi="Calibri"/>
          <w:b/>
          <w:bCs/>
          <w:color w:val="2E74B5"/>
          <w:sz w:val="24"/>
          <w:szCs w:val="24"/>
        </w:rPr>
        <w:t xml:space="preserve">4.2 Platform landscape</w:t>
      </w:r>
    </w:p>
    <w:p>
      <w:pPr>
        <w:spacing w:after="120" w:line="276"/>
      </w:pPr>
      <w:r>
        <w:rPr>
          <w:rFonts w:ascii="Calibri" w:cs="Calibri" w:eastAsia="Calibri" w:hAnsi="Calibri"/>
          <w:sz w:val="21"/>
          <w:szCs w:val="21"/>
        </w:rPr>
        <w:t xml:space="preserve">The following characterises categories of capability available in the market. It is research, not a shortlist, and vendor positioning changes frequently.</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3200"/>
        <w:gridCol w:w="3760"/>
      </w:tblGrid>
      <w:tr>
        <w:trPr>
          <w:tblHeader/>
        </w:trPr>
        <w:tc>
          <w:tcPr>
            <w:tcW w:type="dxa" w:w="24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Category</w:t>
            </w:r>
          </w:p>
        </w:tc>
        <w:tc>
          <w:tcPr>
            <w:tcW w:type="dxa" w:w="32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Representative vendors</w:t>
            </w:r>
          </w:p>
        </w:tc>
        <w:tc>
          <w:tcPr>
            <w:tcW w:type="dxa" w:w="37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Fit considerations</w:t>
            </w:r>
          </w:p>
        </w:tc>
      </w:tr>
      <w:tr>
        <w:trPr>
          <w:tblHeader w:val="false"/>
        </w:trPr>
        <w:tc>
          <w:tcPr>
            <w:tcW w:type="dxa" w:w="24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Enterprise experience suites</w:t>
            </w:r>
          </w:p>
        </w:tc>
        <w:tc>
          <w:tcPr>
            <w:tcW w:type="dxa" w:w="32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Adobe (Target / Experience Platform / Journey Optimizer), SAP, Salesforce</w:t>
            </w:r>
          </w:p>
        </w:tc>
        <w:tc>
          <w:tcPr>
            <w:tcW w:type="dxa" w:w="37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Strongest where the organisation already runs the wider suite; deep cross-channel reach; significant implementation effort and professional services dependency</w:t>
            </w:r>
          </w:p>
        </w:tc>
      </w:tr>
      <w:tr>
        <w:trPr>
          <w:tblHeader w:val="false"/>
        </w:trPr>
        <w:tc>
          <w:tcPr>
            <w:tcW w:type="dxa" w:w="24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Experimentation-led platforms</w:t>
            </w:r>
          </w:p>
        </w:tc>
        <w:tc>
          <w:tcPr>
            <w:tcW w:type="dxa" w:w="32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Optimizely, VWO, AB Tasty, Eppo, Statsig</w:t>
            </w:r>
          </w:p>
        </w:tc>
        <w:tc>
          <w:tcPr>
            <w:tcW w:type="dxa" w:w="37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Strongest statistical rigour and experiment governance; personalization is an extension of the experimentation model rather than the core</w:t>
            </w:r>
          </w:p>
        </w:tc>
      </w:tr>
      <w:tr>
        <w:trPr>
          <w:tblHeader w:val="false"/>
        </w:trPr>
        <w:tc>
          <w:tcPr>
            <w:tcW w:type="dxa" w:w="24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Personalization / decisioning engines</w:t>
            </w:r>
          </w:p>
        </w:tc>
        <w:tc>
          <w:tcPr>
            <w:tcW w:type="dxa" w:w="32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Dynamic Yield, Insider, Bloomreach, Ninetailed</w:t>
            </w:r>
          </w:p>
        </w:tc>
        <w:tc>
          <w:tcPr>
            <w:tcW w:type="dxa" w:w="37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Purpose-built for content decisioning and recommendation; commonly retail/e-commerce heritage; assess non-commerce journey fit carefully</w:t>
            </w:r>
          </w:p>
        </w:tc>
      </w:tr>
      <w:tr>
        <w:trPr>
          <w:tblHeader w:val="false"/>
        </w:trPr>
        <w:tc>
          <w:tcPr>
            <w:tcW w:type="dxa" w:w="24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Customer data platforms</w:t>
            </w:r>
          </w:p>
        </w:tc>
        <w:tc>
          <w:tcPr>
            <w:tcW w:type="dxa" w:w="32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Adobe Real-Time CDP, Segment, mParticle, Tealium, Salesforce Data Cloud</w:t>
            </w:r>
          </w:p>
        </w:tc>
        <w:tc>
          <w:tcPr>
            <w:tcW w:type="dxa" w:w="37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Supplies the identity and profile layer rather than decisioning; often the actual missing component</w:t>
            </w:r>
          </w:p>
        </w:tc>
      </w:tr>
      <w:tr>
        <w:trPr>
          <w:tblHeader w:val="false"/>
        </w:trPr>
        <w:tc>
          <w:tcPr>
            <w:tcW w:type="dxa" w:w="24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Behavioural analytics</w:t>
            </w:r>
          </w:p>
        </w:tc>
        <w:tc>
          <w:tcPr>
            <w:tcW w:type="dxa" w:w="32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Contentsquare, Quantum Metric, Amplitude, Heap, FullStory</w:t>
            </w:r>
          </w:p>
        </w:tc>
        <w:tc>
          <w:tcPr>
            <w:tcW w:type="dxa" w:w="37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Diagnostic — tells you what is failing on the page and why; feeds the hypothesis backlog rather than the loop itself</w:t>
            </w:r>
          </w:p>
        </w:tc>
      </w:tr>
      <w:tr>
        <w:trPr>
          <w:tblHeader w:val="false"/>
        </w:trPr>
        <w:tc>
          <w:tcPr>
            <w:tcW w:type="dxa" w:w="24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Composable / build</w:t>
            </w:r>
          </w:p>
        </w:tc>
        <w:tc>
          <w:tcPr>
            <w:tcW w:type="dxa" w:w="32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Feature-flag platforms plus in-house models on cloud ML infrastructure</w:t>
            </w:r>
          </w:p>
        </w:tc>
        <w:tc>
          <w:tcPr>
            <w:tcW w:type="dxa" w:w="37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Maximum control and lowest licence cost; highest engineering and MLOps burden; realistic only with a standing data science and platform team</w:t>
            </w:r>
          </w:p>
        </w:tc>
      </w:tr>
    </w:tbl>
    <w:p>
      <w:pPr>
        <w:spacing w:after="120" w:line="276"/>
      </w:pPr>
      <w:r>
        <w:rPr>
          <w:rFonts w:ascii="Calibri" w:cs="Calibri" w:eastAsia="Calibri" w:hAnsi="Calibri"/>
          <w:sz w:val="21"/>
          <w:szCs w:val="21"/>
        </w:rPr>
        <w:t xml:space="preserve">Analyst placement — such as Leaders-quadrant positioning in the 2026 Gartner Magic Quadrant for Personalization Engines — indicates market presence and breadth of vision, not fit for a specific journey. Weight it accordingly.</w:t>
      </w:r>
    </w:p>
    <w:p>
      <w:pPr>
        <w:pStyle w:val="Heading2"/>
        <w:spacing w:after="120" w:before="260"/>
      </w:pPr>
      <w:r>
        <w:rPr>
          <w:rFonts w:ascii="Calibri" w:cs="Calibri" w:eastAsia="Calibri" w:hAnsi="Calibri"/>
          <w:b/>
          <w:bCs/>
          <w:color w:val="2E74B5"/>
          <w:sz w:val="24"/>
          <w:szCs w:val="24"/>
        </w:rPr>
        <w:t xml:space="preserve">4.3 Decisioning approaches</w:t>
      </w:r>
    </w:p>
    <w:p>
      <w:pPr>
        <w:spacing w:after="120" w:line="276"/>
      </w:pPr>
      <w:r>
        <w:rPr>
          <w:rFonts w:ascii="Calibri" w:cs="Calibri" w:eastAsia="Calibri" w:hAnsi="Calibri"/>
          <w:sz w:val="21"/>
          <w:szCs w:val="21"/>
        </w:rPr>
        <w:t xml:space="preserve">The choice of decisioning method is more consequential than the choice of vendor, because it determines what evidence the system produces and what governance it requires.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100"/>
        <w:gridCol w:w="3300"/>
        <w:gridCol w:w="1980"/>
        <w:gridCol w:w="1980"/>
      </w:tblGrid>
      <w:tr>
        <w:trPr>
          <w:tblHeader/>
        </w:trPr>
        <w:tc>
          <w:tcPr>
            <w:tcW w:type="dxa" w:w="21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Approach</w:t>
            </w:r>
          </w:p>
        </w:tc>
        <w:tc>
          <w:tcPr>
            <w:tcW w:type="dxa" w:w="33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How it works</w:t>
            </w:r>
          </w:p>
        </w:tc>
        <w:tc>
          <w:tcPr>
            <w:tcW w:type="dxa" w:w="198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Best used when</w:t>
            </w:r>
          </w:p>
        </w:tc>
        <w:tc>
          <w:tcPr>
            <w:tcW w:type="dxa" w:w="198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Principal weakness</w:t>
            </w:r>
          </w:p>
        </w:tc>
      </w:tr>
      <w:tr>
        <w:trPr>
          <w:tblHeader w:val="false"/>
        </w:trPr>
        <w:tc>
          <w:tcPr>
            <w:tcW w:type="dxa" w:w="21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A/B and multivariate testing</w:t>
            </w:r>
          </w:p>
        </w:tc>
        <w:tc>
          <w:tcPr>
            <w:tcW w:type="dxa" w:w="33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Fixed traffic split; run to statistical significance; apply the winner to all traffic</w:t>
            </w:r>
          </w:p>
        </w:tc>
        <w:tc>
          <w:tcPr>
            <w:tcW w:type="dxa" w:w="198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Few variants; the decision must be explainable and defensible; you need a causal answer</w:t>
            </w:r>
          </w:p>
        </w:tc>
        <w:tc>
          <w:tcPr>
            <w:tcW w:type="dxa" w:w="198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Slow; costs traffic on losing variants; produces one answer for all visitors</w:t>
            </w:r>
          </w:p>
        </w:tc>
      </w:tr>
      <w:tr>
        <w:trPr>
          <w:tblHeader w:val="false"/>
        </w:trPr>
        <w:tc>
          <w:tcPr>
            <w:tcW w:type="dxa" w:w="21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Multi-armed bandit</w:t>
            </w:r>
          </w:p>
        </w:tc>
        <w:tc>
          <w:tcPr>
            <w:tcW w:type="dxa" w:w="33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Traffic allocation shifts dynamically toward better-performing variants during the test</w:t>
            </w:r>
          </w:p>
        </w:tc>
        <w:tc>
          <w:tcPr>
            <w:tcW w:type="dxa" w:w="198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Many variants; short-lived campaigns; the cost of showing a loser is high</w:t>
            </w:r>
          </w:p>
        </w:tc>
        <w:tc>
          <w:tcPr>
            <w:tcW w:type="dxa" w:w="198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Weaker causal inference; can converge prematurely on a noisy early leader</w:t>
            </w:r>
          </w:p>
        </w:tc>
      </w:tr>
      <w:tr>
        <w:trPr>
          <w:tblHeader w:val="false"/>
        </w:trPr>
        <w:tc>
          <w:tcPr>
            <w:tcW w:type="dxa" w:w="21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Contextual bandit</w:t>
            </w:r>
          </w:p>
        </w:tc>
        <w:tc>
          <w:tcPr>
            <w:tcW w:type="dxa" w:w="33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Variant choice conditioned on visitor context, learning a different best answer per segment</w:t>
            </w:r>
          </w:p>
        </w:tc>
        <w:tc>
          <w:tcPr>
            <w:tcW w:type="dxa" w:w="198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Segment preferences genuinely differ and enough traffic exists per segment</w:t>
            </w:r>
          </w:p>
        </w:tc>
        <w:tc>
          <w:tcPr>
            <w:tcW w:type="dxa" w:w="198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Data-hungry; harder to explain; risk of learning spurious segment patterns</w:t>
            </w:r>
          </w:p>
        </w:tc>
      </w:tr>
      <w:tr>
        <w:trPr>
          <w:tblHeader w:val="false"/>
        </w:trPr>
        <w:tc>
          <w:tcPr>
            <w:tcW w:type="dxa" w:w="21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Propensity / uplift models</w:t>
            </w:r>
          </w:p>
        </w:tc>
        <w:tc>
          <w:tcPr>
            <w:tcW w:type="dxa" w:w="33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 trained model scores likelihood of conversion or incremental response and drives the decision</w:t>
            </w:r>
          </w:p>
        </w:tc>
        <w:tc>
          <w:tcPr>
            <w:tcW w:type="dxa" w:w="198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Rich historical outcome data exists and decisions carry material value</w:t>
            </w:r>
          </w:p>
        </w:tc>
        <w:tc>
          <w:tcPr>
            <w:tcW w:type="dxa" w:w="198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Full MLOps burden — training, drift monitoring, retraining, model governance</w:t>
            </w:r>
          </w:p>
        </w:tc>
      </w:tr>
    </w:tbl>
    <w:p>
      <w:pPr>
        <w:spacing w:after="120" w:line="276"/>
      </w:pPr>
      <w:r>
        <w:rPr>
          <w:rFonts w:ascii="Calibri" w:cs="Calibri" w:eastAsia="Calibri" w:hAnsi="Calibri"/>
          <w:sz w:val="21"/>
          <w:szCs w:val="21"/>
        </w:rPr>
        <w:t xml:space="preserve">A defensible sequence is to earn each step. Establish disciplined A/B testing first (it produces the ground truth against which everything else is validated), introduce bandit allocation where variant counts justify it, and only move to contextual or model-driven decisioning once the outcome feedback path in Section 4.1 is demonstrably reliable. Skipping to model-driven decisioning over unreliable feedback data produces confident, unfalsifiable, wrong answers.</w:t>
      </w:r>
    </w:p>
    <w:p>
      <w:pPr>
        <w:pStyle w:val="Heading2"/>
        <w:spacing w:after="120" w:before="260"/>
      </w:pPr>
      <w:r>
        <w:rPr>
          <w:rFonts w:ascii="Calibri" w:cs="Calibri" w:eastAsia="Calibri" w:hAnsi="Calibri"/>
          <w:b/>
          <w:bCs/>
          <w:color w:val="2E74B5"/>
          <w:sz w:val="24"/>
          <w:szCs w:val="24"/>
        </w:rPr>
        <w:t xml:space="preserve">4.4 Build, buy, or compose</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1800"/>
        <w:gridCol w:w="3780"/>
        <w:gridCol w:w="3780"/>
      </w:tblGrid>
      <w:tr>
        <w:trPr>
          <w:tblHeader/>
        </w:trPr>
        <w:tc>
          <w:tcPr>
            <w:tcW w:type="dxa" w:w="18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Option</w:t>
            </w:r>
          </w:p>
        </w:tc>
        <w:tc>
          <w:tcPr>
            <w:tcW w:type="dxa" w:w="378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Argument for</w:t>
            </w:r>
          </w:p>
        </w:tc>
        <w:tc>
          <w:tcPr>
            <w:tcW w:type="dxa" w:w="378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Argument against</w:t>
            </w:r>
          </w:p>
        </w:tc>
      </w:tr>
      <w:tr>
        <w:trPr>
          <w:tblHeader w:val="false"/>
        </w:trPr>
        <w:tc>
          <w:tcPr>
            <w:tcW w:type="dxa" w:w="18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Buy an integrated platform</w:t>
            </w:r>
          </w:p>
        </w:tc>
        <w:tc>
          <w:tcPr>
            <w:tcW w:type="dxa" w:w="378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Fastest route to capability; vendor owns algorithm quality and roadmap; support and SLA</w:t>
            </w:r>
          </w:p>
        </w:tc>
        <w:tc>
          <w:tcPr>
            <w:tcW w:type="dxa" w:w="378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Licence cost scales with traffic; enterprise deployments commonly require months of professional services; risk of lock-in at the data layer</w:t>
            </w:r>
          </w:p>
        </w:tc>
      </w:tr>
      <w:tr>
        <w:trPr>
          <w:tblHeader w:val="false"/>
        </w:trPr>
        <w:tc>
          <w:tcPr>
            <w:tcW w:type="dxa" w:w="18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Extend existing licences</w:t>
            </w:r>
          </w:p>
        </w:tc>
        <w:tc>
          <w:tcPr>
            <w:tcW w:type="dxa" w:w="378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Lowest incremental cost; may already be paid for and partially deployed; no new procurement cycle</w:t>
            </w:r>
          </w:p>
        </w:tc>
        <w:tc>
          <w:tcPr>
            <w:tcW w:type="dxa" w:w="378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Capability ceiling may be low; existing deployment may be configured for reporting rather than decisioning</w:t>
            </w:r>
          </w:p>
        </w:tc>
      </w:tr>
      <w:tr>
        <w:trPr>
          <w:tblHeader w:val="false"/>
        </w:trPr>
        <w:tc>
          <w:tcPr>
            <w:tcW w:type="dxa" w:w="18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Compose best-of-breed</w:t>
            </w:r>
          </w:p>
        </w:tc>
        <w:tc>
          <w:tcPr>
            <w:tcW w:type="dxa" w:w="378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Each layer independently replaceable; avoids paying for unused suite modules</w:t>
            </w:r>
          </w:p>
        </w:tc>
        <w:tc>
          <w:tcPr>
            <w:tcW w:type="dxa" w:w="378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Integration burden falls entirely on internal engineering; identity layer becomes the hard problem</w:t>
            </w:r>
          </w:p>
        </w:tc>
      </w:tr>
      <w:tr>
        <w:trPr>
          <w:tblHeader w:val="false"/>
        </w:trPr>
        <w:tc>
          <w:tcPr>
            <w:tcW w:type="dxa" w:w="18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Build in-house</w:t>
            </w:r>
          </w:p>
        </w:tc>
        <w:tc>
          <w:tcPr>
            <w:tcW w:type="dxa" w:w="378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Full control; no per-decision licence cost; models tuned to proprietary data</w:t>
            </w:r>
          </w:p>
        </w:tc>
        <w:tc>
          <w:tcPr>
            <w:tcW w:type="dxa" w:w="378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Requires standing data science, platform engineering and MLOps capability; long time to first value; ongoing maintenance is permanent, not project-scoped</w:t>
            </w:r>
          </w:p>
        </w:tc>
      </w:tr>
    </w:tbl>
    <w:p>
      <w:pPr>
        <w:spacing w:after="120" w:line="276"/>
      </w:pPr>
      <w:r>
        <w:rPr>
          <w:rFonts w:ascii="Calibri" w:cs="Calibri" w:eastAsia="Calibri" w:hAnsi="Calibri"/>
          <w:b/>
          <w:bCs/>
          <w:sz w:val="21"/>
          <w:szCs w:val="21"/>
        </w:rPr>
        <w:t xml:space="preserve">An audit of what is already licensed and only partially deployed should precede any market engagement. It is common for an organisation to hold entitlements to personalization or experimentation modules within an existing suite contract that have never been activated. That audit is a low-cost, high-value first step.</w:t>
      </w:r>
    </w:p>
    <w:p>
      <w:r>
        <w:br w:type="page"/>
      </w:r>
    </w:p>
    <w:p>
      <w:pPr>
        <w:pStyle w:val="Heading1"/>
        <w:spacing w:after="160" w:before="360"/>
      </w:pPr>
      <w:r>
        <w:rPr>
          <w:rFonts w:ascii="Calibri" w:cs="Calibri" w:eastAsia="Calibri" w:hAnsi="Calibri"/>
          <w:b/>
          <w:bCs/>
          <w:color w:val="1F3864"/>
          <w:sz w:val="30"/>
          <w:szCs w:val="30"/>
        </w:rPr>
        <w:t xml:space="preserve">5. BR-3 — Data Requirements Assessment</w:t>
      </w:r>
    </w:p>
    <w:p>
      <w:pPr>
        <w:spacing w:after="120" w:line="276"/>
      </w:pPr>
      <w:r>
        <w:rPr>
          <w:rFonts w:ascii="Calibri" w:cs="Calibri" w:eastAsia="Calibri" w:hAnsi="Calibri"/>
          <w:sz w:val="21"/>
          <w:szCs w:val="21"/>
        </w:rPr>
        <w:t xml:space="preserve">This section defines what data a closed-loop capability requires. Section 6 compares it against what typically exists.</w:t>
      </w:r>
    </w:p>
    <w:p>
      <w:pPr>
        <w:pStyle w:val="Heading2"/>
        <w:spacing w:after="120" w:before="260"/>
      </w:pPr>
      <w:r>
        <w:rPr>
          <w:rFonts w:ascii="Calibri" w:cs="Calibri" w:eastAsia="Calibri" w:hAnsi="Calibri"/>
          <w:b/>
          <w:bCs/>
          <w:color w:val="2E74B5"/>
          <w:sz w:val="24"/>
          <w:szCs w:val="24"/>
        </w:rPr>
        <w:t xml:space="preserve">5.1 Data domains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1900"/>
        <w:gridCol w:w="3700"/>
        <w:gridCol w:w="1880"/>
        <w:gridCol w:w="1880"/>
      </w:tblGrid>
      <w:tr>
        <w:trPr>
          <w:tblHeader/>
        </w:trPr>
        <w:tc>
          <w:tcPr>
            <w:tcW w:type="dxa" w:w="19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Domain</w:t>
            </w:r>
          </w:p>
        </w:tc>
        <w:tc>
          <w:tcPr>
            <w:tcW w:type="dxa" w:w="37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Required content</w:t>
            </w:r>
          </w:p>
        </w:tc>
        <w:tc>
          <w:tcPr>
            <w:tcW w:type="dxa" w:w="188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Typical source</w:t>
            </w:r>
          </w:p>
        </w:tc>
        <w:tc>
          <w:tcPr>
            <w:tcW w:type="dxa" w:w="188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Criticality</w:t>
            </w:r>
          </w:p>
        </w:tc>
      </w:tr>
      <w:tr>
        <w:trPr>
          <w:tblHeader w:val="false"/>
        </w:trPr>
        <w:tc>
          <w:tcPr>
            <w:tcW w:type="dxa" w:w="19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Behavioural</w:t>
            </w:r>
          </w:p>
        </w:tc>
        <w:tc>
          <w:tcPr>
            <w:tcW w:type="dxa" w:w="37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Page views, scroll depth, element interactions, form field engagement and abandonment, session sequence and duration</w:t>
            </w:r>
          </w:p>
        </w:tc>
        <w:tc>
          <w:tcPr>
            <w:tcW w:type="dxa" w:w="188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Web analytics, tag manager, behavioural analytics tool</w:t>
            </w:r>
          </w:p>
        </w:tc>
        <w:tc>
          <w:tcPr>
            <w:tcW w:type="dxa" w:w="188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Essential</w:t>
            </w:r>
          </w:p>
        </w:tc>
      </w:tr>
      <w:tr>
        <w:trPr>
          <w:tblHeader w:val="false"/>
        </w:trPr>
        <w:tc>
          <w:tcPr>
            <w:tcW w:type="dxa" w:w="19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Campaign &amp; context</w:t>
            </w:r>
          </w:p>
        </w:tc>
        <w:tc>
          <w:tcPr>
            <w:tcW w:type="dxa" w:w="37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Traffic source, medium, campaign, creative and keyword; device, browser, geography, time of day; referrer</w:t>
            </w:r>
          </w:p>
        </w:tc>
        <w:tc>
          <w:tcPr>
            <w:tcW w:type="dxa" w:w="188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Ad platforms, tag manager, CDN/edge</w:t>
            </w:r>
          </w:p>
        </w:tc>
        <w:tc>
          <w:tcPr>
            <w:tcW w:type="dxa" w:w="188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Essential</w:t>
            </w:r>
          </w:p>
        </w:tc>
      </w:tr>
      <w:tr>
        <w:trPr>
          <w:tblHeader w:val="false"/>
        </w:trPr>
        <w:tc>
          <w:tcPr>
            <w:tcW w:type="dxa" w:w="19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Content &amp; variant</w:t>
            </w:r>
          </w:p>
        </w:tc>
        <w:tc>
          <w:tcPr>
            <w:tcW w:type="dxa" w:w="37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Which page, component and variant version was served, with a persistent variant identifier on every downstream event</w:t>
            </w:r>
          </w:p>
        </w:tc>
        <w:tc>
          <w:tcPr>
            <w:tcW w:type="dxa" w:w="188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Testing/personalization platform, CMS</w:t>
            </w:r>
          </w:p>
        </w:tc>
        <w:tc>
          <w:tcPr>
            <w:tcW w:type="dxa" w:w="188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Essential</w:t>
            </w:r>
          </w:p>
        </w:tc>
      </w:tr>
      <w:tr>
        <w:trPr>
          <w:tblHeader w:val="false"/>
        </w:trPr>
        <w:tc>
          <w:tcPr>
            <w:tcW w:type="dxa" w:w="19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Outcome</w:t>
            </w:r>
          </w:p>
        </w:tc>
        <w:tc>
          <w:tcPr>
            <w:tcW w:type="dxa" w:w="37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Application started, application completed, qualified, approved, activated, first value realised, and cancellation or churn</w:t>
            </w:r>
          </w:p>
        </w:tc>
        <w:tc>
          <w:tcPr>
            <w:tcW w:type="dxa" w:w="188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Origination, fulfilment, servicing and core product systems</w:t>
            </w:r>
          </w:p>
        </w:tc>
        <w:tc>
          <w:tcPr>
            <w:tcW w:type="dxa" w:w="188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Essential</w:t>
            </w:r>
          </w:p>
        </w:tc>
      </w:tr>
      <w:tr>
        <w:trPr>
          <w:tblHeader w:val="false"/>
        </w:trPr>
        <w:tc>
          <w:tcPr>
            <w:tcW w:type="dxa" w:w="19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Identity</w:t>
            </w:r>
          </w:p>
        </w:tc>
        <w:tc>
          <w:tcPr>
            <w:tcW w:type="dxa" w:w="37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Anonymous device or cookie ID; hashed email or logged-in customer ID; the mapping between them and the timestamp of the merge</w:t>
            </w:r>
          </w:p>
        </w:tc>
        <w:tc>
          <w:tcPr>
            <w:tcW w:type="dxa" w:w="188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CDP, identity service, authentication platform</w:t>
            </w:r>
          </w:p>
        </w:tc>
        <w:tc>
          <w:tcPr>
            <w:tcW w:type="dxa" w:w="188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Essential</w:t>
            </w:r>
          </w:p>
        </w:tc>
      </w:tr>
      <w:tr>
        <w:trPr>
          <w:tblHeader w:val="false"/>
        </w:trPr>
        <w:tc>
          <w:tcPr>
            <w:tcW w:type="dxa" w:w="19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Consent</w:t>
            </w:r>
          </w:p>
        </w:tc>
        <w:tc>
          <w:tcPr>
            <w:tcW w:type="dxa" w:w="37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Consent state per purpose per identifier, with timestamp, version and jurisdiction</w:t>
            </w:r>
          </w:p>
        </w:tc>
        <w:tc>
          <w:tcPr>
            <w:tcW w:type="dxa" w:w="188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Consent management platform</w:t>
            </w:r>
          </w:p>
        </w:tc>
        <w:tc>
          <w:tcPr>
            <w:tcW w:type="dxa" w:w="188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Essential</w:t>
            </w:r>
          </w:p>
        </w:tc>
      </w:tr>
      <w:tr>
        <w:trPr>
          <w:tblHeader w:val="false"/>
        </w:trPr>
        <w:tc>
          <w:tcPr>
            <w:tcW w:type="dxa" w:w="19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Customer profile</w:t>
            </w:r>
          </w:p>
        </w:tc>
        <w:tc>
          <w:tcPr>
            <w:tcW w:type="dxa" w:w="37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Existing relationship, tenure, product holdings, segment, lifecycle stage, service history</w:t>
            </w:r>
          </w:p>
        </w:tc>
        <w:tc>
          <w:tcPr>
            <w:tcW w:type="dxa" w:w="188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CRM, master data, data warehouse</w:t>
            </w:r>
          </w:p>
        </w:tc>
        <w:tc>
          <w:tcPr>
            <w:tcW w:type="dxa" w:w="188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High value</w:t>
            </w:r>
          </w:p>
        </w:tc>
      </w:tr>
      <w:tr>
        <w:trPr>
          <w:tblHeader w:val="false"/>
        </w:trPr>
        <w:tc>
          <w:tcPr>
            <w:tcW w:type="dxa" w:w="19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Commercial</w:t>
            </w:r>
          </w:p>
        </w:tc>
        <w:tc>
          <w:tcPr>
            <w:tcW w:type="dxa" w:w="37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Value or margin per conversion, cost per acquisition by channel, downstream retention value</w:t>
            </w:r>
          </w:p>
        </w:tc>
        <w:tc>
          <w:tcPr>
            <w:tcW w:type="dxa" w:w="188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Finance, marketing operations</w:t>
            </w:r>
          </w:p>
        </w:tc>
        <w:tc>
          <w:tcPr>
            <w:tcW w:type="dxa" w:w="188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Required for the value case</w:t>
            </w:r>
          </w:p>
        </w:tc>
      </w:tr>
    </w:tbl>
    <w:p>
      <w:pPr>
        <w:pStyle w:val="Heading2"/>
        <w:spacing w:after="120" w:before="260"/>
      </w:pPr>
      <w:r>
        <w:rPr>
          <w:rFonts w:ascii="Calibri" w:cs="Calibri" w:eastAsia="Calibri" w:hAnsi="Calibri"/>
          <w:b/>
          <w:bCs/>
          <w:color w:val="2E74B5"/>
          <w:sz w:val="24"/>
          <w:szCs w:val="24"/>
        </w:rPr>
        <w:t xml:space="preserve">5.2 The minimum event set</w:t>
      </w:r>
    </w:p>
    <w:p>
      <w:pPr>
        <w:spacing w:after="120" w:line="276"/>
      </w:pPr>
      <w:r>
        <w:rPr>
          <w:rFonts w:ascii="Calibri" w:cs="Calibri" w:eastAsia="Calibri" w:hAnsi="Calibri"/>
          <w:sz w:val="21"/>
          <w:szCs w:val="21"/>
        </w:rPr>
        <w:t xml:space="preserve">The following events, each carrying a consistent visitor identifier, session identifier, variant identifier and timestamp, constitute the minimum viable instrumentation. Absence of any one breaks the loop:</w:t>
      </w:r>
    </w:p>
    <w:p>
      <w:pPr>
        <w:pStyle w:val="ListParagraph"/>
        <w:numPr>
          <w:ilvl w:val="0"/>
          <w:numId w:val="2"/>
        </w:numPr>
        <w:spacing w:after="70" w:line="270"/>
      </w:pPr>
      <w:r>
        <w:rPr>
          <w:rFonts w:ascii="Calibri" w:cs="Calibri" w:eastAsia="Calibri" w:hAnsi="Calibri"/>
          <w:sz w:val="21"/>
          <w:szCs w:val="21"/>
        </w:rPr>
        <w:t xml:space="preserve">page_viewed — page, variant served, campaign parameters, device, consent state</w:t>
      </w:r>
    </w:p>
    <w:p>
      <w:pPr>
        <w:pStyle w:val="ListParagraph"/>
        <w:numPr>
          <w:ilvl w:val="0"/>
          <w:numId w:val="2"/>
        </w:numPr>
        <w:spacing w:after="70" w:line="270"/>
      </w:pPr>
      <w:r>
        <w:rPr>
          <w:rFonts w:ascii="Calibri" w:cs="Calibri" w:eastAsia="Calibri" w:hAnsi="Calibri"/>
          <w:sz w:val="21"/>
          <w:szCs w:val="21"/>
        </w:rPr>
        <w:t xml:space="preserve">experience_assigned — the decision itself: which variant, by which rule or model, at what timestamp, with the decision identifier</w:t>
      </w:r>
    </w:p>
    <w:p>
      <w:pPr>
        <w:pStyle w:val="ListParagraph"/>
        <w:numPr>
          <w:ilvl w:val="0"/>
          <w:numId w:val="2"/>
        </w:numPr>
        <w:spacing w:after="70" w:line="270"/>
      </w:pPr>
      <w:r>
        <w:rPr>
          <w:rFonts w:ascii="Calibri" w:cs="Calibri" w:eastAsia="Calibri" w:hAnsi="Calibri"/>
          <w:sz w:val="21"/>
          <w:szCs w:val="21"/>
        </w:rPr>
        <w:t xml:space="preserve">interaction — meaningful engagement events: CTA click, form start, field completion, field abandonment, error encountered</w:t>
      </w:r>
    </w:p>
    <w:p>
      <w:pPr>
        <w:pStyle w:val="ListParagraph"/>
        <w:numPr>
          <w:ilvl w:val="0"/>
          <w:numId w:val="2"/>
        </w:numPr>
        <w:spacing w:after="70" w:line="270"/>
      </w:pPr>
      <w:r>
        <w:rPr>
          <w:rFonts w:ascii="Calibri" w:cs="Calibri" w:eastAsia="Calibri" w:hAnsi="Calibri"/>
          <w:sz w:val="21"/>
          <w:szCs w:val="21"/>
        </w:rPr>
        <w:t xml:space="preserve">application_started / application_completed — the primary in-journey conversion, carrying the variant identifier through</w:t>
      </w:r>
    </w:p>
    <w:p>
      <w:pPr>
        <w:pStyle w:val="ListParagraph"/>
        <w:numPr>
          <w:ilvl w:val="0"/>
          <w:numId w:val="2"/>
        </w:numPr>
        <w:spacing w:after="70" w:line="270"/>
      </w:pPr>
      <w:r>
        <w:rPr>
          <w:rFonts w:ascii="Calibri" w:cs="Calibri" w:eastAsia="Calibri" w:hAnsi="Calibri"/>
          <w:sz w:val="21"/>
          <w:szCs w:val="21"/>
        </w:rPr>
        <w:t xml:space="preserve">outcome_confirmed — the downstream commercial result from the back-office system, joined back to the original variant identifier</w:t>
      </w:r>
    </w:p>
    <w:p>
      <w:pPr>
        <w:pStyle w:val="ListParagraph"/>
        <w:numPr>
          <w:ilvl w:val="0"/>
          <w:numId w:val="2"/>
        </w:numPr>
        <w:spacing w:after="70" w:line="270"/>
      </w:pPr>
      <w:r>
        <w:rPr>
          <w:rFonts w:ascii="Calibri" w:cs="Calibri" w:eastAsia="Calibri" w:hAnsi="Calibri"/>
          <w:sz w:val="21"/>
          <w:szCs w:val="21"/>
        </w:rPr>
        <w:t xml:space="preserve">identity_merged — the point at which an anonymous visitor became a known customer, with both identifiers</w:t>
      </w:r>
    </w:p>
    <w:p>
      <w:pPr>
        <w:spacing w:after="120" w:line="276"/>
      </w:pPr>
      <w:r>
        <w:rPr>
          <w:rFonts w:ascii="Calibri" w:cs="Calibri" w:eastAsia="Calibri" w:hAnsi="Calibri"/>
          <w:b/>
          <w:bCs/>
          <w:sz w:val="21"/>
          <w:szCs w:val="21"/>
        </w:rPr>
        <w:t xml:space="preserve">The most commonly missing event is the fifth. Organisations routinely instrument the front-end journey well and then lose the thread the moment the visitor crosses into a fulfilment system. When that happens the loop optimises for form submissions rather than for customers — which reliably produces more low-quality applications and no additional revenue.</w:t>
      </w:r>
    </w:p>
    <w:p>
      <w:pPr>
        <w:pStyle w:val="Heading2"/>
        <w:spacing w:after="120" w:before="260"/>
      </w:pPr>
      <w:r>
        <w:rPr>
          <w:rFonts w:ascii="Calibri" w:cs="Calibri" w:eastAsia="Calibri" w:hAnsi="Calibri"/>
          <w:b/>
          <w:bCs/>
          <w:color w:val="2E74B5"/>
          <w:sz w:val="24"/>
          <w:szCs w:val="24"/>
        </w:rPr>
        <w:t xml:space="preserve">5.3 Identity and consent requirements</w:t>
      </w:r>
    </w:p>
    <w:p>
      <w:pPr>
        <w:pStyle w:val="ListParagraph"/>
        <w:numPr>
          <w:ilvl w:val="0"/>
          <w:numId w:val="3"/>
        </w:numPr>
        <w:spacing w:after="70" w:line="270"/>
      </w:pPr>
      <w:r>
        <w:rPr>
          <w:rFonts w:ascii="Calibri" w:cs="Calibri" w:eastAsia="Calibri" w:hAnsi="Calibri"/>
          <w:b/>
          <w:bCs/>
          <w:sz w:val="21"/>
          <w:szCs w:val="21"/>
        </w:rPr>
        <w:t xml:space="preserve">Deterministic linkage where possible. </w:t>
      </w:r>
      <w:r>
        <w:rPr>
          <w:rFonts w:ascii="Calibri" w:cs="Calibri" w:eastAsia="Calibri" w:hAnsi="Calibri"/>
          <w:sz w:val="21"/>
          <w:szCs w:val="21"/>
        </w:rPr>
        <w:t xml:space="preserve">Match on stable known identifiers — customer ID, hashed email — rather than probabilistic device fingerprinting, which carries both accuracy and regulatory risk.</w:t>
      </w:r>
    </w:p>
    <w:p>
      <w:pPr>
        <w:pStyle w:val="ListParagraph"/>
        <w:numPr>
          <w:ilvl w:val="0"/>
          <w:numId w:val="3"/>
        </w:numPr>
        <w:spacing w:after="70" w:line="270"/>
      </w:pPr>
      <w:r>
        <w:rPr>
          <w:rFonts w:ascii="Calibri" w:cs="Calibri" w:eastAsia="Calibri" w:hAnsi="Calibri"/>
          <w:b/>
          <w:bCs/>
          <w:sz w:val="21"/>
          <w:szCs w:val="21"/>
        </w:rPr>
        <w:t xml:space="preserve">Retrospective stitching. </w:t>
      </w:r>
      <w:r>
        <w:rPr>
          <w:rFonts w:ascii="Calibri" w:cs="Calibri" w:eastAsia="Calibri" w:hAnsi="Calibri"/>
          <w:sz w:val="21"/>
          <w:szCs w:val="21"/>
        </w:rPr>
        <w:t xml:space="preserve">When an anonymous visitor authenticates, their prior anonymous behaviour must be merged into the known profile. Without this, every returning customer looks like a new visitor and the model learns from a permanently truncated history.</w:t>
      </w:r>
    </w:p>
    <w:p>
      <w:pPr>
        <w:pStyle w:val="ListParagraph"/>
        <w:numPr>
          <w:ilvl w:val="0"/>
          <w:numId w:val="3"/>
        </w:numPr>
        <w:spacing w:after="70" w:line="270"/>
      </w:pPr>
      <w:r>
        <w:rPr>
          <w:rFonts w:ascii="Calibri" w:cs="Calibri" w:eastAsia="Calibri" w:hAnsi="Calibri"/>
          <w:b/>
          <w:bCs/>
          <w:sz w:val="21"/>
          <w:szCs w:val="21"/>
        </w:rPr>
        <w:t xml:space="preserve">Consent as a first-class input. </w:t>
      </w:r>
      <w:r>
        <w:rPr>
          <w:rFonts w:ascii="Calibri" w:cs="Calibri" w:eastAsia="Calibri" w:hAnsi="Calibri"/>
          <w:sz w:val="21"/>
          <w:szCs w:val="21"/>
        </w:rPr>
        <w:t xml:space="preserve">The decisioning engine must receive consent state and degrade gracefully — falling back to contextual, non-personalised decisions for visitors who have not consented to behavioural processing. This is a design requirement, not a compliance afterthought.</w:t>
      </w:r>
    </w:p>
    <w:p>
      <w:pPr>
        <w:pStyle w:val="ListParagraph"/>
        <w:numPr>
          <w:ilvl w:val="0"/>
          <w:numId w:val="3"/>
        </w:numPr>
        <w:spacing w:after="70" w:line="270"/>
      </w:pPr>
      <w:r>
        <w:rPr>
          <w:rFonts w:ascii="Calibri" w:cs="Calibri" w:eastAsia="Calibri" w:hAnsi="Calibri"/>
          <w:b/>
          <w:bCs/>
          <w:sz w:val="21"/>
          <w:szCs w:val="21"/>
        </w:rPr>
        <w:t xml:space="preserve">First-party foundations. </w:t>
      </w:r>
      <w:r>
        <w:rPr>
          <w:rFonts w:ascii="Calibri" w:cs="Calibri" w:eastAsia="Calibri" w:hAnsi="Calibri"/>
          <w:sz w:val="21"/>
          <w:szCs w:val="21"/>
        </w:rPr>
        <w:t xml:space="preserve">Google confirmed in April 2025 that it would not deprecate third-party cookies in Chrome, and retired the remaining Privacy Sandbox APIs during 2025. That removes a deadline but not the direction of travel: browser tracking protections, regulatory pressure and consent opt-out rates continue to erode third-party signal. A first-party, server-side data foundation should be assumed as the target architecture regardless.</w:t>
      </w:r>
    </w:p>
    <w:p>
      <w:pPr>
        <w:pStyle w:val="Heading2"/>
        <w:spacing w:after="120" w:before="260"/>
      </w:pPr>
      <w:r>
        <w:rPr>
          <w:rFonts w:ascii="Calibri" w:cs="Calibri" w:eastAsia="Calibri" w:hAnsi="Calibri"/>
          <w:b/>
          <w:bCs/>
          <w:color w:val="2E74B5"/>
          <w:sz w:val="24"/>
          <w:szCs w:val="24"/>
        </w:rPr>
        <w:t xml:space="preserve">5.4 Latency requirements</w:t>
      </w:r>
    </w:p>
    <w:p>
      <w:pPr>
        <w:spacing w:after="120" w:line="276"/>
      </w:pPr>
      <w:r>
        <w:rPr>
          <w:rFonts w:ascii="Calibri" w:cs="Calibri" w:eastAsia="Calibri" w:hAnsi="Calibri"/>
          <w:sz w:val="21"/>
          <w:szCs w:val="21"/>
        </w:rPr>
        <w:t xml:space="preserve">Different parts of the loop tolerate very different latency. Conflating them leads to over-engineering the wrong layer.</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800"/>
        <w:gridCol w:w="2280"/>
        <w:gridCol w:w="4280"/>
      </w:tblGrid>
      <w:tr>
        <w:trPr>
          <w:tblHeader/>
        </w:trPr>
        <w:tc>
          <w:tcPr>
            <w:tcW w:type="dxa" w:w="28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Data flow</w:t>
            </w:r>
          </w:p>
        </w:tc>
        <w:tc>
          <w:tcPr>
            <w:tcW w:type="dxa" w:w="228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Required latency</w:t>
            </w:r>
          </w:p>
        </w:tc>
        <w:tc>
          <w:tcPr>
            <w:tcW w:type="dxa" w:w="428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Consequence of failure</w:t>
            </w:r>
          </w:p>
        </w:tc>
      </w:tr>
      <w:tr>
        <w:trPr>
          <w:tblHeader w:val="false"/>
        </w:trPr>
        <w:tc>
          <w:tcPr>
            <w:tcW w:type="dxa" w:w="28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Profile lookup at page render</w:t>
            </w:r>
          </w:p>
        </w:tc>
        <w:tc>
          <w:tcPr>
            <w:tcW w:type="dxa" w:w="228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Sub-second</w:t>
            </w:r>
          </w:p>
        </w:tc>
        <w:tc>
          <w:tcPr>
            <w:tcW w:type="dxa" w:w="428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Visible content flicker, page speed degradation, or fallback to default content — silently destroying the personalization effect</w:t>
            </w:r>
          </w:p>
        </w:tc>
      </w:tr>
      <w:tr>
        <w:trPr>
          <w:tblHeader w:val="false"/>
        </w:trPr>
        <w:tc>
          <w:tcPr>
            <w:tcW w:type="dxa" w:w="28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Decision request to response</w:t>
            </w:r>
          </w:p>
        </w:tc>
        <w:tc>
          <w:tcPr>
            <w:tcW w:type="dxa" w:w="228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Within page render budget</w:t>
            </w:r>
          </w:p>
        </w:tc>
        <w:tc>
          <w:tcPr>
            <w:tcW w:type="dxa" w:w="428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Timeouts and default-variant delivery, which contaminates measurement</w:t>
            </w:r>
          </w:p>
        </w:tc>
      </w:tr>
      <w:tr>
        <w:trPr>
          <w:tblHeader w:val="false"/>
        </w:trPr>
        <w:tc>
          <w:tcPr>
            <w:tcW w:type="dxa" w:w="28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In-session behavioural signal</w:t>
            </w:r>
          </w:p>
        </w:tc>
        <w:tc>
          <w:tcPr>
            <w:tcW w:type="dxa" w:w="228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Seconds</w:t>
            </w:r>
          </w:p>
        </w:tc>
        <w:tc>
          <w:tcPr>
            <w:tcW w:type="dxa" w:w="428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Cannot personalise later steps of the same journey based on earlier behaviour</w:t>
            </w:r>
          </w:p>
        </w:tc>
      </w:tr>
      <w:tr>
        <w:trPr>
          <w:tblHeader w:val="false"/>
        </w:trPr>
        <w:tc>
          <w:tcPr>
            <w:tcW w:type="dxa" w:w="28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In-journey outcome feedback</w:t>
            </w:r>
          </w:p>
        </w:tc>
        <w:tc>
          <w:tcPr>
            <w:tcW w:type="dxa" w:w="228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Minutes to hours</w:t>
            </w:r>
          </w:p>
        </w:tc>
        <w:tc>
          <w:tcPr>
            <w:tcW w:type="dxa" w:w="428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Slower learning; acceptable for most acquisition journeys</w:t>
            </w:r>
          </w:p>
        </w:tc>
      </w:tr>
      <w:tr>
        <w:trPr>
          <w:tblHeader w:val="false"/>
        </w:trPr>
        <w:tc>
          <w:tcPr>
            <w:tcW w:type="dxa" w:w="28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Downstream outcome feedback</w:t>
            </w:r>
          </w:p>
        </w:tc>
        <w:tc>
          <w:tcPr>
            <w:tcW w:type="dxa" w:w="228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Hours to days</w:t>
            </w:r>
          </w:p>
        </w:tc>
        <w:tc>
          <w:tcPr>
            <w:tcW w:type="dxa" w:w="428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Acceptable if the delay is known and modelled; unacceptable if it is unknown, because the model then optimises a proxy metric it believes is the real one</w:t>
            </w:r>
          </w:p>
        </w:tc>
      </w:tr>
    </w:tbl>
    <w:p>
      <w:pPr>
        <w:spacing w:after="120" w:line="276"/>
      </w:pPr>
      <w:r>
        <w:rPr>
          <w:rFonts w:ascii="Calibri" w:cs="Calibri" w:eastAsia="Calibri" w:hAnsi="Calibri"/>
          <w:sz w:val="21"/>
          <w:szCs w:val="21"/>
        </w:rPr>
        <w:t xml:space="preserve">Server-side event collection and server-side or edge rendering address several of these constraints simultaneously — reducing client-side script load, removing flicker, and improving resilience to client-side tag failure and ad blocking.</w:t>
      </w:r>
    </w:p>
    <w:p>
      <w:r>
        <w:br w:type="page"/>
      </w:r>
    </w:p>
    <w:p>
      <w:pPr>
        <w:pStyle w:val="Heading1"/>
        <w:spacing w:after="160" w:before="360"/>
      </w:pPr>
      <w:r>
        <w:rPr>
          <w:rFonts w:ascii="Calibri" w:cs="Calibri" w:eastAsia="Calibri" w:hAnsi="Calibri"/>
          <w:b/>
          <w:bCs/>
          <w:color w:val="1F3864"/>
          <w:sz w:val="30"/>
          <w:szCs w:val="30"/>
        </w:rPr>
        <w:t xml:space="preserve">6. BR-4 — Data Gap Analysis</w:t>
      </w:r>
    </w:p>
    <w:p>
      <w:pPr>
        <w:pStyle w:val="Heading2"/>
        <w:spacing w:after="120" w:before="260"/>
      </w:pPr>
      <w:r>
        <w:rPr>
          <w:rFonts w:ascii="Calibri" w:cs="Calibri" w:eastAsia="Calibri" w:hAnsi="Calibri"/>
          <w:b/>
          <w:bCs/>
          <w:color w:val="2E74B5"/>
          <w:sz w:val="24"/>
          <w:szCs w:val="24"/>
        </w:rPr>
        <w:t xml:space="preserve">6.1 Method</w:t>
      </w:r>
    </w:p>
    <w:p>
      <w:pPr>
        <w:spacing w:after="120" w:line="276"/>
      </w:pPr>
      <w:r>
        <w:rPr>
          <w:rFonts w:ascii="Calibri" w:cs="Calibri" w:eastAsia="Calibri" w:hAnsi="Calibri"/>
          <w:sz w:val="21"/>
          <w:szCs w:val="21"/>
        </w:rPr>
        <w:t xml:space="preserve">The gap analysis compares the requirements in Section 5 against observed current state across four dimensions: availability (does the data exist), quality (is it accurate and complete), accessibility (can the decisioning layer reach it in time) and governance (is its use permitted and controlled). A requirement can be fully available and still unusable if it fails on accessibility or governance.</w:t>
      </w:r>
    </w:p>
    <w:p>
      <w:pPr>
        <w:spacing w:after="120" w:line="276"/>
      </w:pPr>
      <w:r>
        <w:rPr>
          <w:rFonts w:ascii="Calibri" w:cs="Calibri" w:eastAsia="Calibri" w:hAnsi="Calibri"/>
          <w:i/>
          <w:iCs/>
          <w:sz w:val="21"/>
          <w:szCs w:val="21"/>
        </w:rPr>
        <w:t xml:space="preserve">The table below records the gaps most frequently found in organisations at maturity Level 1–2. It is a hypothesis register to be validated during the remediation sprint, not a finding about this organisation — no internal data was available in this phase.</w:t>
      </w:r>
    </w:p>
    <w:p>
      <w:pPr>
        <w:pStyle w:val="Heading2"/>
        <w:spacing w:after="120" w:before="260"/>
      </w:pPr>
      <w:r>
        <w:rPr>
          <w:rFonts w:ascii="Calibri" w:cs="Calibri" w:eastAsia="Calibri" w:hAnsi="Calibri"/>
          <w:b/>
          <w:bCs/>
          <w:color w:val="2E74B5"/>
          <w:sz w:val="24"/>
          <w:szCs w:val="24"/>
        </w:rPr>
        <w:t xml:space="preserve">6.2 Anticipated gap register</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3300"/>
        <w:gridCol w:w="1550"/>
        <w:gridCol w:w="2510"/>
      </w:tblGrid>
      <w:tr>
        <w:trPr>
          <w:tblHeader/>
        </w:trPr>
        <w:tc>
          <w:tcPr>
            <w:tcW w:type="dxa" w:w="20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Gap</w:t>
            </w:r>
          </w:p>
        </w:tc>
        <w:tc>
          <w:tcPr>
            <w:tcW w:type="dxa" w:w="33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Description</w:t>
            </w:r>
          </w:p>
        </w:tc>
        <w:tc>
          <w:tcPr>
            <w:tcW w:type="dxa" w:w="155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Impact</w:t>
            </w:r>
          </w:p>
        </w:tc>
        <w:tc>
          <w:tcPr>
            <w:tcW w:type="dxa" w:w="251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Typical remediation</w:t>
            </w:r>
          </w:p>
        </w:tc>
      </w:tr>
      <w:tr>
        <w:trPr>
          <w:tblHeader w:val="false"/>
        </w:trPr>
        <w:tc>
          <w:tcPr>
            <w:tcW w:type="dxa" w:w="20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Variant identifier not propagated</w:t>
            </w:r>
          </w:p>
        </w:tc>
        <w:tc>
          <w:tcPr>
            <w:tcW w:type="dxa" w:w="33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The variant served is recorded in the testing tool but not attached to downstream analytics or back-office outcome events</w:t>
            </w:r>
          </w:p>
        </w:tc>
        <w:tc>
          <w:tcPr>
            <w:tcW w:type="dxa" w:w="155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Critical — breaks the variant-to-outcome join and therefore the loop</w:t>
            </w:r>
          </w:p>
        </w:tc>
        <w:tc>
          <w:tcPr>
            <w:tcW w:type="dxa" w:w="251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Add variant ID to the event schema and pass it through the application and fulfilment stack</w:t>
            </w:r>
          </w:p>
        </w:tc>
      </w:tr>
      <w:tr>
        <w:trPr>
          <w:tblHeader w:val="false"/>
        </w:trPr>
        <w:tc>
          <w:tcPr>
            <w:tcW w:type="dxa" w:w="20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Downstream outcomes unavailable</w:t>
            </w:r>
          </w:p>
        </w:tc>
        <w:tc>
          <w:tcPr>
            <w:tcW w:type="dxa" w:w="33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Conversion is measured at form submission; approval, activation and value are held in systems that never receive session context</w:t>
            </w:r>
          </w:p>
        </w:tc>
        <w:tc>
          <w:tcPr>
            <w:tcW w:type="dxa" w:w="155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Critical — the loop optimises volume rather than value</w:t>
            </w:r>
          </w:p>
        </w:tc>
        <w:tc>
          <w:tcPr>
            <w:tcW w:type="dxa" w:w="251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Build a reverse feed from origination/servicing keyed on application reference</w:t>
            </w:r>
          </w:p>
        </w:tc>
      </w:tr>
      <w:tr>
        <w:trPr>
          <w:tblHeader w:val="false"/>
        </w:trPr>
        <w:tc>
          <w:tcPr>
            <w:tcW w:type="dxa" w:w="20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Anonymous-to-known merge is batch</w:t>
            </w:r>
          </w:p>
        </w:tc>
        <w:tc>
          <w:tcPr>
            <w:tcW w:type="dxa" w:w="33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Pre-login behaviour is stitched to the customer record overnight or not at all</w:t>
            </w:r>
          </w:p>
        </w:tc>
        <w:tc>
          <w:tcPr>
            <w:tcW w:type="dxa" w:w="155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High — no in-session personalization for returning customers</w:t>
            </w:r>
          </w:p>
        </w:tc>
        <w:tc>
          <w:tcPr>
            <w:tcW w:type="dxa" w:w="251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Real-time identity resolution, typically via a CDP or identity service</w:t>
            </w:r>
          </w:p>
        </w:tc>
      </w:tr>
      <w:tr>
        <w:trPr>
          <w:tblHeader w:val="false"/>
        </w:trPr>
        <w:tc>
          <w:tcPr>
            <w:tcW w:type="dxa" w:w="20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Fragmented event taxonomy</w:t>
            </w:r>
          </w:p>
        </w:tc>
        <w:tc>
          <w:tcPr>
            <w:tcW w:type="dxa" w:w="33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Different properties, teams and agencies use different event names and parameters for the same action</w:t>
            </w:r>
          </w:p>
        </w:tc>
        <w:tc>
          <w:tcPr>
            <w:tcW w:type="dxa" w:w="155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High — cross-journey learning is impossible; analysis effort inflates</w:t>
            </w:r>
          </w:p>
        </w:tc>
        <w:tc>
          <w:tcPr>
            <w:tcW w:type="dxa" w:w="251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Single governed event taxonomy with enforced data contracts and schema validation</w:t>
            </w:r>
          </w:p>
        </w:tc>
      </w:tr>
      <w:tr>
        <w:trPr>
          <w:tblHeader w:val="false"/>
        </w:trPr>
        <w:tc>
          <w:tcPr>
            <w:tcW w:type="dxa" w:w="20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Client-side-only collection</w:t>
            </w:r>
          </w:p>
        </w:tc>
        <w:tc>
          <w:tcPr>
            <w:tcW w:type="dxa" w:w="33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All events depend on browser-executed tags</w:t>
            </w:r>
          </w:p>
        </w:tc>
        <w:tc>
          <w:tcPr>
            <w:tcW w:type="dxa" w:w="155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Medium–High — systematic, non-random data loss from blockers and tag failures</w:t>
            </w:r>
          </w:p>
        </w:tc>
        <w:tc>
          <w:tcPr>
            <w:tcW w:type="dxa" w:w="251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Server-side collection for critical outcome events</w:t>
            </w:r>
          </w:p>
        </w:tc>
      </w:tr>
      <w:tr>
        <w:trPr>
          <w:tblHeader w:val="false"/>
        </w:trPr>
        <w:tc>
          <w:tcPr>
            <w:tcW w:type="dxa" w:w="20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Consent state not available to decisioning</w:t>
            </w:r>
          </w:p>
        </w:tc>
        <w:tc>
          <w:tcPr>
            <w:tcW w:type="dxa" w:w="33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Consent is captured by the CMP but not passed to the personalization layer</w:t>
            </w:r>
          </w:p>
        </w:tc>
        <w:tc>
          <w:tcPr>
            <w:tcW w:type="dxa" w:w="155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High — regulatory exposure and no clean fallback path</w:t>
            </w:r>
          </w:p>
        </w:tc>
        <w:tc>
          <w:tcPr>
            <w:tcW w:type="dxa" w:w="251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Integrate consent signal into the decision request contract</w:t>
            </w:r>
          </w:p>
        </w:tc>
      </w:tr>
      <w:tr>
        <w:trPr>
          <w:tblHeader w:val="false"/>
        </w:trPr>
        <w:tc>
          <w:tcPr>
            <w:tcW w:type="dxa" w:w="20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No agreed conversion value</w:t>
            </w:r>
          </w:p>
        </w:tc>
        <w:tc>
          <w:tcPr>
            <w:tcW w:type="dxa" w:w="33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Conversions are counted but not valued; no per-conversion figure agreed with Finance</w:t>
            </w:r>
          </w:p>
        </w:tc>
        <w:tc>
          <w:tcPr>
            <w:tcW w:type="dxa" w:w="155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High — no defensible business case and no way to audit claimed benefit</w:t>
            </w:r>
          </w:p>
        </w:tc>
        <w:tc>
          <w:tcPr>
            <w:tcW w:type="dxa" w:w="251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Finance-agreed value per conversion by product and channel</w:t>
            </w:r>
          </w:p>
        </w:tc>
      </w:tr>
      <w:tr>
        <w:trPr>
          <w:tblHeader w:val="false"/>
        </w:trPr>
        <w:tc>
          <w:tcPr>
            <w:tcW w:type="dxa" w:w="20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Insufficient traffic per segment</w:t>
            </w:r>
          </w:p>
        </w:tc>
        <w:tc>
          <w:tcPr>
            <w:tcW w:type="dxa" w:w="33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Journey volume cannot support statistically meaningful per-segment learning</w:t>
            </w:r>
          </w:p>
        </w:tc>
        <w:tc>
          <w:tcPr>
            <w:tcW w:type="dxa" w:w="155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Medium — caps ambition at Level 2–3 rather than Level 4</w:t>
            </w:r>
          </w:p>
        </w:tc>
        <w:tc>
          <w:tcPr>
            <w:tcW w:type="dxa" w:w="251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Concentrate on high-volume journeys; widen segments; extend measurement windows</w:t>
            </w:r>
          </w:p>
        </w:tc>
      </w:tr>
    </w:tbl>
    <w:p>
      <w:pPr>
        <w:pStyle w:val="Heading2"/>
        <w:spacing w:after="120" w:before="260"/>
      </w:pPr>
      <w:r>
        <w:rPr>
          <w:rFonts w:ascii="Calibri" w:cs="Calibri" w:eastAsia="Calibri" w:hAnsi="Calibri"/>
          <w:b/>
          <w:bCs/>
          <w:color w:val="2E74B5"/>
          <w:sz w:val="24"/>
          <w:szCs w:val="24"/>
        </w:rPr>
        <w:t xml:space="preserve">6.3 Readiness scorecard</w:t>
      </w:r>
    </w:p>
    <w:p>
      <w:pPr>
        <w:spacing w:after="120" w:line="276"/>
      </w:pPr>
      <w:r>
        <w:rPr>
          <w:rFonts w:ascii="Calibri" w:cs="Calibri" w:eastAsia="Calibri" w:hAnsi="Calibri"/>
          <w:sz w:val="21"/>
          <w:szCs w:val="21"/>
        </w:rPr>
        <w:t xml:space="preserve">To be completed during the remediation sprint. Score each dimension 1 (absent) to 5 (production-grade). A total below 20, or any single score of 1 or 2 on an Essential domain, indicates that proceeding to platform selection is premature.</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1400"/>
        <w:gridCol w:w="1400"/>
        <w:gridCol w:w="1400"/>
        <w:gridCol w:w="1300"/>
        <w:gridCol w:w="1260"/>
      </w:tblGrid>
      <w:tr>
        <w:trPr>
          <w:tblHeader/>
        </w:trPr>
        <w:tc>
          <w:tcPr>
            <w:tcW w:type="dxa" w:w="26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Dimension</w:t>
            </w:r>
          </w:p>
        </w:tc>
        <w:tc>
          <w:tcPr>
            <w:tcW w:type="dxa" w:w="14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Availability</w:t>
            </w:r>
          </w:p>
        </w:tc>
        <w:tc>
          <w:tcPr>
            <w:tcW w:type="dxa" w:w="14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Quality</w:t>
            </w:r>
          </w:p>
        </w:tc>
        <w:tc>
          <w:tcPr>
            <w:tcW w:type="dxa" w:w="14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Accessibility</w:t>
            </w:r>
          </w:p>
        </w:tc>
        <w:tc>
          <w:tcPr>
            <w:tcW w:type="dxa" w:w="13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Governance</w:t>
            </w:r>
          </w:p>
        </w:tc>
        <w:tc>
          <w:tcPr>
            <w:tcW w:type="dxa" w:w="12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Score</w:t>
            </w:r>
          </w:p>
        </w:tc>
      </w:tr>
      <w:tr>
        <w:trPr>
          <w:tblHeader w:val="false"/>
        </w:trPr>
        <w:tc>
          <w:tcPr>
            <w:tcW w:type="dxa" w:w="26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Behavioural data</w:t>
            </w:r>
          </w:p>
        </w:tc>
        <w:tc>
          <w:tcPr>
            <w:tcW w:type="dxa" w:w="14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4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4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3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2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20</w:t>
            </w:r>
          </w:p>
        </w:tc>
      </w:tr>
      <w:tr>
        <w:trPr>
          <w:tblHeader w:val="false"/>
        </w:trPr>
        <w:tc>
          <w:tcPr>
            <w:tcW w:type="dxa" w:w="26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Campaign &amp; context data</w:t>
            </w:r>
          </w:p>
        </w:tc>
        <w:tc>
          <w:tcPr>
            <w:tcW w:type="dxa" w:w="140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40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40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30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2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20</w:t>
            </w:r>
          </w:p>
        </w:tc>
      </w:tr>
      <w:tr>
        <w:trPr>
          <w:tblHeader w:val="false"/>
        </w:trPr>
        <w:tc>
          <w:tcPr>
            <w:tcW w:type="dxa" w:w="26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Content &amp; variant tracking</w:t>
            </w:r>
          </w:p>
        </w:tc>
        <w:tc>
          <w:tcPr>
            <w:tcW w:type="dxa" w:w="14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4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4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3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2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20</w:t>
            </w:r>
          </w:p>
        </w:tc>
      </w:tr>
      <w:tr>
        <w:trPr>
          <w:tblHeader w:val="false"/>
        </w:trPr>
        <w:tc>
          <w:tcPr>
            <w:tcW w:type="dxa" w:w="26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Outcome &amp; downstream data</w:t>
            </w:r>
          </w:p>
        </w:tc>
        <w:tc>
          <w:tcPr>
            <w:tcW w:type="dxa" w:w="140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40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40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30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2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20</w:t>
            </w:r>
          </w:p>
        </w:tc>
      </w:tr>
      <w:tr>
        <w:trPr>
          <w:tblHeader w:val="false"/>
        </w:trPr>
        <w:tc>
          <w:tcPr>
            <w:tcW w:type="dxa" w:w="26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Identity resolution</w:t>
            </w:r>
          </w:p>
        </w:tc>
        <w:tc>
          <w:tcPr>
            <w:tcW w:type="dxa" w:w="14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4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4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3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2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20</w:t>
            </w:r>
          </w:p>
        </w:tc>
      </w:tr>
      <w:tr>
        <w:trPr>
          <w:tblHeader w:val="false"/>
        </w:trPr>
        <w:tc>
          <w:tcPr>
            <w:tcW w:type="dxa" w:w="26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Consent management</w:t>
            </w:r>
          </w:p>
        </w:tc>
        <w:tc>
          <w:tcPr>
            <w:tcW w:type="dxa" w:w="140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40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40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30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2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20</w:t>
            </w:r>
          </w:p>
        </w:tc>
      </w:tr>
      <w:tr>
        <w:trPr>
          <w:tblHeader w:val="false"/>
        </w:trPr>
        <w:tc>
          <w:tcPr>
            <w:tcW w:type="dxa" w:w="26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Commercial value data</w:t>
            </w:r>
          </w:p>
        </w:tc>
        <w:tc>
          <w:tcPr>
            <w:tcW w:type="dxa" w:w="14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4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4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3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w:r>
          </w:p>
        </w:tc>
        <w:tc>
          <w:tcPr>
            <w:tcW w:type="dxa" w:w="12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 20</w:t>
            </w:r>
          </w:p>
        </w:tc>
      </w:tr>
    </w:tbl>
    <w:p>
      <w:r>
        <w:br w:type="page"/>
      </w:r>
    </w:p>
    <w:p>
      <w:pPr>
        <w:pStyle w:val="Heading1"/>
        <w:spacing w:after="160" w:before="360"/>
      </w:pPr>
      <w:r>
        <w:rPr>
          <w:rFonts w:ascii="Calibri" w:cs="Calibri" w:eastAsia="Calibri" w:hAnsi="Calibri"/>
          <w:b/>
          <w:bCs/>
          <w:color w:val="1F3864"/>
          <w:sz w:val="30"/>
          <w:szCs w:val="30"/>
        </w:rPr>
        <w:t xml:space="preserve">7. BR-5 — Feasibility Assessment</w:t>
      </w:r>
    </w:p>
    <w:p>
      <w:pPr>
        <w:pStyle w:val="Heading2"/>
        <w:spacing w:after="120" w:before="260"/>
      </w:pPr>
      <w:r>
        <w:rPr>
          <w:rFonts w:ascii="Calibri" w:cs="Calibri" w:eastAsia="Calibri" w:hAnsi="Calibri"/>
          <w:b/>
          <w:bCs/>
          <w:color w:val="2E74B5"/>
          <w:sz w:val="24"/>
          <w:szCs w:val="24"/>
        </w:rPr>
        <w:t xml:space="preserve">7.1 Technical feasibility</w:t>
      </w:r>
    </w:p>
    <w:p>
      <w:pPr>
        <w:spacing w:after="120" w:line="276"/>
      </w:pPr>
      <w:r>
        <w:rPr>
          <w:rFonts w:ascii="Calibri" w:cs="Calibri" w:eastAsia="Calibri" w:hAnsi="Calibri"/>
          <w:b/>
          <w:bCs/>
          <w:sz w:val="21"/>
          <w:szCs w:val="21"/>
        </w:rPr>
        <w:t xml:space="preserve">Assessment: </w:t>
      </w:r>
      <w:r>
        <w:rPr>
          <w:rFonts w:ascii="Calibri" w:cs="Calibri" w:eastAsia="Calibri" w:hAnsi="Calibri"/>
          <w:b/>
          <w:bCs/>
          <w:color w:val="2E7D32"/>
          <w:sz w:val="21"/>
          <w:szCs w:val="21"/>
        </w:rPr>
        <w:t xml:space="preserve">Feasible. </w:t>
      </w:r>
      <w:r>
        <w:rPr>
          <w:rFonts w:ascii="Calibri" w:cs="Calibri" w:eastAsia="Calibri" w:hAnsi="Calibri"/>
          <w:sz w:val="21"/>
          <w:szCs w:val="21"/>
        </w:rPr>
        <w:t xml:space="preserve">No component of the required capability is technically novel. Collection, identity resolution, decisioning, delivery and measurement are all served by mature commercial products and well-documented architectural patterns. The technical risk is concentrated entirely in integration and data quality, not in capability existence.</w:t>
      </w:r>
    </w:p>
    <w:p>
      <w:pPr>
        <w:pStyle w:val="ListParagraph"/>
        <w:numPr>
          <w:ilvl w:val="0"/>
          <w:numId w:val="3"/>
        </w:numPr>
        <w:spacing w:after="70" w:line="270"/>
      </w:pPr>
      <w:r>
        <w:rPr>
          <w:rFonts w:ascii="Calibri" w:cs="Calibri" w:eastAsia="Calibri" w:hAnsi="Calibri"/>
          <w:b/>
          <w:bCs/>
          <w:sz w:val="21"/>
          <w:szCs w:val="21"/>
        </w:rPr>
        <w:t xml:space="preserve">Confidence: </w:t>
      </w:r>
      <w:r>
        <w:rPr>
          <w:rFonts w:ascii="Calibri" w:cs="Calibri" w:eastAsia="Calibri" w:hAnsi="Calibri"/>
          <w:sz w:val="21"/>
          <w:szCs w:val="21"/>
        </w:rPr>
        <w:t xml:space="preserve">High that the capability can be built. Low, at present, that the data foundations required to make it learn are in place.</w:t>
      </w:r>
    </w:p>
    <w:p>
      <w:pPr>
        <w:pStyle w:val="ListParagraph"/>
        <w:numPr>
          <w:ilvl w:val="0"/>
          <w:numId w:val="3"/>
        </w:numPr>
        <w:spacing w:after="70" w:line="270"/>
      </w:pPr>
      <w:r>
        <w:rPr>
          <w:rFonts w:ascii="Calibri" w:cs="Calibri" w:eastAsia="Calibri" w:hAnsi="Calibri"/>
          <w:b/>
          <w:bCs/>
          <w:sz w:val="21"/>
          <w:szCs w:val="21"/>
        </w:rPr>
        <w:t xml:space="preserve">Critical dependency: </w:t>
      </w:r>
      <w:r>
        <w:rPr>
          <w:rFonts w:ascii="Calibri" w:cs="Calibri" w:eastAsia="Calibri" w:hAnsi="Calibri"/>
          <w:sz w:val="21"/>
          <w:szCs w:val="21"/>
        </w:rPr>
        <w:t xml:space="preserve">The variant-to-outcome join described in Section 3.2. If this cannot be established for the pilot journey, the initiative should not proceed past the remediation gate.</w:t>
      </w:r>
    </w:p>
    <w:p>
      <w:pPr>
        <w:pStyle w:val="Heading2"/>
        <w:spacing w:after="120" w:before="260"/>
      </w:pPr>
      <w:r>
        <w:rPr>
          <w:rFonts w:ascii="Calibri" w:cs="Calibri" w:eastAsia="Calibri" w:hAnsi="Calibri"/>
          <w:b/>
          <w:bCs/>
          <w:color w:val="2E74B5"/>
          <w:sz w:val="24"/>
          <w:szCs w:val="24"/>
        </w:rPr>
        <w:t xml:space="preserve">7.2 Commercial feasibility</w:t>
      </w:r>
    </w:p>
    <w:p>
      <w:pPr>
        <w:spacing w:after="120" w:line="276"/>
      </w:pPr>
      <w:r>
        <w:rPr>
          <w:rFonts w:ascii="Calibri" w:cs="Calibri" w:eastAsia="Calibri" w:hAnsi="Calibri"/>
          <w:b/>
          <w:bCs/>
          <w:sz w:val="21"/>
          <w:szCs w:val="21"/>
        </w:rPr>
        <w:t xml:space="preserve">Assessment: </w:t>
      </w:r>
      <w:r>
        <w:rPr>
          <w:rFonts w:ascii="Calibri" w:cs="Calibri" w:eastAsia="Calibri" w:hAnsi="Calibri"/>
          <w:b/>
          <w:bCs/>
          <w:color w:val="B8860B"/>
          <w:sz w:val="21"/>
          <w:szCs w:val="21"/>
        </w:rPr>
        <w:t xml:space="preserve">Conditional — cannot be concluded on current evidence. </w:t>
      </w:r>
      <w:r>
        <w:rPr>
          <w:rFonts w:ascii="Calibri" w:cs="Calibri" w:eastAsia="Calibri" w:hAnsi="Calibri"/>
          <w:sz w:val="21"/>
          <w:szCs w:val="21"/>
        </w:rPr>
        <w:t xml:space="preserve">Published uplift claims are not a sound basis for investment. The value case requires three internal inputs that do not yet exist in agreed form.</w:t>
      </w:r>
    </w:p>
    <w:p>
      <w:pPr>
        <w:spacing w:after="120" w:line="276"/>
      </w:pPr>
      <w:r>
        <w:rPr>
          <w:rFonts w:ascii="Calibri" w:cs="Calibri" w:eastAsia="Calibri" w:hAnsi="Calibri"/>
          <w:sz w:val="21"/>
          <w:szCs w:val="21"/>
        </w:rPr>
        <w:t xml:space="preserve">The value model is straightforward once those inputs exist:</w:t>
      </w:r>
    </w:p>
    <w:tbl>
      <w:tblPr>
        <w:tblW w:type="dxa" w:w="936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AF1F8" w:color="auto" w:val="clear"/>
            <w:tcMar>
              <w:top w:type="dxa" w:w="140"/>
              <w:left w:type="dxa" w:w="180"/>
              <w:bottom w:type="dxa" w:w="140"/>
              <w:right w:type="dxa" w:w="180"/>
            </w:tcMar>
          </w:tcPr>
          <w:p>
            <w:pPr>
              <w:spacing w:after="80"/>
            </w:pPr>
            <w:r>
              <w:rPr>
                <w:rFonts w:ascii="Calibri" w:cs="Calibri" w:eastAsia="Calibri" w:hAnsi="Calibri"/>
                <w:b/>
                <w:bCs/>
                <w:color w:val="1F3864"/>
                <w:sz w:val="21"/>
                <w:szCs w:val="21"/>
              </w:rPr>
              <w:t xml:space="preserve">Annual benefit model</w:t>
            </w:r>
          </w:p>
          <w:p>
            <w:pPr>
              <w:spacing w:after="60" w:line="270"/>
            </w:pPr>
            <w:r>
              <w:rPr>
                <w:rFonts w:ascii="Calibri" w:cs="Calibri" w:eastAsia="Calibri" w:hAnsi="Calibri"/>
                <w:sz w:val="20"/>
                <w:szCs w:val="20"/>
              </w:rPr>
              <w:t xml:space="preserve">Annual benefit  =  (annual qualified traffic to the journey)  ×  (baseline conversion rate)  ×  (relative uplift)  ×  (Finance-agreed value per conversion)  −  (licence + implementation + run cost)</w:t>
            </w:r>
          </w:p>
          <w:p>
            <w:pPr>
              <w:spacing w:after="60" w:line="270"/>
            </w:pPr>
            <w:r>
              <w:rPr>
                <w:rFonts w:ascii="Calibri" w:cs="Calibri" w:eastAsia="Calibri" w:hAnsi="Calibri"/>
                <w:sz w:val="20"/>
                <w:szCs w:val="20"/>
              </w:rPr>
              <w:t xml:space="preserve">Every term on the left of the minus sign is currently unknown. Establishing the first, second and fourth is a prerequisite of the pilot; the third is what the pilot measures.</w:t>
            </w:r>
          </w:p>
          <w:p>
            <w:pPr>
              <w:spacing w:after="60" w:line="270"/>
            </w:pPr>
            <w:r>
              <w:rPr>
                <w:rFonts w:ascii="Calibri" w:cs="Calibri" w:eastAsia="Calibri" w:hAnsi="Calibri"/>
                <w:sz w:val="20"/>
                <w:szCs w:val="20"/>
              </w:rPr>
              <w:t xml:space="preserve">Sensitivity matters more than the point estimate. The case should be presented at conservative, expected and optimistic uplift, with the break-even uplift stated explicitly so leadership can judge whether it is plausible.</w:t>
            </w:r>
          </w:p>
        </w:tc>
      </w:tr>
    </w:tbl>
    <w:p>
      <w:pPr>
        <w:spacing w:after="120" w:line="276"/>
      </w:pPr>
      <w:r>
        <w:rPr>
          <w:rFonts w:ascii="Calibri" w:cs="Calibri" w:eastAsia="Calibri" w:hAnsi="Calibri"/>
          <w:sz w:val="21"/>
          <w:szCs w:val="21"/>
        </w:rPr>
        <w:t xml:space="preserve">Cost side considerations: enterprise personalization deployments commonly carry implementation and professional services cost materially beyond licence fees, and both licence and decision-volume pricing scale with traffic. A pilot on already-licensed capability substantially de-risks this by deferring the largest commitment until after evidence exists.</w:t>
      </w:r>
    </w:p>
    <w:p>
      <w:pPr>
        <w:pStyle w:val="Heading2"/>
        <w:spacing w:after="120" w:before="260"/>
      </w:pPr>
      <w:r>
        <w:rPr>
          <w:rFonts w:ascii="Calibri" w:cs="Calibri" w:eastAsia="Calibri" w:hAnsi="Calibri"/>
          <w:b/>
          <w:bCs/>
          <w:color w:val="2E74B5"/>
          <w:sz w:val="24"/>
          <w:szCs w:val="24"/>
        </w:rPr>
        <w:t xml:space="preserve">7.3 Operational and organisational feasibility</w:t>
      </w:r>
    </w:p>
    <w:p>
      <w:pPr>
        <w:spacing w:after="120" w:line="276"/>
      </w:pPr>
      <w:r>
        <w:rPr>
          <w:rFonts w:ascii="Calibri" w:cs="Calibri" w:eastAsia="Calibri" w:hAnsi="Calibri"/>
          <w:b/>
          <w:bCs/>
          <w:sz w:val="21"/>
          <w:szCs w:val="21"/>
        </w:rPr>
        <w:t xml:space="preserve">Assessment: </w:t>
      </w:r>
      <w:r>
        <w:rPr>
          <w:rFonts w:ascii="Calibri" w:cs="Calibri" w:eastAsia="Calibri" w:hAnsi="Calibri"/>
          <w:b/>
          <w:bCs/>
          <w:color w:val="C62828"/>
          <w:sz w:val="21"/>
          <w:szCs w:val="21"/>
        </w:rPr>
        <w:t xml:space="preserve">The principal constraint. </w:t>
      </w:r>
      <w:r>
        <w:rPr>
          <w:rFonts w:ascii="Calibri" w:cs="Calibri" w:eastAsia="Calibri" w:hAnsi="Calibri"/>
          <w:sz w:val="21"/>
          <w:szCs w:val="21"/>
        </w:rPr>
        <w:t xml:space="preserve">Closed-loop optimization is an operating model change, not a tool deployment. Platforms fail in production far more often for organisational reasons than technical ones.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6760"/>
      </w:tblGrid>
      <w:tr>
        <w:trPr>
          <w:tblHeader/>
        </w:trPr>
        <w:tc>
          <w:tcPr>
            <w:tcW w:type="dxa" w:w="26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Requirement</w:t>
            </w:r>
          </w:p>
        </w:tc>
        <w:tc>
          <w:tcPr>
            <w:tcW w:type="dxa" w:w="67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Why it matters</w:t>
            </w:r>
          </w:p>
        </w:tc>
      </w:tr>
      <w:tr>
        <w:trPr>
          <w:tblHeader w:val="false"/>
        </w:trPr>
        <w:tc>
          <w:tcPr>
            <w:tcW w:type="dxa" w:w="26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 named, accountable business owner</w:t>
            </w:r>
          </w:p>
        </w:tc>
        <w:tc>
          <w:tcPr>
            <w:tcW w:type="dxa" w:w="67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Without single-threaded ownership the loop degrades into an unmaintained configuration nobody trusts</w:t>
            </w:r>
          </w:p>
        </w:tc>
      </w:tr>
      <w:tr>
        <w:trPr>
          <w:tblHeader w:val="false"/>
        </w:trPr>
        <w:tc>
          <w:tcPr>
            <w:tcW w:type="dxa" w:w="26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 standing content supply</w:t>
            </w:r>
          </w:p>
        </w:tc>
        <w:tc>
          <w:tcPr>
            <w:tcW w:type="dxa" w:w="67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An optimization engine consumes variants. If the content pipeline produces two variants a quarter, no algorithm can help. This is the most commonly underestimated dependency</w:t>
            </w:r>
          </w:p>
        </w:tc>
      </w:tr>
      <w:tr>
        <w:trPr>
          <w:tblHeader w:val="false"/>
        </w:trPr>
        <w:tc>
          <w:tcPr>
            <w:tcW w:type="dxa" w:w="26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Analytical capability to interrogate results</w:t>
            </w:r>
          </w:p>
        </w:tc>
        <w:tc>
          <w:tcPr>
            <w:tcW w:type="dxa" w:w="67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Someone must be able to distinguish a real effect from a novelty effect, a seasonal artefact or a measurement bug</w:t>
            </w:r>
          </w:p>
        </w:tc>
      </w:tr>
      <w:tr>
        <w:trPr>
          <w:tblHeader w:val="false"/>
        </w:trPr>
        <w:tc>
          <w:tcPr>
            <w:tcW w:type="dxa" w:w="26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Governance of automated decisions</w:t>
            </w:r>
          </w:p>
        </w:tc>
        <w:tc>
          <w:tcPr>
            <w:tcW w:type="dxa" w:w="67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Guardrails, override authority, audit logging, and a documented policy for what the system may not vary — pricing, eligibility, regulated disclosures</w:t>
            </w:r>
          </w:p>
        </w:tc>
      </w:tr>
      <w:tr>
        <w:trPr>
          <w:tblHeader w:val="false"/>
        </w:trPr>
        <w:tc>
          <w:tcPr>
            <w:tcW w:type="dxa" w:w="26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Clear boundary with agency partners</w:t>
            </w:r>
          </w:p>
        </w:tc>
        <w:tc>
          <w:tcPr>
            <w:tcW w:type="dxa" w:w="67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Roles must be redefined; otherwise agency-led manual optimization and automated optimization interfere with each other and with measurement</w:t>
            </w:r>
          </w:p>
        </w:tc>
      </w:tr>
    </w:tbl>
    <w:p>
      <w:pPr>
        <w:pStyle w:val="Heading2"/>
        <w:spacing w:after="120" w:before="260"/>
      </w:pPr>
      <w:r>
        <w:rPr>
          <w:rFonts w:ascii="Calibri" w:cs="Calibri" w:eastAsia="Calibri" w:hAnsi="Calibri"/>
          <w:b/>
          <w:bCs/>
          <w:color w:val="2E74B5"/>
          <w:sz w:val="24"/>
          <w:szCs w:val="24"/>
        </w:rPr>
        <w:t xml:space="preserve">7.4 Regulatory and compliance feasibility</w:t>
      </w:r>
    </w:p>
    <w:p>
      <w:pPr>
        <w:spacing w:after="120" w:line="276"/>
      </w:pPr>
      <w:r>
        <w:rPr>
          <w:rFonts w:ascii="Calibri" w:cs="Calibri" w:eastAsia="Calibri" w:hAnsi="Calibri"/>
          <w:sz w:val="21"/>
          <w:szCs w:val="21"/>
        </w:rPr>
        <w:t xml:space="preserve">Feasible with design discipline. The following must be treated as design constraints from the outset rather than as a later compliance review:</w:t>
      </w:r>
    </w:p>
    <w:p>
      <w:pPr>
        <w:pStyle w:val="ListParagraph"/>
        <w:numPr>
          <w:ilvl w:val="0"/>
          <w:numId w:val="3"/>
        </w:numPr>
        <w:spacing w:after="70" w:line="270"/>
      </w:pPr>
      <w:r>
        <w:rPr>
          <w:rFonts w:ascii="Calibri" w:cs="Calibri" w:eastAsia="Calibri" w:hAnsi="Calibri"/>
          <w:sz w:val="21"/>
          <w:szCs w:val="21"/>
        </w:rPr>
        <w:t xml:space="preserve">Lawful basis and valid consent for behavioural processing, with a genuine non-personalised fallback path</w:t>
      </w:r>
    </w:p>
    <w:p>
      <w:pPr>
        <w:pStyle w:val="ListParagraph"/>
        <w:numPr>
          <w:ilvl w:val="0"/>
          <w:numId w:val="3"/>
        </w:numPr>
        <w:spacing w:after="70" w:line="270"/>
      </w:pPr>
      <w:r>
        <w:rPr>
          <w:rFonts w:ascii="Calibri" w:cs="Calibri" w:eastAsia="Calibri" w:hAnsi="Calibri"/>
          <w:sz w:val="21"/>
          <w:szCs w:val="21"/>
        </w:rPr>
        <w:t xml:space="preserve">No use of special-category or inferred sensitive attributes as decisioning inputs</w:t>
      </w:r>
    </w:p>
    <w:p>
      <w:pPr>
        <w:pStyle w:val="ListParagraph"/>
        <w:numPr>
          <w:ilvl w:val="0"/>
          <w:numId w:val="3"/>
        </w:numPr>
        <w:spacing w:after="70" w:line="270"/>
      </w:pPr>
      <w:r>
        <w:rPr>
          <w:rFonts w:ascii="Calibri" w:cs="Calibri" w:eastAsia="Calibri" w:hAnsi="Calibri"/>
          <w:sz w:val="21"/>
          <w:szCs w:val="21"/>
        </w:rPr>
        <w:t xml:space="preserve">Fair treatment: automated variation must not produce materially worse outcomes for vulnerable or protected groups — this requires explicit monitoring, not assumption</w:t>
      </w:r>
    </w:p>
    <w:p>
      <w:pPr>
        <w:pStyle w:val="ListParagraph"/>
        <w:numPr>
          <w:ilvl w:val="0"/>
          <w:numId w:val="3"/>
        </w:numPr>
        <w:spacing w:after="70" w:line="270"/>
      </w:pPr>
      <w:r>
        <w:rPr>
          <w:rFonts w:ascii="Calibri" w:cs="Calibri" w:eastAsia="Calibri" w:hAnsi="Calibri"/>
          <w:sz w:val="21"/>
          <w:szCs w:val="21"/>
        </w:rPr>
        <w:t xml:space="preserve">Regulated content — disclosures, terms, eligibility criteria, pricing — placed outside the set of variable elements</w:t>
      </w:r>
    </w:p>
    <w:p>
      <w:pPr>
        <w:pStyle w:val="ListParagraph"/>
        <w:numPr>
          <w:ilvl w:val="0"/>
          <w:numId w:val="3"/>
        </w:numPr>
        <w:spacing w:after="70" w:line="270"/>
      </w:pPr>
      <w:r>
        <w:rPr>
          <w:rFonts w:ascii="Calibri" w:cs="Calibri" w:eastAsia="Calibri" w:hAnsi="Calibri"/>
          <w:sz w:val="21"/>
          <w:szCs w:val="21"/>
        </w:rPr>
        <w:t xml:space="preserve">Auditability: the ability to reconstruct, for any past visitor, what was shown and why</w:t>
      </w:r>
    </w:p>
    <w:p>
      <w:pPr>
        <w:pStyle w:val="Heading2"/>
        <w:spacing w:after="120" w:before="260"/>
      </w:pPr>
      <w:r>
        <w:rPr>
          <w:rFonts w:ascii="Calibri" w:cs="Calibri" w:eastAsia="Calibri" w:hAnsi="Calibri"/>
          <w:b/>
          <w:bCs/>
          <w:color w:val="2E74B5"/>
          <w:sz w:val="24"/>
          <w:szCs w:val="24"/>
        </w:rPr>
        <w:t xml:space="preserve">7.5 Overall feasibility verdict</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1700"/>
        <w:gridCol w:w="5060"/>
      </w:tblGrid>
      <w:tr>
        <w:trPr>
          <w:tblHeader/>
        </w:trPr>
        <w:tc>
          <w:tcPr>
            <w:tcW w:type="dxa" w:w="26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Dimension</w:t>
            </w:r>
          </w:p>
        </w:tc>
        <w:tc>
          <w:tcPr>
            <w:tcW w:type="dxa" w:w="17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Verdict</w:t>
            </w:r>
          </w:p>
        </w:tc>
        <w:tc>
          <w:tcPr>
            <w:tcW w:type="dxa" w:w="50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Basis</w:t>
            </w:r>
          </w:p>
        </w:tc>
      </w:tr>
      <w:tr>
        <w:trPr>
          <w:tblHeader w:val="false"/>
        </w:trPr>
        <w:tc>
          <w:tcPr>
            <w:tcW w:type="dxa" w:w="26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Technical</w:t>
            </w:r>
          </w:p>
        </w:tc>
        <w:tc>
          <w:tcPr>
            <w:tcW w:type="dxa" w:w="17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Feasible</w:t>
            </w:r>
          </w:p>
        </w:tc>
        <w:tc>
          <w:tcPr>
            <w:tcW w:type="dxa" w:w="50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Mature vendor market and established architectural patterns; no novel components required</w:t>
            </w:r>
          </w:p>
        </w:tc>
      </w:tr>
      <w:tr>
        <w:trPr>
          <w:tblHeader w:val="false"/>
        </w:trPr>
        <w:tc>
          <w:tcPr>
            <w:tcW w:type="dxa" w:w="26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Data</w:t>
            </w:r>
          </w:p>
        </w:tc>
        <w:tc>
          <w:tcPr>
            <w:tcW w:type="dxa" w:w="170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Not yet ready</w:t>
            </w:r>
          </w:p>
        </w:tc>
        <w:tc>
          <w:tcPr>
            <w:tcW w:type="dxa" w:w="50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The variant-to-outcome and anonymous-to-known joins are the likely blockers and are unvalidated</w:t>
            </w:r>
          </w:p>
        </w:tc>
      </w:tr>
      <w:tr>
        <w:trPr>
          <w:tblHeader w:val="false"/>
        </w:trPr>
        <w:tc>
          <w:tcPr>
            <w:tcW w:type="dxa" w:w="26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Commercial</w:t>
            </w:r>
          </w:p>
        </w:tc>
        <w:tc>
          <w:tcPr>
            <w:tcW w:type="dxa" w:w="17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Unproven</w:t>
            </w:r>
          </w:p>
        </w:tc>
        <w:tc>
          <w:tcPr>
            <w:tcW w:type="dxa" w:w="50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No internal baseline, no agreed conversion value, no counterfactual evidence for published uplift claims</w:t>
            </w:r>
          </w:p>
        </w:tc>
      </w:tr>
      <w:tr>
        <w:trPr>
          <w:tblHeader w:val="false"/>
        </w:trPr>
        <w:tc>
          <w:tcPr>
            <w:tcW w:type="dxa" w:w="2600"/>
            <w:shd w:fill="F2F5F9" w:color="auto" w:val="clear"/>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Operational</w:t>
            </w:r>
          </w:p>
        </w:tc>
        <w:tc>
          <w:tcPr>
            <w:tcW w:type="dxa" w:w="170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Constrained</w:t>
            </w:r>
          </w:p>
        </w:tc>
        <w:tc>
          <w:tcPr>
            <w:tcW w:type="dxa" w:w="5060"/>
            <w:shd w:fill="F2F5F9" w:color="auto" w:val="clear"/>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Requires content supply, ownership and analytical capacity that must be explicitly resourced</w:t>
            </w:r>
          </w:p>
        </w:tc>
      </w:tr>
      <w:tr>
        <w:trPr>
          <w:tblHeader w:val="false"/>
        </w:trPr>
        <w:tc>
          <w:tcPr>
            <w:tcW w:type="dxa" w:w="2600"/>
            <w:tcMar>
              <w:top w:type="dxa" w:w="70"/>
              <w:left w:type="dxa" w:w="110"/>
              <w:bottom w:type="dxa" w:w="70"/>
              <w:right w:type="dxa" w:w="110"/>
            </w:tcMar>
            <w:vAlign w:val="center"/>
          </w:tcPr>
          <w:p>
            <w:pPr>
              <w:spacing w:after="0" w:line="250"/>
            </w:pPr>
            <w:r>
              <w:rPr>
                <w:rFonts w:ascii="Calibri" w:cs="Calibri" w:eastAsia="Calibri" w:hAnsi="Calibri"/>
                <w:b/>
                <w:bCs/>
                <w:sz w:val="18"/>
                <w:szCs w:val="18"/>
              </w:rPr>
              <w:t xml:space="preserve">Regulatory</w:t>
            </w:r>
          </w:p>
        </w:tc>
        <w:tc>
          <w:tcPr>
            <w:tcW w:type="dxa" w:w="170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Feasible with controls</w:t>
            </w:r>
          </w:p>
        </w:tc>
        <w:tc>
          <w:tcPr>
            <w:tcW w:type="dxa" w:w="5060"/>
            <w:tcMar>
              <w:top w:type="dxa" w:w="70"/>
              <w:left w:type="dxa" w:w="110"/>
              <w:bottom w:type="dxa" w:w="70"/>
              <w:right w:type="dxa" w:w="110"/>
            </w:tcMar>
            <w:vAlign w:val="center"/>
          </w:tcPr>
          <w:p>
            <w:pPr>
              <w:spacing w:after="0" w:line="250"/>
            </w:pPr>
            <w:r>
              <w:rPr>
                <w:rFonts w:ascii="Calibri" w:cs="Calibri" w:eastAsia="Calibri" w:hAnsi="Calibri"/>
                <w:b w:val="false"/>
                <w:bCs w:val="false"/>
                <w:sz w:val="18"/>
                <w:szCs w:val="18"/>
              </w:rPr>
              <w:t xml:space="preserve">Achievable within existing consent and fair-treatment frameworks if designed in from the start</w:t>
            </w:r>
          </w:p>
        </w:tc>
      </w:tr>
    </w:tbl>
    <w:p>
      <w:pPr>
        <w:spacing w:after="120" w:line="276"/>
      </w:pPr>
      <w:r>
        <w:rPr>
          <w:rFonts w:ascii="Calibri" w:cs="Calibri" w:eastAsia="Calibri" w:hAnsi="Calibri"/>
          <w:b/>
          <w:bCs/>
          <w:sz w:val="21"/>
          <w:szCs w:val="21"/>
        </w:rPr>
        <w:t xml:space="preserve">Conclusion: </w:t>
      </w:r>
      <w:r>
        <w:rPr>
          <w:rFonts w:ascii="Calibri" w:cs="Calibri" w:eastAsia="Calibri" w:hAnsi="Calibri"/>
          <w:sz w:val="21"/>
          <w:szCs w:val="21"/>
        </w:rPr>
        <w:t xml:space="preserve">The question is not whether closed-loop optimization can be built — it can. The question is whether this organisation's data can close the loop, and whether the resulting uplift justifies the cost. Neither can be answered without a measured pilot. The recommendation in Section 9 is structured to answer both at the lowest defensible cost.</w:t>
      </w:r>
    </w:p>
    <w:p>
      <w:r>
        <w:br w:type="page"/>
      </w:r>
    </w:p>
    <w:p>
      <w:pPr>
        <w:pStyle w:val="Heading1"/>
        <w:spacing w:after="160" w:before="360"/>
      </w:pPr>
      <w:r>
        <w:rPr>
          <w:rFonts w:ascii="Calibri" w:cs="Calibri" w:eastAsia="Calibri" w:hAnsi="Calibri"/>
          <w:b/>
          <w:bCs/>
          <w:color w:val="1F3864"/>
          <w:sz w:val="30"/>
          <w:szCs w:val="30"/>
        </w:rPr>
        <w:t xml:space="preserve">8. Risks and Challenges</w:t>
      </w:r>
    </w:p>
    <w:p>
      <w:pPr>
        <w:spacing w:after="120" w:line="276"/>
      </w:pPr>
      <w:r>
        <w:rPr>
          <w:rFonts w:ascii="Calibri" w:cs="Calibri" w:eastAsia="Calibri" w:hAnsi="Calibri"/>
          <w:sz w:val="21"/>
          <w:szCs w:val="21"/>
        </w:rPr>
        <w:t xml:space="preserve">The five risks identified in the requirement brief are assessed below, with additional risks surfaced during research.</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3300"/>
        <w:gridCol w:w="900"/>
        <w:gridCol w:w="900"/>
        <w:gridCol w:w="2060"/>
      </w:tblGrid>
      <w:tr>
        <w:trPr>
          <w:tblHeader/>
        </w:trPr>
        <w:tc>
          <w:tcPr>
            <w:tcW w:type="dxa" w:w="22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7"/>
                <w:szCs w:val="17"/>
              </w:rPr>
              <w:t xml:space="preserve">Risk</w:t>
            </w:r>
          </w:p>
        </w:tc>
        <w:tc>
          <w:tcPr>
            <w:tcW w:type="dxa" w:w="33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7"/>
                <w:szCs w:val="17"/>
              </w:rPr>
              <w:t xml:space="preserve">Description</w:t>
            </w:r>
          </w:p>
        </w:tc>
        <w:tc>
          <w:tcPr>
            <w:tcW w:type="dxa" w:w="9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7"/>
                <w:szCs w:val="17"/>
              </w:rPr>
              <w:t xml:space="preserve">Lhood</w:t>
            </w:r>
          </w:p>
        </w:tc>
        <w:tc>
          <w:tcPr>
            <w:tcW w:type="dxa" w:w="9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7"/>
                <w:szCs w:val="17"/>
              </w:rPr>
              <w:t xml:space="preserve">Impact</w:t>
            </w:r>
          </w:p>
        </w:tc>
        <w:tc>
          <w:tcPr>
            <w:tcW w:type="dxa" w:w="20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7"/>
                <w:szCs w:val="17"/>
              </w:rPr>
              <w:t xml:space="preserve">Mitigation</w:t>
            </w:r>
          </w:p>
        </w:tc>
      </w:tr>
      <w:tr>
        <w:trPr>
          <w:tblHeader w:val="false"/>
        </w:trPr>
        <w:tc>
          <w:tcPr>
            <w:tcW w:type="dxa" w:w="2200"/>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Data availability</w:t>
            </w:r>
          </w:p>
        </w:tc>
        <w:tc>
          <w:tcPr>
            <w:tcW w:type="dxa" w:w="3300"/>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Required behavioural, identity or outcome data does not exist, is incomplete, or is not accessible in time</w:t>
            </w:r>
          </w:p>
        </w:tc>
        <w:tc>
          <w:tcPr>
            <w:tcW w:type="dxa" w:w="900"/>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High</w:t>
            </w:r>
          </w:p>
        </w:tc>
        <w:tc>
          <w:tcPr>
            <w:tcW w:type="dxa" w:w="900"/>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High</w:t>
            </w:r>
          </w:p>
        </w:tc>
        <w:tc>
          <w:tcPr>
            <w:tcW w:type="dxa" w:w="2060"/>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Data readiness sprint before any platform commitment; treat readiness score as a hard gate</w:t>
            </w:r>
          </w:p>
        </w:tc>
      </w:tr>
      <w:tr>
        <w:trPr>
          <w:tblHeader w:val="false"/>
        </w:trPr>
        <w:tc>
          <w:tcPr>
            <w:tcW w:type="dxa" w:w="22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Attribution complexity</w:t>
            </w:r>
          </w:p>
        </w:tc>
        <w:tc>
          <w:tcPr>
            <w:tcW w:type="dxa" w:w="33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Multi-touch, multi-device and multi-session journeys make it difficult to attribute an outcome to a specific variant</w:t>
            </w:r>
          </w:p>
        </w:tc>
        <w:tc>
          <w:tcPr>
            <w:tcW w:type="dxa" w:w="9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High</w:t>
            </w:r>
          </w:p>
        </w:tc>
        <w:tc>
          <w:tcPr>
            <w:tcW w:type="dxa" w:w="9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High</w:t>
            </w:r>
          </w:p>
        </w:tc>
        <w:tc>
          <w:tcPr>
            <w:tcW w:type="dxa" w:w="20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Constrain the pilot to a single-session, single-device journey; use held-out control groups rather than attribution modelling</w:t>
            </w:r>
          </w:p>
        </w:tc>
      </w:tr>
      <w:tr>
        <w:trPr>
          <w:tblHeader w:val="false"/>
        </w:trPr>
        <w:tc>
          <w:tcPr>
            <w:tcW w:type="dxa" w:w="2200"/>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Measurement challenges</w:t>
            </w:r>
          </w:p>
        </w:tc>
        <w:tc>
          <w:tcPr>
            <w:tcW w:type="dxa" w:w="3300"/>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Insufficient traffic for significance; novelty effects; seasonality; interference between concurrent tests</w:t>
            </w:r>
          </w:p>
        </w:tc>
        <w:tc>
          <w:tcPr>
            <w:tcW w:type="dxa" w:w="900"/>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Med</w:t>
            </w:r>
          </w:p>
        </w:tc>
        <w:tc>
          <w:tcPr>
            <w:tcW w:type="dxa" w:w="900"/>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High</w:t>
            </w:r>
          </w:p>
        </w:tc>
        <w:tc>
          <w:tcPr>
            <w:tcW w:type="dxa" w:w="2060"/>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Pre-registered success criteria; power calculation before launch; a permanent holdout; a single owner of the test calendar</w:t>
            </w:r>
          </w:p>
        </w:tc>
      </w:tr>
      <w:tr>
        <w:trPr>
          <w:tblHeader w:val="false"/>
        </w:trPr>
        <w:tc>
          <w:tcPr>
            <w:tcW w:type="dxa" w:w="22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Uncertain business value</w:t>
            </w:r>
          </w:p>
        </w:tc>
        <w:tc>
          <w:tcPr>
            <w:tcW w:type="dxa" w:w="33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Uplift is smaller than the run cost, or is real but not commercially material</w:t>
            </w:r>
          </w:p>
        </w:tc>
        <w:tc>
          <w:tcPr>
            <w:tcW w:type="dxa" w:w="9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Med</w:t>
            </w:r>
          </w:p>
        </w:tc>
        <w:tc>
          <w:tcPr>
            <w:tcW w:type="dxa" w:w="9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High</w:t>
            </w:r>
          </w:p>
        </w:tc>
        <w:tc>
          <w:tcPr>
            <w:tcW w:type="dxa" w:w="20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Break-even uplift stated in advance; Finance-agreed conversion value; explicit stop criteria at the decision gate</w:t>
            </w:r>
          </w:p>
        </w:tc>
      </w:tr>
      <w:tr>
        <w:trPr>
          <w:tblHeader w:val="false"/>
        </w:trPr>
        <w:tc>
          <w:tcPr>
            <w:tcW w:type="dxa" w:w="2200"/>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Integration complexity</w:t>
            </w:r>
          </w:p>
        </w:tc>
        <w:tc>
          <w:tcPr>
            <w:tcW w:type="dxa" w:w="3300"/>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Legacy CMS, tag sprawl, and fulfilment systems that cannot emit or receive session context</w:t>
            </w:r>
          </w:p>
        </w:tc>
        <w:tc>
          <w:tcPr>
            <w:tcW w:type="dxa" w:w="900"/>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Med</w:t>
            </w:r>
          </w:p>
        </w:tc>
        <w:tc>
          <w:tcPr>
            <w:tcW w:type="dxa" w:w="900"/>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Med</w:t>
            </w:r>
          </w:p>
        </w:tc>
        <w:tc>
          <w:tcPr>
            <w:tcW w:type="dxa" w:w="2060"/>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Architecture spike during the readiness sprint; server-side collection; pick the pilot journey partly on integration tractability</w:t>
            </w:r>
          </w:p>
        </w:tc>
      </w:tr>
      <w:tr>
        <w:trPr>
          <w:tblHeader w:val="false"/>
        </w:trPr>
        <w:tc>
          <w:tcPr>
            <w:tcW w:type="dxa" w:w="22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Optimising the wrong metric</w:t>
            </w:r>
          </w:p>
        </w:tc>
        <w:tc>
          <w:tcPr>
            <w:tcW w:type="dxa" w:w="33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The loop maximises form submissions while downstream quality falls</w:t>
            </w:r>
          </w:p>
        </w:tc>
        <w:tc>
          <w:tcPr>
            <w:tcW w:type="dxa" w:w="9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Med</w:t>
            </w:r>
          </w:p>
        </w:tc>
        <w:tc>
          <w:tcPr>
            <w:tcW w:type="dxa" w:w="9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High</w:t>
            </w:r>
          </w:p>
        </w:tc>
        <w:tc>
          <w:tcPr>
            <w:tcW w:type="dxa" w:w="20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Define the primary metric as a downstream qualified outcome; monitor quality guardrail metrics continuously</w:t>
            </w:r>
          </w:p>
        </w:tc>
      </w:tr>
      <w:tr>
        <w:trPr>
          <w:tblHeader w:val="false"/>
        </w:trPr>
        <w:tc>
          <w:tcPr>
            <w:tcW w:type="dxa" w:w="2200"/>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Page performance regression</w:t>
            </w:r>
          </w:p>
        </w:tc>
        <w:tc>
          <w:tcPr>
            <w:tcW w:type="dxa" w:w="3300"/>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Client-side personalization causes flicker or slows render, cancelling out any conversion gain</w:t>
            </w:r>
          </w:p>
        </w:tc>
        <w:tc>
          <w:tcPr>
            <w:tcW w:type="dxa" w:w="900"/>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Med</w:t>
            </w:r>
          </w:p>
        </w:tc>
        <w:tc>
          <w:tcPr>
            <w:tcW w:type="dxa" w:w="900"/>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Med</w:t>
            </w:r>
          </w:p>
        </w:tc>
        <w:tc>
          <w:tcPr>
            <w:tcW w:type="dxa" w:w="2060"/>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Server-side or edge rendering; Core Web Vitals as a guardrail metric with an automatic rollback threshold</w:t>
            </w:r>
          </w:p>
        </w:tc>
      </w:tr>
      <w:tr>
        <w:trPr>
          <w:tblHeader w:val="false"/>
        </w:trPr>
        <w:tc>
          <w:tcPr>
            <w:tcW w:type="dxa" w:w="22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Consent erosion</w:t>
            </w:r>
          </w:p>
        </w:tc>
        <w:tc>
          <w:tcPr>
            <w:tcW w:type="dxa" w:w="33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A large share of traffic opts out, leaving too little signal for personalization to be effective</w:t>
            </w:r>
          </w:p>
        </w:tc>
        <w:tc>
          <w:tcPr>
            <w:tcW w:type="dxa" w:w="9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Med</w:t>
            </w:r>
          </w:p>
        </w:tc>
        <w:tc>
          <w:tcPr>
            <w:tcW w:type="dxa" w:w="9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Med</w:t>
            </w:r>
          </w:p>
        </w:tc>
        <w:tc>
          <w:tcPr>
            <w:tcW w:type="dxa" w:w="20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Measure the addressable consented share before committing; design a strong contextual fallback</w:t>
            </w:r>
          </w:p>
        </w:tc>
      </w:tr>
      <w:tr>
        <w:trPr>
          <w:tblHeader w:val="false"/>
        </w:trPr>
        <w:tc>
          <w:tcPr>
            <w:tcW w:type="dxa" w:w="2200"/>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Organisational capacity</w:t>
            </w:r>
          </w:p>
        </w:tc>
        <w:tc>
          <w:tcPr>
            <w:tcW w:type="dxa" w:w="3300"/>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Content supply and analytical bandwidth cannot sustain the loop after launch</w:t>
            </w:r>
          </w:p>
        </w:tc>
        <w:tc>
          <w:tcPr>
            <w:tcW w:type="dxa" w:w="900"/>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High</w:t>
            </w:r>
          </w:p>
        </w:tc>
        <w:tc>
          <w:tcPr>
            <w:tcW w:type="dxa" w:w="900"/>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Med</w:t>
            </w:r>
          </w:p>
        </w:tc>
        <w:tc>
          <w:tcPr>
            <w:tcW w:type="dxa" w:w="2060"/>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Resource content production explicitly in the pilot plan; agree the operating model before, not after, launch</w:t>
            </w:r>
          </w:p>
        </w:tc>
      </w:tr>
      <w:tr>
        <w:trPr>
          <w:tblHeader w:val="false"/>
        </w:trPr>
        <w:tc>
          <w:tcPr>
            <w:tcW w:type="dxa" w:w="22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Vendor lock-in</w:t>
            </w:r>
          </w:p>
        </w:tc>
        <w:tc>
          <w:tcPr>
            <w:tcW w:type="dxa" w:w="33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Profile and behavioural data becomes captive to one platform, making later change prohibitive</w:t>
            </w:r>
          </w:p>
        </w:tc>
        <w:tc>
          <w:tcPr>
            <w:tcW w:type="dxa" w:w="9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Med</w:t>
            </w:r>
          </w:p>
        </w:tc>
        <w:tc>
          <w:tcPr>
            <w:tcW w:type="dxa" w:w="9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Med</w:t>
            </w:r>
          </w:p>
        </w:tc>
        <w:tc>
          <w:tcPr>
            <w:tcW w:type="dxa" w:w="20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7"/>
                <w:szCs w:val="17"/>
              </w:rPr>
              <w:t xml:space="preserve">Retain a first-party copy of all event and profile data; contract for data portability</w:t>
            </w:r>
          </w:p>
        </w:tc>
      </w:tr>
    </w:tbl>
    <w:p>
      <w:r>
        <w:br w:type="page"/>
      </w:r>
    </w:p>
    <w:p>
      <w:pPr>
        <w:pStyle w:val="Heading1"/>
        <w:spacing w:after="160" w:before="360"/>
      </w:pPr>
      <w:r>
        <w:rPr>
          <w:rFonts w:ascii="Calibri" w:cs="Calibri" w:eastAsia="Calibri" w:hAnsi="Calibri"/>
          <w:b/>
          <w:bCs/>
          <w:color w:val="1F3864"/>
          <w:sz w:val="30"/>
          <w:szCs w:val="30"/>
        </w:rPr>
        <w:t xml:space="preserve">9. Executive Recommendation</w:t>
      </w:r>
    </w:p>
    <w:p>
      <w:pPr>
        <w:pStyle w:val="Heading2"/>
        <w:spacing w:after="120" w:before="260"/>
      </w:pPr>
      <w:r>
        <w:rPr>
          <w:rFonts w:ascii="Calibri" w:cs="Calibri" w:eastAsia="Calibri" w:hAnsi="Calibri"/>
          <w:b/>
          <w:bCs/>
          <w:color w:val="2E74B5"/>
          <w:sz w:val="24"/>
          <w:szCs w:val="24"/>
        </w:rPr>
        <w:t xml:space="preserve">9.1 Recommendation</w:t>
      </w:r>
    </w:p>
    <w:tbl>
      <w:tblPr>
        <w:tblW w:type="dxa" w:w="936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AF1F8" w:color="auto" w:val="clear"/>
            <w:tcMar>
              <w:top w:type="dxa" w:w="140"/>
              <w:left w:type="dxa" w:w="180"/>
              <w:bottom w:type="dxa" w:w="140"/>
              <w:right w:type="dxa" w:w="180"/>
            </w:tcMar>
          </w:tcPr>
          <w:p>
            <w:pPr>
              <w:spacing w:after="80"/>
            </w:pPr>
            <w:r>
              <w:rPr>
                <w:rFonts w:ascii="Calibri" w:cs="Calibri" w:eastAsia="Calibri" w:hAnsi="Calibri"/>
                <w:b/>
                <w:bCs/>
                <w:color w:val="1F3864"/>
                <w:sz w:val="21"/>
                <w:szCs w:val="21"/>
              </w:rPr>
              <w:t xml:space="preserve">Proceed to a gated proof of value. Do not proceed to platform selection.</w:t>
            </w:r>
          </w:p>
          <w:p>
            <w:pPr>
              <w:spacing w:after="60" w:line="270"/>
            </w:pPr>
            <w:r>
              <w:rPr>
                <w:rFonts w:ascii="Calibri" w:cs="Calibri" w:eastAsia="Calibri" w:hAnsi="Calibri"/>
                <w:sz w:val="20"/>
                <w:szCs w:val="20"/>
              </w:rPr>
              <w:t xml:space="preserve">The technology is proven and the strategic direction is sound, but the organisation cannot currently demonstrate that its data closes the loop, and cannot size the benefit. Committing to a platform now would convert an unquantified benefit into a quantified cost.</w:t>
            </w:r>
          </w:p>
          <w:p>
            <w:pPr>
              <w:spacing w:after="60" w:line="270"/>
            </w:pPr>
            <w:r>
              <w:rPr>
                <w:rFonts w:ascii="Calibri" w:cs="Calibri" w:eastAsia="Calibri" w:hAnsi="Calibri"/>
                <w:sz w:val="20"/>
                <w:szCs w:val="20"/>
              </w:rPr>
              <w:t xml:space="preserve">The recommended path spends a modest amount to remove exactly those two uncertainties, and creates a decision gate at which the investment can be stopped cheaply if the evidence does not support it.</w:t>
            </w:r>
          </w:p>
        </w:tc>
      </w:tr>
    </w:tbl>
    <w:p>
      <w:pPr>
        <w:pStyle w:val="Heading2"/>
        <w:spacing w:after="120" w:before="260"/>
      </w:pPr>
      <w:r>
        <w:rPr>
          <w:rFonts w:ascii="Calibri" w:cs="Calibri" w:eastAsia="Calibri" w:hAnsi="Calibri"/>
          <w:b/>
          <w:bCs/>
          <w:color w:val="2E74B5"/>
          <w:sz w:val="24"/>
          <w:szCs w:val="24"/>
        </w:rPr>
        <w:t xml:space="preserve">9.2 Phased plan</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1300"/>
        <w:gridCol w:w="2100"/>
        <w:gridCol w:w="3000"/>
        <w:gridCol w:w="2960"/>
      </w:tblGrid>
      <w:tr>
        <w:trPr>
          <w:tblHeader/>
        </w:trPr>
        <w:tc>
          <w:tcPr>
            <w:tcW w:type="dxa" w:w="13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Phase</w:t>
            </w:r>
          </w:p>
        </w:tc>
        <w:tc>
          <w:tcPr>
            <w:tcW w:type="dxa" w:w="21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Duration</w:t>
            </w:r>
          </w:p>
        </w:tc>
        <w:tc>
          <w:tcPr>
            <w:tcW w:type="dxa" w:w="30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Activities</w:t>
            </w:r>
          </w:p>
        </w:tc>
        <w:tc>
          <w:tcPr>
            <w:tcW w:type="dxa" w:w="29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Exit criteria</w:t>
            </w:r>
          </w:p>
        </w:tc>
      </w:tr>
      <w:tr>
        <w:trPr>
          <w:tblHeader w:val="false"/>
        </w:trPr>
        <w:tc>
          <w:tcPr>
            <w:tcW w:type="dxa" w:w="13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Phase 0 — Foundation</w:t>
            </w:r>
          </w:p>
        </w:tc>
        <w:tc>
          <w:tcPr>
            <w:tcW w:type="dxa" w:w="21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6–8 weeks</w:t>
            </w:r>
          </w:p>
        </w:tc>
        <w:tc>
          <w:tcPr>
            <w:tcW w:type="dxa" w:w="30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Audit existing licences and entitlements; complete the Section 6.3 readiness scorecard on one journey; establish measured conversion baseline; agree per-conversion value with Finance; select the pilot journey</w:t>
            </w:r>
          </w:p>
        </w:tc>
        <w:tc>
          <w:tcPr>
            <w:tcW w:type="dxa" w:w="29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Readiness score meets threshold; baseline and conversion value signed off; pilot journey and business owner named</w:t>
            </w:r>
          </w:p>
        </w:tc>
      </w:tr>
      <w:tr>
        <w:trPr>
          <w:tblHeader w:val="false"/>
        </w:trPr>
        <w:tc>
          <w:tcPr>
            <w:tcW w:type="dxa" w:w="13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Phase 1 — Gap remediation</w:t>
            </w:r>
          </w:p>
        </w:tc>
        <w:tc>
          <w:tcPr>
            <w:tcW w:type="dxa" w:w="21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6–10 weeks (parallel where possible)</w:t>
            </w:r>
          </w:p>
        </w:tc>
        <w:tc>
          <w:tcPr>
            <w:tcW w:type="dxa" w:w="30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Propagate variant ID end to end; build the downstream outcome feedback path; implement real-time identity merge for the pilot journey; pass consent state to decisioning</w:t>
            </w:r>
          </w:p>
        </w:tc>
        <w:tc>
          <w:tcPr>
            <w:tcW w:type="dxa" w:w="29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The variant-to-outcome join is demonstrated working on live traffic</w:t>
            </w:r>
          </w:p>
        </w:tc>
      </w:tr>
      <w:tr>
        <w:trPr>
          <w:tblHeader w:val="false"/>
        </w:trPr>
        <w:tc>
          <w:tcPr>
            <w:tcW w:type="dxa" w:w="13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Phase 2 — Proof of value</w:t>
            </w:r>
          </w:p>
        </w:tc>
        <w:tc>
          <w:tcPr>
            <w:tcW w:type="dxa" w:w="21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12 weeks</w:t>
            </w:r>
          </w:p>
        </w:tc>
        <w:tc>
          <w:tcPr>
            <w:tcW w:type="dxa" w:w="30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Deploy on one journey using existing or trial capability; run pre-registered experiments with a permanent holdout; measure uplift on the primary downstream metric and guardrails</w:t>
            </w:r>
          </w:p>
        </w:tc>
        <w:tc>
          <w:tcPr>
            <w:tcW w:type="dxa" w:w="29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Statistically significant result — positive or negative — on the pre-registered primary metric</w:t>
            </w:r>
          </w:p>
        </w:tc>
      </w:tr>
      <w:tr>
        <w:trPr>
          <w:tblHeader w:val="false"/>
        </w:trPr>
        <w:tc>
          <w:tcPr>
            <w:tcW w:type="dxa" w:w="13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Decision gate</w:t>
            </w:r>
          </w:p>
        </w:tc>
        <w:tc>
          <w:tcPr>
            <w:tcW w:type="dxa" w:w="21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2 weeks</w:t>
            </w:r>
          </w:p>
        </w:tc>
        <w:tc>
          <w:tcPr>
            <w:tcW w:type="dxa" w:w="30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Present measured uplift, run cost, operational load and extrapolated value; recommend scale, revise, or stop</w:t>
            </w:r>
          </w:p>
        </w:tc>
        <w:tc>
          <w:tcPr>
            <w:tcW w:type="dxa" w:w="29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Explicit leadership decision recorded</w:t>
            </w:r>
          </w:p>
        </w:tc>
      </w:tr>
      <w:tr>
        <w:trPr>
          <w:tblHeader w:val="false"/>
        </w:trPr>
        <w:tc>
          <w:tcPr>
            <w:tcW w:type="dxa" w:w="13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Phase 3 — Scale (conditional)</w:t>
            </w:r>
          </w:p>
        </w:tc>
        <w:tc>
          <w:tcPr>
            <w:tcW w:type="dxa" w:w="21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Not authorised in this phase</w:t>
            </w:r>
          </w:p>
        </w:tc>
        <w:tc>
          <w:tcPr>
            <w:tcW w:type="dxa" w:w="30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Formal vendor evaluation, procurement, multi-journey rollout, operating model embedding</w:t>
            </w:r>
          </w:p>
        </w:tc>
        <w:tc>
          <w:tcPr>
            <w:tcW w:type="dxa" w:w="29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Subject to the decision gate outcome</w:t>
            </w:r>
          </w:p>
        </w:tc>
      </w:tr>
    </w:tbl>
    <w:p>
      <w:pPr>
        <w:pStyle w:val="Heading2"/>
        <w:spacing w:after="120" w:before="260"/>
      </w:pPr>
      <w:r>
        <w:rPr>
          <w:rFonts w:ascii="Calibri" w:cs="Calibri" w:eastAsia="Calibri" w:hAnsi="Calibri"/>
          <w:b/>
          <w:bCs/>
          <w:color w:val="2E74B5"/>
          <w:sz w:val="24"/>
          <w:szCs w:val="24"/>
        </w:rPr>
        <w:t xml:space="preserve">9.3 Success criteria for the proof of value</w:t>
      </w:r>
    </w:p>
    <w:p>
      <w:pPr>
        <w:spacing w:after="120" w:line="276"/>
      </w:pPr>
      <w:r>
        <w:rPr>
          <w:rFonts w:ascii="Calibri" w:cs="Calibri" w:eastAsia="Calibri" w:hAnsi="Calibri"/>
          <w:b/>
          <w:bCs/>
          <w:sz w:val="21"/>
          <w:szCs w:val="21"/>
        </w:rPr>
        <w:t xml:space="preserve">These must be agreed and recorded before Phase 2 begins. Defining success after seeing the data is the most common way pilots produce unfalsifiable conclusions.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3200"/>
        <w:gridCol w:w="3160"/>
      </w:tblGrid>
      <w:tr>
        <w:trPr>
          <w:tblHeader/>
        </w:trPr>
        <w:tc>
          <w:tcPr>
            <w:tcW w:type="dxa" w:w="30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Criterion</w:t>
            </w:r>
          </w:p>
        </w:tc>
        <w:tc>
          <w:tcPr>
            <w:tcW w:type="dxa" w:w="32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Measure</w:t>
            </w:r>
          </w:p>
        </w:tc>
        <w:tc>
          <w:tcPr>
            <w:tcW w:type="dxa" w:w="31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Threshold</w:t>
            </w:r>
          </w:p>
        </w:tc>
      </w:tr>
      <w:tr>
        <w:trPr>
          <w:tblHeader w:val="false"/>
        </w:trPr>
        <w:tc>
          <w:tcPr>
            <w:tcW w:type="dxa" w:w="30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Primary — conversion uplift</w:t>
            </w:r>
          </w:p>
        </w:tc>
        <w:tc>
          <w:tcPr>
            <w:tcW w:type="dxa" w:w="32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Qualified downstream conversion rate versus held-out control</w:t>
            </w:r>
          </w:p>
        </w:tc>
        <w:tc>
          <w:tcPr>
            <w:tcW w:type="dxa" w:w="31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Statistically significant at a pre-agreed power and confidence level; to be set once baseline volume is known</w:t>
            </w:r>
          </w:p>
        </w:tc>
      </w:tr>
      <w:tr>
        <w:trPr>
          <w:tblHeader w:val="false"/>
        </w:trPr>
        <w:tc>
          <w:tcPr>
            <w:tcW w:type="dxa" w:w="30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Secondary — efficiency</w:t>
            </w:r>
          </w:p>
        </w:tc>
        <w:tc>
          <w:tcPr>
            <w:tcW w:type="dxa" w:w="32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Analyst and agency hours per optimization cycle; variants evaluated per quarter</w:t>
            </w:r>
          </w:p>
        </w:tc>
        <w:tc>
          <w:tcPr>
            <w:tcW w:type="dxa" w:w="31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Measurable reduction in hours and increase in variants versus the current manual baseline</w:t>
            </w:r>
          </w:p>
        </w:tc>
      </w:tr>
      <w:tr>
        <w:trPr>
          <w:tblHeader w:val="false"/>
        </w:trPr>
        <w:tc>
          <w:tcPr>
            <w:tcW w:type="dxa" w:w="30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Guardrail — outcome quality</w:t>
            </w:r>
          </w:p>
        </w:tc>
        <w:tc>
          <w:tcPr>
            <w:tcW w:type="dxa" w:w="32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Approval or qualification rate of resulting applications</w:t>
            </w:r>
          </w:p>
        </w:tc>
        <w:tc>
          <w:tcPr>
            <w:tcW w:type="dxa" w:w="31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No material degradation versus control</w:t>
            </w:r>
          </w:p>
        </w:tc>
      </w:tr>
      <w:tr>
        <w:trPr>
          <w:tblHeader w:val="false"/>
        </w:trPr>
        <w:tc>
          <w:tcPr>
            <w:tcW w:type="dxa" w:w="30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Guardrail — page performance</w:t>
            </w:r>
          </w:p>
        </w:tc>
        <w:tc>
          <w:tcPr>
            <w:tcW w:type="dxa" w:w="32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Core Web Vitals on the pilot journey</w:t>
            </w:r>
          </w:p>
        </w:tc>
        <w:tc>
          <w:tcPr>
            <w:tcW w:type="dxa" w:w="31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No regression beyond an agreed threshold; automatic rollback if breached</w:t>
            </w:r>
          </w:p>
        </w:tc>
      </w:tr>
      <w:tr>
        <w:trPr>
          <w:tblHeader w:val="false"/>
        </w:trPr>
        <w:tc>
          <w:tcPr>
            <w:tcW w:type="dxa" w:w="30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Guardrail — fair treatment</w:t>
            </w:r>
          </w:p>
        </w:tc>
        <w:tc>
          <w:tcPr>
            <w:tcW w:type="dxa" w:w="32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Outcome distribution across monitored groups</w:t>
            </w:r>
          </w:p>
        </w:tc>
        <w:tc>
          <w:tcPr>
            <w:tcW w:type="dxa" w:w="31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No adverse differential outcome</w:t>
            </w:r>
          </w:p>
        </w:tc>
      </w:tr>
      <w:tr>
        <w:trPr>
          <w:tblHeader w:val="false"/>
        </w:trPr>
        <w:tc>
          <w:tcPr>
            <w:tcW w:type="dxa" w:w="30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Feasibility — data</w:t>
            </w:r>
          </w:p>
        </w:tc>
        <w:tc>
          <w:tcPr>
            <w:tcW w:type="dxa" w:w="32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Percentage of conversions successfully joined to the variant served</w:t>
            </w:r>
          </w:p>
        </w:tc>
        <w:tc>
          <w:tcPr>
            <w:tcW w:type="dxa" w:w="31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Above an agreed completeness threshold — this is the true test of whether the loop closes</w:t>
            </w:r>
          </w:p>
        </w:tc>
      </w:tr>
    </w:tbl>
    <w:p>
      <w:pPr>
        <w:pStyle w:val="Heading2"/>
        <w:spacing w:after="120" w:before="260"/>
      </w:pPr>
      <w:r>
        <w:rPr>
          <w:rFonts w:ascii="Calibri" w:cs="Calibri" w:eastAsia="Calibri" w:hAnsi="Calibri"/>
          <w:b/>
          <w:bCs/>
          <w:color w:val="2E74B5"/>
          <w:sz w:val="24"/>
          <w:szCs w:val="24"/>
        </w:rPr>
        <w:t xml:space="preserve">9.4 What is required from leadership</w:t>
      </w:r>
    </w:p>
    <w:p>
      <w:pPr>
        <w:pStyle w:val="ListParagraph"/>
        <w:numPr>
          <w:ilvl w:val="0"/>
          <w:numId w:val="2"/>
        </w:numPr>
        <w:spacing w:after="70" w:line="270"/>
      </w:pPr>
      <w:r>
        <w:rPr>
          <w:rFonts w:ascii="Calibri" w:cs="Calibri" w:eastAsia="Calibri" w:hAnsi="Calibri"/>
          <w:sz w:val="21"/>
          <w:szCs w:val="21"/>
        </w:rPr>
        <w:t xml:space="preserve">Approval to proceed to Phase 0 and Phase 1, with the associated internal effort.</w:t>
      </w:r>
    </w:p>
    <w:p>
      <w:pPr>
        <w:pStyle w:val="ListParagraph"/>
        <w:numPr>
          <w:ilvl w:val="0"/>
          <w:numId w:val="2"/>
        </w:numPr>
        <w:spacing w:after="70" w:line="270"/>
      </w:pPr>
      <w:r>
        <w:rPr>
          <w:rFonts w:ascii="Calibri" w:cs="Calibri" w:eastAsia="Calibri" w:hAnsi="Calibri"/>
          <w:sz w:val="21"/>
          <w:szCs w:val="21"/>
        </w:rPr>
        <w:t xml:space="preserve">Nomination of the pilot journey and appointment of an accountable business owner.</w:t>
      </w:r>
    </w:p>
    <w:p>
      <w:pPr>
        <w:pStyle w:val="ListParagraph"/>
        <w:numPr>
          <w:ilvl w:val="0"/>
          <w:numId w:val="2"/>
        </w:numPr>
        <w:spacing w:after="70" w:line="270"/>
      </w:pPr>
      <w:r>
        <w:rPr>
          <w:rFonts w:ascii="Calibri" w:cs="Calibri" w:eastAsia="Calibri" w:hAnsi="Calibri"/>
          <w:sz w:val="21"/>
          <w:szCs w:val="21"/>
        </w:rPr>
        <w:t xml:space="preserve">A Finance-agreed value per conversion, without which no benefit claim will be auditable.</w:t>
      </w:r>
    </w:p>
    <w:p>
      <w:pPr>
        <w:pStyle w:val="ListParagraph"/>
        <w:numPr>
          <w:ilvl w:val="0"/>
          <w:numId w:val="2"/>
        </w:numPr>
        <w:spacing w:after="70" w:line="270"/>
      </w:pPr>
      <w:r>
        <w:rPr>
          <w:rFonts w:ascii="Calibri" w:cs="Calibri" w:eastAsia="Calibri" w:hAnsi="Calibri"/>
          <w:sz w:val="21"/>
          <w:szCs w:val="21"/>
        </w:rPr>
        <w:t xml:space="preserve">Commitment of content production capacity for the pilot period.</w:t>
      </w:r>
    </w:p>
    <w:p>
      <w:pPr>
        <w:pStyle w:val="ListParagraph"/>
        <w:numPr>
          <w:ilvl w:val="0"/>
          <w:numId w:val="2"/>
        </w:numPr>
        <w:spacing w:after="70" w:line="270"/>
      </w:pPr>
      <w:r>
        <w:rPr>
          <w:rFonts w:ascii="Calibri" w:cs="Calibri" w:eastAsia="Calibri" w:hAnsi="Calibri"/>
          <w:sz w:val="21"/>
          <w:szCs w:val="21"/>
        </w:rPr>
        <w:t xml:space="preserve">Acceptance that a negative pilot result is a successful outcome of this process — it prevents a materially larger misallocation of investment.</w:t>
      </w:r>
    </w:p>
    <w:p>
      <w:pPr>
        <w:pStyle w:val="Heading2"/>
        <w:spacing w:after="120" w:before="260"/>
      </w:pPr>
      <w:r>
        <w:rPr>
          <w:rFonts w:ascii="Calibri" w:cs="Calibri" w:eastAsia="Calibri" w:hAnsi="Calibri"/>
          <w:b/>
          <w:bCs/>
          <w:color w:val="2E74B5"/>
          <w:sz w:val="24"/>
          <w:szCs w:val="24"/>
        </w:rPr>
        <w:t xml:space="preserve">9.5 If leadership chooses not to proceed</w:t>
      </w:r>
    </w:p>
    <w:p>
      <w:pPr>
        <w:spacing w:after="120" w:line="276"/>
      </w:pPr>
      <w:r>
        <w:rPr>
          <w:rFonts w:ascii="Calibri" w:cs="Calibri" w:eastAsia="Calibri" w:hAnsi="Calibri"/>
          <w:sz w:val="21"/>
          <w:szCs w:val="21"/>
        </w:rPr>
        <w:t xml:space="preserve">The status quo is a defensible position, but it carries a cost that should be stated. Optimization throughput remains capped by manual test cycle time, personalization remains segment-level at best, winning variants continue to decay undetected, and the organisation remains dependent on agency capacity for optimization capability. The gap against competitors operating at maturity Level 3 or 4 widens gradually rather than suddenly, which makes it easy to defer indefinitely.</w:t>
      </w:r>
    </w:p>
    <w:p>
      <w:pPr>
        <w:spacing w:after="120" w:line="276"/>
      </w:pPr>
      <w:r>
        <w:rPr>
          <w:rFonts w:ascii="Calibri" w:cs="Calibri" w:eastAsia="Calibri" w:hAnsi="Calibri"/>
          <w:b/>
          <w:bCs/>
          <w:sz w:val="21"/>
          <w:szCs w:val="21"/>
        </w:rPr>
        <w:t xml:space="preserve">A reduced-scope alternative exists: undertake Phase 0 and Phase 1 only. The data remediation work — end-to-end variant tracking, downstream outcome feedback, real-time identity resolution, a governed event taxonomy — delivers independent value to analytics, reporting and attribution regardless of whether any personalization platform is ever purchased. This is the lowest-regret option available.</w:t>
      </w:r>
    </w:p>
    <w:p>
      <w:r>
        <w:br w:type="page"/>
      </w:r>
    </w:p>
    <w:p>
      <w:pPr>
        <w:pStyle w:val="Heading1"/>
        <w:spacing w:after="160" w:before="360"/>
      </w:pPr>
      <w:r>
        <w:rPr>
          <w:rFonts w:ascii="Calibri" w:cs="Calibri" w:eastAsia="Calibri" w:hAnsi="Calibri"/>
          <w:b/>
          <w:bCs/>
          <w:color w:val="1F3864"/>
          <w:sz w:val="30"/>
          <w:szCs w:val="30"/>
        </w:rPr>
        <w:t xml:space="preserve">10. Key Questions — Direct Answers</w:t>
      </w:r>
    </w:p>
    <w:p>
      <w:pPr>
        <w:spacing w:after="120" w:line="276"/>
      </w:pPr>
      <w:r>
        <w:rPr>
          <w:rFonts w:ascii="Calibri" w:cs="Calibri" w:eastAsia="Calibri" w:hAnsi="Calibri"/>
          <w:sz w:val="21"/>
          <w:szCs w:val="21"/>
        </w:rPr>
        <w:t xml:space="preserve">Summary responses to the questions posed in the requirement brief. Full reasoning is in the referenced sections.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5560"/>
        <w:gridCol w:w="800"/>
      </w:tblGrid>
      <w:tr>
        <w:trPr>
          <w:tblHeader/>
        </w:trPr>
        <w:tc>
          <w:tcPr>
            <w:tcW w:type="dxa" w:w="30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Question</w:t>
            </w:r>
          </w:p>
        </w:tc>
        <w:tc>
          <w:tcPr>
            <w:tcW w:type="dxa" w:w="556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Answer</w:t>
            </w:r>
          </w:p>
        </w:tc>
        <w:tc>
          <w:tcPr>
            <w:tcW w:type="dxa" w:w="800"/>
            <w:shd w:fill="1F3864" w:color="auto" w:val="clear"/>
            <w:tcMar>
              <w:top w:type="dxa" w:w="70"/>
              <w:left w:type="dxa" w:w="110"/>
              <w:bottom w:type="dxa" w:w="70"/>
              <w:right w:type="dxa" w:w="110"/>
            </w:tcMar>
            <w:vAlign w:val="center"/>
          </w:tcPr>
          <w:p>
            <w:pPr>
              <w:spacing w:after="0" w:line="250"/>
            </w:pPr>
            <w:r>
              <w:rPr>
                <w:rFonts w:ascii="Calibri" w:cs="Calibri" w:eastAsia="Calibri" w:hAnsi="Calibri"/>
                <w:b/>
                <w:bCs/>
                <w:color w:val="FFFFFF"/>
                <w:sz w:val="18"/>
                <w:szCs w:val="18"/>
              </w:rPr>
              <w:t xml:space="preserve">Ref</w:t>
            </w:r>
          </w:p>
        </w:tc>
      </w:tr>
      <w:tr>
        <w:trPr>
          <w:tblHeader w:val="false"/>
        </w:trPr>
        <w:tc>
          <w:tcPr>
            <w:tcW w:type="dxa" w:w="30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What is Loop Engineering?</w:t>
            </w:r>
          </w:p>
        </w:tc>
        <w:tc>
          <w:tcPr>
            <w:tcW w:type="dxa" w:w="55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The discipline of building a continuous, automated feedback cycle — observe, resolve, decide, deliver, measure, learn — in which the digital experience improves itself from measured outcomes without manual intervention. The distinguishing feature is the automated return path from outcome to decision; without it, a system personalises but does not learn.</w:t>
            </w:r>
          </w:p>
        </w:tc>
        <w:tc>
          <w:tcPr>
            <w:tcW w:type="dxa" w:w="8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§3.1</w:t>
            </w:r>
          </w:p>
        </w:tc>
      </w:tr>
      <w:tr>
        <w:trPr>
          <w:tblHeader w:val="false"/>
        </w:trPr>
        <w:tc>
          <w:tcPr>
            <w:tcW w:type="dxa" w:w="30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What data is required?</w:t>
            </w:r>
          </w:p>
        </w:tc>
        <w:tc>
          <w:tcPr>
            <w:tcW w:type="dxa" w:w="55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Behavioural, campaign and context, content and variant, outcome, identity, consent, customer profile and commercial value data. The minimum viable event set is six events, each carrying consistent visitor, session and variant identifiers.</w:t>
            </w:r>
          </w:p>
        </w:tc>
        <w:tc>
          <w:tcPr>
            <w:tcW w:type="dxa" w:w="8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§5.1–5.2</w:t>
            </w:r>
          </w:p>
        </w:tc>
      </w:tr>
      <w:tr>
        <w:trPr>
          <w:tblHeader w:val="false"/>
        </w:trPr>
        <w:tc>
          <w:tcPr>
            <w:tcW w:type="dxa" w:w="30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What data exists today?</w:t>
            </w:r>
          </w:p>
        </w:tc>
        <w:tc>
          <w:tcPr>
            <w:tcW w:type="dxa" w:w="55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Not determinable in this phase — no internal data access was available. Section 6.3 provides the scorecard to answer this during the readiness sprint. Organisations at this maturity level typically have strong front-end behavioural data and weak downstream outcome linkage.</w:t>
            </w:r>
          </w:p>
        </w:tc>
        <w:tc>
          <w:tcPr>
            <w:tcW w:type="dxa" w:w="8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§6</w:t>
            </w:r>
          </w:p>
        </w:tc>
      </w:tr>
      <w:tr>
        <w:trPr>
          <w:tblHeader w:val="false"/>
        </w:trPr>
        <w:tc>
          <w:tcPr>
            <w:tcW w:type="dxa" w:w="30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What gaps exist?</w:t>
            </w:r>
          </w:p>
        </w:tc>
        <w:tc>
          <w:tcPr>
            <w:tcW w:type="dxa" w:w="55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The two most likely critical gaps are variant identifier propagation into downstream systems, and the absence of a return feed of commercial outcomes from fulfilment and servicing. Both break the loop directly. Eight anticipated gaps are registered for validation.</w:t>
            </w:r>
          </w:p>
        </w:tc>
        <w:tc>
          <w:tcPr>
            <w:tcW w:type="dxa" w:w="8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§6.2</w:t>
            </w:r>
          </w:p>
        </w:tc>
      </w:tr>
      <w:tr>
        <w:trPr>
          <w:tblHeader w:val="false"/>
        </w:trPr>
        <w:tc>
          <w:tcPr>
            <w:tcW w:type="dxa" w:w="30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What platforms support this?</w:t>
            </w:r>
          </w:p>
        </w:tc>
        <w:tc>
          <w:tcPr>
            <w:tcW w:type="dxa" w:w="55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A mature market across six categories: enterprise experience suites, experimentation platforms, personalization engines, customer data platforms, behavioural analytics, and composable build. Twelve vendors were assessed in the February 2026 Gartner Magic Quadrant for Personalization Engines. An audit of existing entitlements should precede market engagement.</w:t>
            </w:r>
          </w:p>
        </w:tc>
        <w:tc>
          <w:tcPr>
            <w:tcW w:type="dxa" w:w="8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§4.2, §4.4</w:t>
            </w:r>
          </w:p>
        </w:tc>
      </w:tr>
      <w:tr>
        <w:trPr>
          <w:tblHeader w:val="false"/>
        </w:trPr>
        <w:tc>
          <w:tcPr>
            <w:tcW w:type="dxa" w:w="30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Is it technically viable?</w:t>
            </w:r>
          </w:p>
        </w:tc>
        <w:tc>
          <w:tcPr>
            <w:tcW w:type="dxa" w:w="556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Yes. No novel technology is required. Risk sits in data integration and quality, not in capability availability.</w:t>
            </w:r>
          </w:p>
        </w:tc>
        <w:tc>
          <w:tcPr>
            <w:tcW w:type="dxa" w:w="800"/>
            <w:shd w:fill="F2F5F9" w:color="auto" w:val="clear"/>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§7.1</w:t>
            </w:r>
          </w:p>
        </w:tc>
      </w:tr>
      <w:tr>
        <w:trPr>
          <w:tblHeader w:val="false"/>
        </w:trPr>
        <w:tc>
          <w:tcPr>
            <w:tcW w:type="dxa" w:w="30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Is it commercially viable?</w:t>
            </w:r>
          </w:p>
        </w:tc>
        <w:tc>
          <w:tcPr>
            <w:tcW w:type="dxa" w:w="556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Undetermined and not determinable from published evidence. Requires internal baseline traffic and conversion data, a Finance-agreed conversion value, and a measured uplift from a controlled pilot.</w:t>
            </w:r>
          </w:p>
        </w:tc>
        <w:tc>
          <w:tcPr>
            <w:tcW w:type="dxa" w:w="800"/>
            <w:tcMar>
              <w:top w:type="dxa" w:w="70"/>
              <w:left w:type="dxa" w:w="110"/>
              <w:bottom w:type="dxa" w:w="70"/>
              <w:right w:type="dxa" w:w="110"/>
            </w:tcMar>
            <w:vAlign w:val="center"/>
          </w:tcPr>
          <w:p>
            <w:pPr>
              <w:spacing w:after="0" w:line="250"/>
            </w:pPr>
            <w:r>
              <w:rPr>
                <w:rFonts w:ascii="Calibri" w:cs="Calibri" w:eastAsia="Calibri" w:hAnsi="Calibri"/>
                <w:sz w:val="18"/>
                <w:szCs w:val="18"/>
              </w:rPr>
              <w:t xml:space="preserve">§7.2</w:t>
            </w:r>
          </w:p>
        </w:tc>
      </w:tr>
    </w:tbl>
    <w:p>
      <w:r>
        <w:br w:type="page"/>
      </w:r>
    </w:p>
    <w:p>
      <w:pPr>
        <w:pStyle w:val="Heading1"/>
        <w:spacing w:after="160" w:before="360"/>
      </w:pPr>
      <w:r>
        <w:rPr>
          <w:rFonts w:ascii="Calibri" w:cs="Calibri" w:eastAsia="Calibri" w:hAnsi="Calibri"/>
          <w:b/>
          <w:bCs/>
          <w:color w:val="1F3864"/>
          <w:sz w:val="30"/>
          <w:szCs w:val="30"/>
        </w:rPr>
        <w:t xml:space="preserve">Appendix A — Stakeholder Interview Guide</w:t>
      </w:r>
    </w:p>
    <w:p>
      <w:pPr>
        <w:spacing w:after="120" w:line="276"/>
      </w:pPr>
      <w:r>
        <w:rPr>
          <w:rFonts w:ascii="Calibri" w:cs="Calibri" w:eastAsia="Calibri" w:hAnsi="Calibri"/>
          <w:sz w:val="21"/>
          <w:szCs w:val="21"/>
        </w:rPr>
        <w:t xml:space="preserve">Use during Phase 0 to complete the gap analysis. Grouped by function.</w:t>
      </w:r>
    </w:p>
    <w:p>
      <w:pPr>
        <w:pStyle w:val="Heading3"/>
        <w:spacing w:after="100" w:before="200"/>
      </w:pPr>
      <w:r>
        <w:rPr>
          <w:rFonts w:ascii="Calibri" w:cs="Calibri" w:eastAsia="Calibri" w:hAnsi="Calibri"/>
          <w:b/>
          <w:bCs/>
          <w:color w:val="333333"/>
          <w:sz w:val="21"/>
          <w:szCs w:val="21"/>
        </w:rPr>
        <w:t xml:space="preserve">Digital Acquisition / Marketing</w:t>
      </w:r>
    </w:p>
    <w:p>
      <w:pPr>
        <w:pStyle w:val="ListParagraph"/>
        <w:numPr>
          <w:ilvl w:val="0"/>
          <w:numId w:val="3"/>
        </w:numPr>
        <w:spacing w:after="70" w:line="270"/>
      </w:pPr>
      <w:r>
        <w:rPr>
          <w:rFonts w:ascii="Calibri" w:cs="Calibri" w:eastAsia="Calibri" w:hAnsi="Calibri"/>
          <w:sz w:val="21"/>
          <w:szCs w:val="21"/>
        </w:rPr>
        <w:t xml:space="preserve">Which acquisition journeys carry the highest volume, and what is each one's current conversion rate?</w:t>
      </w:r>
    </w:p>
    <w:p>
      <w:pPr>
        <w:pStyle w:val="ListParagraph"/>
        <w:numPr>
          <w:ilvl w:val="0"/>
          <w:numId w:val="3"/>
        </w:numPr>
        <w:spacing w:after="70" w:line="270"/>
      </w:pPr>
      <w:r>
        <w:rPr>
          <w:rFonts w:ascii="Calibri" w:cs="Calibri" w:eastAsia="Calibri" w:hAnsi="Calibri"/>
          <w:sz w:val="21"/>
          <w:szCs w:val="21"/>
        </w:rPr>
        <w:t xml:space="preserve">How many landing page tests were run in the last twelve months? How many reached significance? How many findings were implemented?</w:t>
      </w:r>
    </w:p>
    <w:p>
      <w:pPr>
        <w:pStyle w:val="ListParagraph"/>
        <w:numPr>
          <w:ilvl w:val="0"/>
          <w:numId w:val="3"/>
        </w:numPr>
        <w:spacing w:after="70" w:line="270"/>
      </w:pPr>
      <w:r>
        <w:rPr>
          <w:rFonts w:ascii="Calibri" w:cs="Calibri" w:eastAsia="Calibri" w:hAnsi="Calibri"/>
          <w:sz w:val="21"/>
          <w:szCs w:val="21"/>
        </w:rPr>
        <w:t xml:space="preserve">How long does a single optimization cycle take from hypothesis to implemented change?</w:t>
      </w:r>
    </w:p>
    <w:p>
      <w:pPr>
        <w:pStyle w:val="ListParagraph"/>
        <w:numPr>
          <w:ilvl w:val="0"/>
          <w:numId w:val="3"/>
        </w:numPr>
        <w:spacing w:after="70" w:line="270"/>
      </w:pPr>
      <w:r>
        <w:rPr>
          <w:rFonts w:ascii="Calibri" w:cs="Calibri" w:eastAsia="Calibri" w:hAnsi="Calibri"/>
          <w:sz w:val="21"/>
          <w:szCs w:val="21"/>
        </w:rPr>
        <w:t xml:space="preserve">What content variation capacity exists in-house versus at the agency, and what is the realistic monthly variant output?</w:t>
      </w:r>
    </w:p>
    <w:p>
      <w:pPr>
        <w:pStyle w:val="ListParagraph"/>
        <w:numPr>
          <w:ilvl w:val="0"/>
          <w:numId w:val="3"/>
        </w:numPr>
        <w:spacing w:after="70" w:line="270"/>
      </w:pPr>
      <w:r>
        <w:rPr>
          <w:rFonts w:ascii="Calibri" w:cs="Calibri" w:eastAsia="Calibri" w:hAnsi="Calibri"/>
          <w:sz w:val="21"/>
          <w:szCs w:val="21"/>
        </w:rPr>
        <w:t xml:space="preserve">What personalization rules are already live, who owns them, and when were they last reviewed?</w:t>
      </w:r>
    </w:p>
    <w:p>
      <w:pPr>
        <w:pStyle w:val="Heading3"/>
        <w:spacing w:after="100" w:before="200"/>
      </w:pPr>
      <w:r>
        <w:rPr>
          <w:rFonts w:ascii="Calibri" w:cs="Calibri" w:eastAsia="Calibri" w:hAnsi="Calibri"/>
          <w:b/>
          <w:bCs/>
          <w:color w:val="333333"/>
          <w:sz w:val="21"/>
          <w:szCs w:val="21"/>
        </w:rPr>
        <w:t xml:space="preserve">Analytics</w:t>
      </w:r>
    </w:p>
    <w:p>
      <w:pPr>
        <w:pStyle w:val="ListParagraph"/>
        <w:numPr>
          <w:ilvl w:val="0"/>
          <w:numId w:val="3"/>
        </w:numPr>
        <w:spacing w:after="70" w:line="270"/>
      </w:pPr>
      <w:r>
        <w:rPr>
          <w:rFonts w:ascii="Calibri" w:cs="Calibri" w:eastAsia="Calibri" w:hAnsi="Calibri"/>
          <w:sz w:val="21"/>
          <w:szCs w:val="21"/>
        </w:rPr>
        <w:t xml:space="preserve">Is there a single governed event taxonomy, or does it differ by property and team?</w:t>
      </w:r>
    </w:p>
    <w:p>
      <w:pPr>
        <w:pStyle w:val="ListParagraph"/>
        <w:numPr>
          <w:ilvl w:val="0"/>
          <w:numId w:val="3"/>
        </w:numPr>
        <w:spacing w:after="70" w:line="270"/>
      </w:pPr>
      <w:r>
        <w:rPr>
          <w:rFonts w:ascii="Calibri" w:cs="Calibri" w:eastAsia="Calibri" w:hAnsi="Calibri"/>
          <w:sz w:val="21"/>
          <w:szCs w:val="21"/>
        </w:rPr>
        <w:t xml:space="preserve">Is the variant served recorded on downstream analytics events? Can you produce a variant-level conversion report today?</w:t>
      </w:r>
    </w:p>
    <w:p>
      <w:pPr>
        <w:pStyle w:val="ListParagraph"/>
        <w:numPr>
          <w:ilvl w:val="0"/>
          <w:numId w:val="3"/>
        </w:numPr>
        <w:spacing w:after="70" w:line="270"/>
      </w:pPr>
      <w:r>
        <w:rPr>
          <w:rFonts w:ascii="Calibri" w:cs="Calibri" w:eastAsia="Calibri" w:hAnsi="Calibri"/>
          <w:sz w:val="21"/>
          <w:szCs w:val="21"/>
        </w:rPr>
        <w:t xml:space="preserve">What proportion of traffic is lost to tag failure, ad blocking and consent opt-out?</w:t>
      </w:r>
    </w:p>
    <w:p>
      <w:pPr>
        <w:pStyle w:val="ListParagraph"/>
        <w:numPr>
          <w:ilvl w:val="0"/>
          <w:numId w:val="3"/>
        </w:numPr>
        <w:spacing w:after="70" w:line="270"/>
      </w:pPr>
      <w:r>
        <w:rPr>
          <w:rFonts w:ascii="Calibri" w:cs="Calibri" w:eastAsia="Calibri" w:hAnsi="Calibri"/>
          <w:sz w:val="21"/>
          <w:szCs w:val="21"/>
        </w:rPr>
        <w:t xml:space="preserve">Is any event collection server-side, or is it entirely client-side?</w:t>
      </w:r>
    </w:p>
    <w:p>
      <w:pPr>
        <w:pStyle w:val="Heading3"/>
        <w:spacing w:after="100" w:before="200"/>
      </w:pPr>
      <w:r>
        <w:rPr>
          <w:rFonts w:ascii="Calibri" w:cs="Calibri" w:eastAsia="Calibri" w:hAnsi="Calibri"/>
          <w:b/>
          <w:bCs/>
          <w:color w:val="333333"/>
          <w:sz w:val="21"/>
          <w:szCs w:val="21"/>
        </w:rPr>
        <w:t xml:space="preserve">Data / Engineering</w:t>
      </w:r>
    </w:p>
    <w:p>
      <w:pPr>
        <w:pStyle w:val="ListParagraph"/>
        <w:numPr>
          <w:ilvl w:val="0"/>
          <w:numId w:val="3"/>
        </w:numPr>
        <w:spacing w:after="70" w:line="270"/>
      </w:pPr>
      <w:r>
        <w:rPr>
          <w:rFonts w:ascii="Calibri" w:cs="Calibri" w:eastAsia="Calibri" w:hAnsi="Calibri"/>
          <w:sz w:val="21"/>
          <w:szCs w:val="21"/>
        </w:rPr>
        <w:t xml:space="preserve">Is there a CDP or identity resolution service? Is the anonymous-to-known merge real-time or batch?</w:t>
      </w:r>
    </w:p>
    <w:p>
      <w:pPr>
        <w:pStyle w:val="ListParagraph"/>
        <w:numPr>
          <w:ilvl w:val="0"/>
          <w:numId w:val="3"/>
        </w:numPr>
        <w:spacing w:after="70" w:line="270"/>
      </w:pPr>
      <w:r>
        <w:rPr>
          <w:rFonts w:ascii="Calibri" w:cs="Calibri" w:eastAsia="Calibri" w:hAnsi="Calibri"/>
          <w:sz w:val="21"/>
          <w:szCs w:val="21"/>
        </w:rPr>
        <w:t xml:space="preserve">What is the latency from a conversion occurring to that outcome being queryable?</w:t>
      </w:r>
    </w:p>
    <w:p>
      <w:pPr>
        <w:pStyle w:val="ListParagraph"/>
        <w:numPr>
          <w:ilvl w:val="0"/>
          <w:numId w:val="3"/>
        </w:numPr>
        <w:spacing w:after="70" w:line="270"/>
      </w:pPr>
      <w:r>
        <w:rPr>
          <w:rFonts w:ascii="Calibri" w:cs="Calibri" w:eastAsia="Calibri" w:hAnsi="Calibri"/>
          <w:sz w:val="21"/>
          <w:szCs w:val="21"/>
        </w:rPr>
        <w:t xml:space="preserve">Can fulfilment and servicing systems accept and return a session or variant identifier?</w:t>
      </w:r>
    </w:p>
    <w:p>
      <w:pPr>
        <w:pStyle w:val="ListParagraph"/>
        <w:numPr>
          <w:ilvl w:val="0"/>
          <w:numId w:val="3"/>
        </w:numPr>
        <w:spacing w:after="70" w:line="270"/>
      </w:pPr>
      <w:r>
        <w:rPr>
          <w:rFonts w:ascii="Calibri" w:cs="Calibri" w:eastAsia="Calibri" w:hAnsi="Calibri"/>
          <w:sz w:val="21"/>
          <w:szCs w:val="21"/>
        </w:rPr>
        <w:t xml:space="preserve">What is the CMS component model — can content slots be varied without a release?</w:t>
      </w:r>
    </w:p>
    <w:p>
      <w:pPr>
        <w:pStyle w:val="Heading3"/>
        <w:spacing w:after="100" w:before="200"/>
      </w:pPr>
      <w:r>
        <w:rPr>
          <w:rFonts w:ascii="Calibri" w:cs="Calibri" w:eastAsia="Calibri" w:hAnsi="Calibri"/>
          <w:b/>
          <w:bCs/>
          <w:color w:val="333333"/>
          <w:sz w:val="21"/>
          <w:szCs w:val="21"/>
        </w:rPr>
        <w:t xml:space="preserve">Risk, Legal and Compliance</w:t>
      </w:r>
    </w:p>
    <w:p>
      <w:pPr>
        <w:pStyle w:val="ListParagraph"/>
        <w:numPr>
          <w:ilvl w:val="0"/>
          <w:numId w:val="3"/>
        </w:numPr>
        <w:spacing w:after="70" w:line="270"/>
      </w:pPr>
      <w:r>
        <w:rPr>
          <w:rFonts w:ascii="Calibri" w:cs="Calibri" w:eastAsia="Calibri" w:hAnsi="Calibri"/>
          <w:sz w:val="21"/>
          <w:szCs w:val="21"/>
        </w:rPr>
        <w:t xml:space="preserve">What consent purposes are captured, and what is the consent rate for behavioural processing?</w:t>
      </w:r>
    </w:p>
    <w:p>
      <w:pPr>
        <w:pStyle w:val="ListParagraph"/>
        <w:numPr>
          <w:ilvl w:val="0"/>
          <w:numId w:val="3"/>
        </w:numPr>
        <w:spacing w:after="70" w:line="270"/>
      </w:pPr>
      <w:r>
        <w:rPr>
          <w:rFonts w:ascii="Calibri" w:cs="Calibri" w:eastAsia="Calibri" w:hAnsi="Calibri"/>
          <w:sz w:val="21"/>
          <w:szCs w:val="21"/>
        </w:rPr>
        <w:t xml:space="preserve">What content on these journeys is regulated and therefore not variable?</w:t>
      </w:r>
    </w:p>
    <w:p>
      <w:pPr>
        <w:pStyle w:val="ListParagraph"/>
        <w:numPr>
          <w:ilvl w:val="0"/>
          <w:numId w:val="3"/>
        </w:numPr>
        <w:spacing w:after="70" w:line="270"/>
      </w:pPr>
      <w:r>
        <w:rPr>
          <w:rFonts w:ascii="Calibri" w:cs="Calibri" w:eastAsia="Calibri" w:hAnsi="Calibri"/>
          <w:sz w:val="21"/>
          <w:szCs w:val="21"/>
        </w:rPr>
        <w:t xml:space="preserve">What approval and audit requirements apply to automated content decisions?</w:t>
      </w:r>
    </w:p>
    <w:p>
      <w:pPr>
        <w:pStyle w:val="ListParagraph"/>
        <w:numPr>
          <w:ilvl w:val="0"/>
          <w:numId w:val="3"/>
        </w:numPr>
        <w:spacing w:after="70" w:line="270"/>
      </w:pPr>
      <w:r>
        <w:rPr>
          <w:rFonts w:ascii="Calibri" w:cs="Calibri" w:eastAsia="Calibri" w:hAnsi="Calibri"/>
          <w:sz w:val="21"/>
          <w:szCs w:val="21"/>
        </w:rPr>
        <w:t xml:space="preserve">What fair-treatment monitoring would be expected of an automated decisioning system?</w:t>
      </w:r>
    </w:p>
    <w:p>
      <w:pPr>
        <w:pStyle w:val="Heading3"/>
        <w:spacing w:after="100" w:before="200"/>
      </w:pPr>
      <w:r>
        <w:rPr>
          <w:rFonts w:ascii="Calibri" w:cs="Calibri" w:eastAsia="Calibri" w:hAnsi="Calibri"/>
          <w:b/>
          <w:bCs/>
          <w:color w:val="333333"/>
          <w:sz w:val="21"/>
          <w:szCs w:val="21"/>
        </w:rPr>
        <w:t xml:space="preserve">Finance</w:t>
      </w:r>
    </w:p>
    <w:p>
      <w:pPr>
        <w:pStyle w:val="ListParagraph"/>
        <w:numPr>
          <w:ilvl w:val="0"/>
          <w:numId w:val="3"/>
        </w:numPr>
        <w:spacing w:after="70" w:line="270"/>
      </w:pPr>
      <w:r>
        <w:rPr>
          <w:rFonts w:ascii="Calibri" w:cs="Calibri" w:eastAsia="Calibri" w:hAnsi="Calibri"/>
          <w:sz w:val="21"/>
          <w:szCs w:val="21"/>
        </w:rPr>
        <w:t xml:space="preserve">What is the agreed value of a conversion by product and channel?</w:t>
      </w:r>
    </w:p>
    <w:p>
      <w:pPr>
        <w:pStyle w:val="ListParagraph"/>
        <w:numPr>
          <w:ilvl w:val="0"/>
          <w:numId w:val="3"/>
        </w:numPr>
        <w:spacing w:after="70" w:line="270"/>
      </w:pPr>
      <w:r>
        <w:rPr>
          <w:rFonts w:ascii="Calibri" w:cs="Calibri" w:eastAsia="Calibri" w:hAnsi="Calibri"/>
          <w:sz w:val="21"/>
          <w:szCs w:val="21"/>
        </w:rPr>
        <w:t xml:space="preserve">What is current cost per acquisition, and what is the current agency spend on optimization activity?</w:t>
      </w:r>
    </w:p>
    <w:p>
      <w:pPr>
        <w:pStyle w:val="ListParagraph"/>
        <w:numPr>
          <w:ilvl w:val="0"/>
          <w:numId w:val="3"/>
        </w:numPr>
        <w:spacing w:after="70" w:line="270"/>
      </w:pPr>
      <w:r>
        <w:rPr>
          <w:rFonts w:ascii="Calibri" w:cs="Calibri" w:eastAsia="Calibri" w:hAnsi="Calibri"/>
          <w:sz w:val="21"/>
          <w:szCs w:val="21"/>
        </w:rPr>
        <w:t xml:space="preserve">What uplift threshold would make this investment worthwhile at the expected cost base?</w:t>
      </w:r>
    </w:p>
    <w:p>
      <w:pPr>
        <w:spacing w:after="200"/>
      </w:pPr>
    </w:p>
    <w:p>
      <w:pPr>
        <w:pStyle w:val="Heading1"/>
        <w:spacing w:after="160" w:before="360"/>
      </w:pPr>
      <w:r>
        <w:rPr>
          <w:rFonts w:ascii="Calibri" w:cs="Calibri" w:eastAsia="Calibri" w:hAnsi="Calibri"/>
          <w:b/>
          <w:bCs/>
          <w:color w:val="1F3864"/>
          <w:sz w:val="30"/>
          <w:szCs w:val="30"/>
        </w:rPr>
        <w:t xml:space="preserve">Appendix B — Assumptions, Limitations and Sources</w:t>
      </w:r>
    </w:p>
    <w:p>
      <w:pPr>
        <w:pStyle w:val="Heading2"/>
        <w:spacing w:after="120" w:before="260"/>
      </w:pPr>
      <w:r>
        <w:rPr>
          <w:rFonts w:ascii="Calibri" w:cs="Calibri" w:eastAsia="Calibri" w:hAnsi="Calibri"/>
          <w:b/>
          <w:bCs/>
          <w:color w:val="2E74B5"/>
          <w:sz w:val="24"/>
          <w:szCs w:val="24"/>
        </w:rPr>
        <w:t xml:space="preserve">Assumptions</w:t>
      </w:r>
    </w:p>
    <w:p>
      <w:pPr>
        <w:pStyle w:val="ListParagraph"/>
        <w:numPr>
          <w:ilvl w:val="0"/>
          <w:numId w:val="3"/>
        </w:numPr>
        <w:spacing w:after="70" w:line="270"/>
      </w:pPr>
      <w:r>
        <w:rPr>
          <w:rFonts w:ascii="Calibri" w:cs="Calibri" w:eastAsia="Calibri" w:hAnsi="Calibri"/>
          <w:sz w:val="21"/>
          <w:szCs w:val="21"/>
        </w:rPr>
        <w:t xml:space="preserve">The organisation operates its own digital acquisition landing pages and can modify their content and instrumentation.</w:t>
      </w:r>
    </w:p>
    <w:p>
      <w:pPr>
        <w:pStyle w:val="ListParagraph"/>
        <w:numPr>
          <w:ilvl w:val="0"/>
          <w:numId w:val="3"/>
        </w:numPr>
        <w:spacing w:after="70" w:line="270"/>
      </w:pPr>
      <w:r>
        <w:rPr>
          <w:rFonts w:ascii="Calibri" w:cs="Calibri" w:eastAsia="Calibri" w:hAnsi="Calibri"/>
          <w:sz w:val="21"/>
          <w:szCs w:val="21"/>
        </w:rPr>
        <w:t xml:space="preserve">Traffic volume on at least one journey is sufficient to reach statistical significance within a twelve-week window — to be validated by power calculation in Phase 0.</w:t>
      </w:r>
    </w:p>
    <w:p>
      <w:pPr>
        <w:pStyle w:val="ListParagraph"/>
        <w:numPr>
          <w:ilvl w:val="0"/>
          <w:numId w:val="3"/>
        </w:numPr>
        <w:spacing w:after="70" w:line="270"/>
      </w:pPr>
      <w:r>
        <w:rPr>
          <w:rFonts w:ascii="Calibri" w:cs="Calibri" w:eastAsia="Calibri" w:hAnsi="Calibri"/>
          <w:sz w:val="21"/>
          <w:szCs w:val="21"/>
        </w:rPr>
        <w:t xml:space="preserve">Existing analytics, tag management and consent management capability is in place in some form.</w:t>
      </w:r>
    </w:p>
    <w:p>
      <w:pPr>
        <w:pStyle w:val="ListParagraph"/>
        <w:numPr>
          <w:ilvl w:val="0"/>
          <w:numId w:val="3"/>
        </w:numPr>
        <w:spacing w:after="70" w:line="270"/>
      </w:pPr>
      <w:r>
        <w:rPr>
          <w:rFonts w:ascii="Calibri" w:cs="Calibri" w:eastAsia="Calibri" w:hAnsi="Calibri"/>
          <w:sz w:val="21"/>
          <w:szCs w:val="21"/>
        </w:rPr>
        <w:t xml:space="preserve">Internal engineering capacity can be allocated to remediation work during Phase 1.</w:t>
      </w:r>
    </w:p>
    <w:p>
      <w:pPr>
        <w:pStyle w:val="Heading2"/>
        <w:spacing w:after="120" w:before="260"/>
      </w:pPr>
      <w:r>
        <w:rPr>
          <w:rFonts w:ascii="Calibri" w:cs="Calibri" w:eastAsia="Calibri" w:hAnsi="Calibri"/>
          <w:b/>
          <w:bCs/>
          <w:color w:val="2E74B5"/>
          <w:sz w:val="24"/>
          <w:szCs w:val="24"/>
        </w:rPr>
        <w:t xml:space="preserve">Limitations</w:t>
      </w:r>
    </w:p>
    <w:p>
      <w:pPr>
        <w:pStyle w:val="ListParagraph"/>
        <w:numPr>
          <w:ilvl w:val="0"/>
          <w:numId w:val="3"/>
        </w:numPr>
        <w:spacing w:after="70" w:line="270"/>
      </w:pPr>
      <w:r>
        <w:rPr>
          <w:rFonts w:ascii="Calibri" w:cs="Calibri" w:eastAsia="Calibri" w:hAnsi="Calibri"/>
          <w:sz w:val="21"/>
          <w:szCs w:val="21"/>
        </w:rPr>
        <w:t xml:space="preserve">No internal system, data or stakeholder access was available for this phase. Sections 5 and 6 are frameworks with anticipated findings, not completed assessments.</w:t>
      </w:r>
    </w:p>
    <w:p>
      <w:pPr>
        <w:pStyle w:val="ListParagraph"/>
        <w:numPr>
          <w:ilvl w:val="0"/>
          <w:numId w:val="3"/>
        </w:numPr>
        <w:spacing w:after="70" w:line="270"/>
      </w:pPr>
      <w:r>
        <w:rPr>
          <w:rFonts w:ascii="Calibri" w:cs="Calibri" w:eastAsia="Calibri" w:hAnsi="Calibri"/>
          <w:sz w:val="21"/>
          <w:szCs w:val="21"/>
        </w:rPr>
        <w:t xml:space="preserve">Published conversion uplift figures are vendor-reported, self-selected and not counterfactual. They characterise market claims and must not be used to size the business case.</w:t>
      </w:r>
    </w:p>
    <w:p>
      <w:pPr>
        <w:pStyle w:val="ListParagraph"/>
        <w:numPr>
          <w:ilvl w:val="0"/>
          <w:numId w:val="3"/>
        </w:numPr>
        <w:spacing w:after="70" w:line="270"/>
      </w:pPr>
      <w:r>
        <w:rPr>
          <w:rFonts w:ascii="Calibri" w:cs="Calibri" w:eastAsia="Calibri" w:hAnsi="Calibri"/>
          <w:sz w:val="21"/>
          <w:szCs w:val="21"/>
        </w:rPr>
        <w:t xml:space="preserve">Vendor positioning and market structure change frequently; the platform landscape in Section 4.2 reflects research as at August 2026 and should be refreshed before any formal evaluation.</w:t>
      </w:r>
    </w:p>
    <w:p>
      <w:pPr>
        <w:pStyle w:val="ListParagraph"/>
        <w:numPr>
          <w:ilvl w:val="0"/>
          <w:numId w:val="3"/>
        </w:numPr>
        <w:spacing w:after="70" w:line="270"/>
      </w:pPr>
      <w:r>
        <w:rPr>
          <w:rFonts w:ascii="Calibri" w:cs="Calibri" w:eastAsia="Calibri" w:hAnsi="Calibri"/>
          <w:sz w:val="21"/>
          <w:szCs w:val="21"/>
        </w:rPr>
        <w:t xml:space="preserve">No pricing was obtained from any vendor. Cost statements are directional only.</w:t>
      </w:r>
    </w:p>
    <w:p>
      <w:pPr>
        <w:pStyle w:val="Heading2"/>
        <w:spacing w:after="120" w:before="260"/>
      </w:pPr>
      <w:r>
        <w:rPr>
          <w:rFonts w:ascii="Calibri" w:cs="Calibri" w:eastAsia="Calibri" w:hAnsi="Calibri"/>
          <w:b/>
          <w:bCs/>
          <w:color w:val="2E74B5"/>
          <w:sz w:val="24"/>
          <w:szCs w:val="24"/>
        </w:rPr>
        <w:t xml:space="preserve">Principal sources</w:t>
      </w:r>
    </w:p>
    <w:p>
      <w:pPr>
        <w:pStyle w:val="ListParagraph"/>
        <w:numPr>
          <w:ilvl w:val="0"/>
          <w:numId w:val="3"/>
        </w:numPr>
        <w:spacing w:after="70" w:line="270"/>
      </w:pPr>
      <w:r>
        <w:rPr>
          <w:rFonts w:ascii="Calibri" w:cs="Calibri" w:eastAsia="Calibri" w:hAnsi="Calibri"/>
          <w:sz w:val="21"/>
          <w:szCs w:val="21"/>
        </w:rPr>
        <w:t xml:space="preserve">Gartner, Magic Quadrant for Personalization Engines, February 2026 — market sizing, vendor count and Leaders-quadrant positioning (as reported in vendor and press coverage; the primary report was not accessed directly).</w:t>
      </w:r>
    </w:p>
    <w:p>
      <w:pPr>
        <w:pStyle w:val="ListParagraph"/>
        <w:numPr>
          <w:ilvl w:val="0"/>
          <w:numId w:val="3"/>
        </w:numPr>
        <w:spacing w:after="70" w:line="270"/>
      </w:pPr>
      <w:r>
        <w:rPr>
          <w:rFonts w:ascii="Calibri" w:cs="Calibri" w:eastAsia="Calibri" w:hAnsi="Calibri"/>
          <w:sz w:val="21"/>
          <w:szCs w:val="21"/>
        </w:rPr>
        <w:t xml:space="preserve">Unbounce, Conversion Benchmark Report — cross-industry and financial services median landing page conversion rates.</w:t>
      </w:r>
    </w:p>
    <w:p>
      <w:pPr>
        <w:pStyle w:val="ListParagraph"/>
        <w:numPr>
          <w:ilvl w:val="0"/>
          <w:numId w:val="3"/>
        </w:numPr>
        <w:spacing w:after="70" w:line="270"/>
      </w:pPr>
      <w:r>
        <w:rPr>
          <w:rFonts w:ascii="Calibri" w:cs="Calibri" w:eastAsia="Calibri" w:hAnsi="Calibri"/>
          <w:sz w:val="21"/>
          <w:szCs w:val="21"/>
        </w:rPr>
        <w:t xml:space="preserve">Google Privacy Sandbox announcements and coverage, April 2025 and October 2025 — third-party cookie decision and Privacy Sandbox API retirement.</w:t>
      </w:r>
    </w:p>
    <w:p>
      <w:pPr>
        <w:pStyle w:val="ListParagraph"/>
        <w:numPr>
          <w:ilvl w:val="0"/>
          <w:numId w:val="3"/>
        </w:numPr>
        <w:spacing w:after="70" w:line="270"/>
      </w:pPr>
      <w:r>
        <w:rPr>
          <w:rFonts w:ascii="Calibri" w:cs="Calibri" w:eastAsia="Calibri" w:hAnsi="Calibri"/>
          <w:sz w:val="21"/>
          <w:szCs w:val="21"/>
        </w:rPr>
        <w:t xml:space="preserve">Vendor technical documentation on multi-armed bandit, contextual bandit and adaptive allocation methods (Optimizely, Dynamic Yield, VWO).</w:t>
      </w:r>
    </w:p>
    <w:p>
      <w:pPr>
        <w:pStyle w:val="ListParagraph"/>
        <w:numPr>
          <w:ilvl w:val="0"/>
          <w:numId w:val="3"/>
        </w:numPr>
        <w:spacing w:after="70" w:line="270"/>
      </w:pPr>
      <w:r>
        <w:rPr>
          <w:rFonts w:ascii="Calibri" w:cs="Calibri" w:eastAsia="Calibri" w:hAnsi="Calibri"/>
          <w:sz w:val="21"/>
          <w:szCs w:val="21"/>
        </w:rPr>
        <w:t xml:space="preserve">Customer data platform technical literature on deterministic and probabilistic identity resolution, real-time profile lookup and server-side event collection.</w:t>
      </w:r>
    </w:p>
    <w:p>
      <w:pPr>
        <w:spacing w:after="200"/>
      </w:pPr>
    </w:p>
    <w:p>
      <w:pPr>
        <w:pBdr>
          <w:bottom w:val="single" w:color="2E74B5" w:sz="6" w:space="1"/>
        </w:pBdr>
        <w:spacing w:after="160"/>
      </w:pPr>
    </w:p>
    <w:p>
      <w:pPr>
        <w:spacing w:after="120" w:line="276"/>
      </w:pPr>
      <w:r>
        <w:rPr>
          <w:rFonts w:ascii="Calibri" w:cs="Calibri" w:eastAsia="Calibri" w:hAnsi="Calibri"/>
          <w:i/>
          <w:iCs/>
          <w:color w:val="595959"/>
          <w:sz w:val="18"/>
          <w:szCs w:val="18"/>
        </w:rPr>
        <w:t xml:space="preserve">End of document. Prepared for internal review. Figures marked as placeholders require completion from internal systems before this document is used to support a funding decision.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8"/>
      </w:pBdr>
      <w:jc w:val="center"/>
    </w:pPr>
    <w:r>
      <w:rPr>
        <w:rFonts w:ascii="Calibri" w:cs="Calibri" w:eastAsia="Calibri" w:hAnsi="Calibri"/>
        <w:color w:val="595959"/>
        <w:sz w:val="16"/>
        <w:szCs w:val="16"/>
      </w:rPr>
      <w:t xml:space="preserve">Loop Engineering — Closed-Loop Landing Page Optimization  |  Draft for review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Loop Engineering — Closed-Loop Landing Page Optimization Feasibility Study</dc:title>
  <dc:creator>Digital Acquisition</dc:creator>
  <dc:description>Industry research, data readiness assessment and executive recommendation</dc:description>
  <cp:lastModifiedBy>Un-named</cp:lastModifiedBy>
  <cp:revision>1</cp:revision>
  <dcterms:created xsi:type="dcterms:W3CDTF">2026-08-03T19:41:37.792Z</dcterms:created>
  <dcterms:modified xsi:type="dcterms:W3CDTF">2026-08-03T19:41:37.792Z</dcterms:modified>
</cp:coreProperties>
</file>

<file path=docProps/custom.xml><?xml version="1.0" encoding="utf-8"?>
<Properties xmlns="http://schemas.openxmlformats.org/officeDocument/2006/custom-properties" xmlns:vt="http://schemas.openxmlformats.org/officeDocument/2006/docPropsVTypes"/>
</file>