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rFonts w:ascii="Calibri" w:cs="Calibri" w:eastAsia="Calibri" w:hAnsi="Calibri"/>
          <w:b/>
          <w:bCs/>
          <w:color w:val="2E74B5"/>
          <w:spacing w:val="60"/>
          <w:sz w:val="20"/>
          <w:szCs w:val="20"/>
        </w:rPr>
        <w:t xml:space="preserve">HOW TO RUN THE ASSIGNMENT</w:t>
      </w:r>
    </w:p>
    <w:p>
      <w:pPr>
        <w:spacing w:after="160"/>
        <w:jc w:val="center"/>
      </w:pPr>
      <w:r>
        <w:rPr>
          <w:rFonts w:ascii="Calibri" w:cs="Calibri" w:eastAsia="Calibri" w:hAnsi="Calibri"/>
          <w:b/>
          <w:bCs/>
          <w:color w:val="1F3864"/>
          <w:sz w:val="52"/>
          <w:szCs w:val="52"/>
        </w:rPr>
        <w:t xml:space="preserve">Loop Engineering</w:t>
      </w:r>
    </w:p>
    <w:p>
      <w:pPr>
        <w:spacing w:after="400"/>
        <w:jc w:val="center"/>
      </w:pPr>
      <w:r>
        <w:rPr>
          <w:rFonts w:ascii="Calibri" w:cs="Calibri" w:eastAsia="Calibri" w:hAnsi="Calibri"/>
          <w:color w:val="404040"/>
          <w:sz w:val="28"/>
          <w:szCs w:val="28"/>
        </w:rPr>
        <w:t xml:space="preserve">Working Approach, Project Plan and Resource Guide</w:t>
      </w:r>
    </w:p>
    <w:p>
      <w:pPr>
        <w:pBdr>
          <w:top w:val="single" w:color="2E74B5" w:sz="8" w:space="12"/>
          <w:bottom w:val="single" w:color="2E74B5" w:sz="8" w:space="12"/>
        </w:pBdr>
        <w:spacing w:after="500"/>
        <w:jc w:val="center"/>
      </w:pPr>
      <w:r>
        <w:rPr>
          <w:rFonts w:ascii="Calibri" w:cs="Calibri" w:eastAsia="Calibri" w:hAnsi="Calibri"/>
          <w:color w:val="595959"/>
          <w:sz w:val="22"/>
          <w:szCs w:val="22"/>
        </w:rPr>
        <w:t xml:space="preserve">A five-week default plan  ·  compressible to three  ·  extendable to eight</w:t>
      </w:r>
    </w:p>
    <w:p>
      <w:pPr>
        <w:spacing w:after="200"/>
      </w:pPr>
    </w:p>
    <w:p>
      <w:pPr>
        <w:spacing w:after="120" w:line="276"/>
        <w:jc w:val="center"/>
      </w:pPr>
      <w:r>
        <w:rPr>
          <w:rFonts w:ascii="Calibri" w:cs="Calibri" w:eastAsia="Calibri" w:hAnsi="Calibri"/>
          <w:i/>
          <w:iCs/>
          <w:color w:val="595959"/>
          <w:sz w:val="19"/>
          <w:szCs w:val="19"/>
        </w:rPr>
        <w:t xml:space="preserve">Companion to the feasibility study deliverable. This document is for you, not for the steering committee.</w:t>
      </w:r>
    </w:p>
    <w:p>
      <w:r>
        <w:br w:type="page"/>
      </w:r>
    </w:p>
    <w:p>
      <w:pPr>
        <w:pStyle w:val="Heading1"/>
        <w:spacing w:after="160" w:before="34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595959"/>
          <w:sz w:val="17"/>
          <w:szCs w:val="17"/>
        </w:rPr>
        <w:t xml:space="preserve">Right-click and choose "Update Field" to populate.</w:t>
      </w:r>
    </w:p>
    <w:p>
      <w:r>
        <w:br w:type="page"/>
      </w:r>
    </w:p>
    <w:p>
      <w:pPr>
        <w:pStyle w:val="Heading1"/>
        <w:spacing w:after="160" w:before="340"/>
      </w:pPr>
      <w:r>
        <w:rPr>
          <w:rFonts w:ascii="Calibri" w:cs="Calibri" w:eastAsia="Calibri" w:hAnsi="Calibri"/>
          <w:b/>
          <w:bCs/>
          <w:color w:val="1F3864"/>
          <w:sz w:val="30"/>
          <w:szCs w:val="30"/>
        </w:rPr>
        <w:t xml:space="preserve">1. Read the Assignment Correctly First</w:t>
      </w:r>
    </w:p>
    <w:p>
      <w:pPr>
        <w:spacing w:after="120" w:line="276"/>
      </w:pPr>
      <w:r>
        <w:rPr>
          <w:rFonts w:ascii="Calibri" w:cs="Calibri" w:eastAsia="Calibri" w:hAnsi="Calibri"/>
          <w:sz w:val="21"/>
          <w:szCs w:val="21"/>
        </w:rPr>
        <w:t xml:space="preserve">Before planning any activity, be clear about what kind of task this is. Getting this wrong is the most common way feasibility studies fail — not through poor research, but through answering a different question than the one asked.</w:t>
      </w:r>
    </w:p>
    <w:p>
      <w:pPr>
        <w:pStyle w:val="Heading2"/>
        <w:spacing w:after="120" w:before="260"/>
      </w:pPr>
      <w:r>
        <w:rPr>
          <w:rFonts w:ascii="Calibri" w:cs="Calibri" w:eastAsia="Calibri" w:hAnsi="Calibri"/>
          <w:b/>
          <w:bCs/>
          <w:color w:val="2E74B5"/>
          <w:sz w:val="24"/>
          <w:szCs w:val="24"/>
        </w:rPr>
        <w:t xml:space="preserve">1.1 What you have actually been asked</w:t>
      </w:r>
    </w:p>
    <w:p>
      <w:pPr>
        <w:spacing w:after="120" w:line="276"/>
      </w:pPr>
      <w:r>
        <w:rPr>
          <w:rFonts w:ascii="Calibri" w:cs="Calibri" w:eastAsia="Calibri" w:hAnsi="Calibri"/>
          <w:sz w:val="21"/>
          <w:szCs w:val="21"/>
        </w:rPr>
        <w:t xml:space="preserve">The final requirement statement is: "Assess the feasibility of implementing a closed-loop landing page optimization capability." Three words in that sentence set the boundaries.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600"/>
        <w:gridCol w:w="7760"/>
      </w:tblGrid>
      <w:tr>
        <w:trPr>
          <w:tblHeader/>
        </w:trPr>
        <w:tc>
          <w:tcPr>
            <w:tcW w:type="dxa" w:w="1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Word</w:t>
            </w:r>
          </w:p>
        </w:tc>
        <w:tc>
          <w:tcPr>
            <w:tcW w:type="dxa" w:w="7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means for how you work</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Assess</w:t>
            </w:r>
          </w:p>
        </w:tc>
        <w:tc>
          <w:tcPr>
            <w:tcW w:type="dxa" w:w="7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You are producing a judgement supported by evidence, not a design and not a recommendation to buy. Your output is a decision-quality answer to "should we, and can we?"</w:t>
            </w:r>
          </w:p>
        </w:tc>
      </w:tr>
      <w:tr>
        <w:trPr>
          <w:tblHeader w:val="false"/>
        </w:trPr>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Feasibility</w:t>
            </w:r>
          </w:p>
        </w:tc>
        <w:tc>
          <w:tcPr>
            <w:tcW w:type="dxa" w:w="7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You must reach a verdict. A document that surveys the landscape and stops short of saying yes, no or conditionally is a failed deliverable — it hands the decision back to the person who asked you to make it easier.</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Implementing</w:t>
            </w:r>
          </w:p>
        </w:tc>
        <w:tc>
          <w:tcPr>
            <w:tcW w:type="dxa" w:w="7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bar is production reality in this organisation, not whether the technology exists somewhere. "Adobe can do this" is not a feasibility finding. "We can do this, given our data, our people and our constraints" is.</w:t>
            </w:r>
          </w:p>
        </w:tc>
      </w:tr>
    </w:tbl>
    <w:p>
      <w:pPr>
        <w:pStyle w:val="Heading2"/>
        <w:spacing w:after="120" w:before="260"/>
      </w:pPr>
      <w:r>
        <w:rPr>
          <w:rFonts w:ascii="Calibri" w:cs="Calibri" w:eastAsia="Calibri" w:hAnsi="Calibri"/>
          <w:b/>
          <w:bCs/>
          <w:color w:val="2E74B5"/>
          <w:sz w:val="24"/>
          <w:szCs w:val="24"/>
        </w:rPr>
        <w:t xml:space="preserve">1.2 The trap in this brief</w:t>
      </w:r>
    </w:p>
    <w:tbl>
      <w:tblPr>
        <w:tblW w:type="dxa" w:w="9360"/>
        <w:tblBorders>
          <w:top w:val="single" w:color="C62828" w:sz="4"/>
          <w:left w:val="single" w:color="C62828" w:sz="18"/>
          <w:bottom w:val="single" w:color="C62828" w:sz="4"/>
          <w:right w:val="single" w:color="C62828" w:sz="4"/>
          <w:insideH w:val="none"/>
          <w:insideV w:val="none"/>
        </w:tblBorders>
      </w:tblPr>
      <w:tblGrid>
        <w:gridCol w:w="9360"/>
      </w:tblGrid>
      <w:tr>
        <w:tc>
          <w:tcPr>
            <w:tcW w:type="dxa" w:w="9360"/>
            <w:shd w:fill="FDEDED"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BR-3 and BR-4 are assessment tasks, not research tasks.</w:t>
            </w:r>
          </w:p>
          <w:p>
            <w:pPr>
              <w:spacing w:after="60" w:line="270"/>
            </w:pPr>
            <w:r>
              <w:rPr>
                <w:rFonts w:ascii="Calibri" w:cs="Calibri" w:eastAsia="Calibri" w:hAnsi="Calibri"/>
                <w:sz w:val="20"/>
                <w:szCs w:val="20"/>
              </w:rPr>
              <w:t xml:space="preserve">BR-1 (industry research), BR-2 (technology assessment) and much of BR-5 can be answered from desk research. They are about the outside world.</w:t>
            </w:r>
          </w:p>
          <w:p>
            <w:pPr>
              <w:spacing w:after="60" w:line="270"/>
            </w:pPr>
            <w:r>
              <w:rPr>
                <w:rFonts w:ascii="Calibri" w:cs="Calibri" w:eastAsia="Calibri" w:hAnsi="Calibri"/>
                <w:sz w:val="20"/>
                <w:szCs w:val="20"/>
              </w:rPr>
              <w:t xml:space="preserve">BR-3 (data requirements assessment) and BR-4 (data gap analysis) are about the inside world. "What data exists today?" and "What gaps exist?" are questions about your organisation. No amount of reading answers them.</w:t>
            </w:r>
          </w:p>
          <w:p>
            <w:pPr>
              <w:spacing w:after="60" w:line="270"/>
            </w:pPr>
            <w:r>
              <w:rPr>
                <w:rFonts w:ascii="Calibri" w:cs="Calibri" w:eastAsia="Calibri" w:hAnsi="Calibri"/>
                <w:sz w:val="20"/>
                <w:szCs w:val="20"/>
              </w:rPr>
              <w:t xml:space="preserve">You have desk research access only. This means that on the current access position, two of your five business requirements are undeliverable as findings. You can deliver them as frameworks — which is legitimate and useful — but you cannot deliver them as answers.</w:t>
            </w:r>
          </w:p>
          <w:p>
            <w:pPr>
              <w:spacing w:after="60" w:line="270"/>
            </w:pPr>
            <w:r>
              <w:rPr>
                <w:rFonts w:ascii="Calibri" w:cs="Calibri" w:eastAsia="Calibri" w:hAnsi="Calibri"/>
                <w:sz w:val="20"/>
                <w:szCs w:val="20"/>
              </w:rPr>
              <w:t xml:space="preserve">This is the single most important thing to resolve, and it must be resolved in Week 1, not discovered in Week 4.</w:t>
            </w:r>
          </w:p>
        </w:tc>
      </w:tr>
    </w:tbl>
    <w:p>
      <w:pPr>
        <w:pStyle w:val="Heading2"/>
        <w:spacing w:after="120" w:before="260"/>
      </w:pPr>
      <w:r>
        <w:rPr>
          <w:rFonts w:ascii="Calibri" w:cs="Calibri" w:eastAsia="Calibri" w:hAnsi="Calibri"/>
          <w:b/>
          <w:bCs/>
          <w:color w:val="2E74B5"/>
          <w:sz w:val="24"/>
          <w:szCs w:val="24"/>
        </w:rPr>
        <w:t xml:space="preserve">1.3 Your two viable paths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3980"/>
        <w:gridCol w:w="3980"/>
      </w:tblGrid>
      <w:tr>
        <w:trPr>
          <w:tblHeader/>
        </w:trPr>
        <w:tc>
          <w:tcPr>
            <w:tcW w:type="dxa" w:w="1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Path</w:t>
            </w:r>
          </w:p>
        </w:tc>
        <w:tc>
          <w:tcPr>
            <w:tcW w:type="dxa" w:w="39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looks like</w:t>
            </w:r>
          </w:p>
        </w:tc>
        <w:tc>
          <w:tcPr>
            <w:tcW w:type="dxa" w:w="39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When to take it</w:t>
            </w:r>
          </w:p>
        </w:tc>
      </w:tr>
      <w:tr>
        <w:trPr>
          <w:tblHeader w:val="false"/>
        </w:trPr>
        <w:tc>
          <w:tcPr>
            <w:tcW w:type="dxa" w:w="1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Path A — Secure access</w:t>
            </w:r>
          </w:p>
        </w:tc>
        <w:tc>
          <w:tcPr>
            <w:tcW w:type="dxa" w:w="398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Escalate in Week 1 for a named analytics contact, a named data engineering contact, and read access to the current testing tool and analytics platform. Deliver BR-3 and BR-4 as real findings.</w:t>
            </w:r>
          </w:p>
        </w:tc>
        <w:tc>
          <w:tcPr>
            <w:tcW w:type="dxa" w:w="398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Default. Always attempt this first. The ask is small and reasonable, and refusing it is itself a finding worth reporting.</w:t>
            </w:r>
          </w:p>
        </w:tc>
      </w:tr>
      <w:tr>
        <w:trPr>
          <w:tblHeader w:val="false"/>
        </w:trPr>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Path B — Framework plus explicit ask</w:t>
            </w:r>
          </w:p>
        </w:tc>
        <w:tc>
          <w:tcPr>
            <w:tcW w:type="dxa" w:w="398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Deliver BR-3 as a full requirements specification and BR-4 as a structured gap register with anticipated findings marked clearly as unvalidated. Close with a specific, costed access request as the primary recommendation.</w:t>
            </w:r>
          </w:p>
        </w:tc>
        <w:tc>
          <w:tcPr>
            <w:tcW w:type="dxa" w:w="398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If access genuinely cannot be obtained. This is a legitimate deliverable — but you must state the limitation prominently rather than dressing assumptions up as findings.</w:t>
            </w:r>
          </w:p>
        </w:tc>
      </w:tr>
    </w:tbl>
    <w:p>
      <w:pPr>
        <w:spacing w:after="120" w:line="276"/>
      </w:pPr>
      <w:r>
        <w:rPr>
          <w:rFonts w:ascii="Calibri" w:cs="Calibri" w:eastAsia="Calibri" w:hAnsi="Calibri"/>
          <w:b/>
          <w:bCs/>
          <w:sz w:val="21"/>
          <w:szCs w:val="21"/>
        </w:rPr>
        <w:t xml:space="preserve">The one thing not to do: </w:t>
      </w:r>
      <w:r>
        <w:rPr>
          <w:rFonts w:ascii="Calibri" w:cs="Calibri" w:eastAsia="Calibri" w:hAnsi="Calibri"/>
          <w:sz w:val="21"/>
          <w:szCs w:val="21"/>
        </w:rPr>
        <w:t xml:space="preserve">quietly infer what your data probably looks like and present it as assessment. If a steering committee acts on an invented gap analysis, that is worse than no gap analysis. Mark every unvalidated statement as unvalidated, every time.</w:t>
      </w:r>
    </w:p>
    <w:p>
      <w:pPr>
        <w:pStyle w:val="Heading2"/>
        <w:spacing w:after="120" w:before="260"/>
      </w:pPr>
      <w:r>
        <w:rPr>
          <w:rFonts w:ascii="Calibri" w:cs="Calibri" w:eastAsia="Calibri" w:hAnsi="Calibri"/>
          <w:b/>
          <w:bCs/>
          <w:color w:val="2E74B5"/>
          <w:sz w:val="24"/>
          <w:szCs w:val="24"/>
        </w:rPr>
        <w:t xml:space="preserve">1.4 The single question that organises everything</w:t>
      </w:r>
    </w:p>
    <w:p>
      <w:pPr>
        <w:spacing w:after="120" w:line="276"/>
      </w:pPr>
      <w:r>
        <w:rPr>
          <w:rFonts w:ascii="Calibri" w:cs="Calibri" w:eastAsia="Calibri" w:hAnsi="Calibri"/>
          <w:sz w:val="21"/>
          <w:szCs w:val="21"/>
        </w:rPr>
        <w:t xml:space="preserve">If you keep one idea in your head for the whole assignment, make it this one:</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Can we join the variant we served to the outcome we got?</w:t>
            </w:r>
          </w:p>
          <w:p>
            <w:pPr>
              <w:spacing w:after="60" w:line="270"/>
            </w:pPr>
            <w:r>
              <w:rPr>
                <w:rFonts w:ascii="Calibri" w:cs="Calibri" w:eastAsia="Calibri" w:hAnsi="Calibri"/>
                <w:sz w:val="20"/>
                <w:szCs w:val="20"/>
              </w:rPr>
              <w:t xml:space="preserve">Everything else — vendor choice, algorithm sophistication, personalization strategy — is downstream of this. A system that cannot connect "we showed variant B to this visitor" to "this visitor became a profitable customer eleven days later" does not learn. It personalises at random and reports confidently on noise.</w:t>
            </w:r>
          </w:p>
          <w:p>
            <w:pPr>
              <w:spacing w:after="60" w:line="270"/>
            </w:pPr>
            <w:r>
              <w:rPr>
                <w:rFonts w:ascii="Calibri" w:cs="Calibri" w:eastAsia="Calibri" w:hAnsi="Calibri"/>
                <w:sz w:val="20"/>
                <w:szCs w:val="20"/>
              </w:rPr>
              <w:t xml:space="preserve">Almost every organisation can track the first half. Very few can track the second half back to the first. Your research should be organised around finding out whether yours can.</w:t>
            </w:r>
          </w:p>
          <w:p>
            <w:pPr>
              <w:spacing w:after="60" w:line="270"/>
            </w:pPr>
            <w:r>
              <w:rPr>
                <w:rFonts w:ascii="Calibri" w:cs="Calibri" w:eastAsia="Calibri" w:hAnsi="Calibri"/>
                <w:sz w:val="20"/>
                <w:szCs w:val="20"/>
              </w:rPr>
              <w:t xml:space="preserve">When you interview, when you read documentation, when you evaluate a vendor — return to this question. It will keep the study focused and it is what makes your verdict defensible.</w:t>
            </w:r>
          </w:p>
        </w:tc>
      </w:tr>
    </w:tbl>
    <w:p>
      <w:r>
        <w:br w:type="page"/>
      </w:r>
    </w:p>
    <w:p>
      <w:pPr>
        <w:pStyle w:val="Heading1"/>
        <w:spacing w:after="160" w:before="340"/>
      </w:pPr>
      <w:r>
        <w:rPr>
          <w:rFonts w:ascii="Calibri" w:cs="Calibri" w:eastAsia="Calibri" w:hAnsi="Calibri"/>
          <w:b/>
          <w:bCs/>
          <w:color w:val="1F3864"/>
          <w:sz w:val="30"/>
          <w:szCs w:val="30"/>
        </w:rPr>
        <w:t xml:space="preserve">2. Critical Path and Sequencing Logic</w:t>
      </w:r>
    </w:p>
    <w:p>
      <w:pPr>
        <w:spacing w:after="120" w:line="276"/>
      </w:pPr>
      <w:r>
        <w:rPr>
          <w:rFonts w:ascii="Calibri" w:cs="Calibri" w:eastAsia="Calibri" w:hAnsi="Calibri"/>
          <w:sz w:val="21"/>
          <w:szCs w:val="21"/>
        </w:rPr>
        <w:t xml:space="preserve">The five business requirements are not independent and should not be worked in parallel. They form a chain, and working them out of order wastes effort.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600"/>
        <w:gridCol w:w="5560"/>
      </w:tblGrid>
      <w:tr>
        <w:trPr>
          <w:tblHeader/>
        </w:trPr>
        <w:tc>
          <w:tcPr>
            <w:tcW w:type="dxa" w:w="1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Order</w:t>
            </w:r>
          </w:p>
        </w:tc>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Requirement</w:t>
            </w:r>
          </w:p>
        </w:tc>
        <w:tc>
          <w:tcPr>
            <w:tcW w:type="dxa" w:w="55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 it sits here</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1st</w:t>
            </w:r>
          </w:p>
        </w:tc>
        <w:tc>
          <w:tcPr>
            <w:tcW w:type="dxa" w:w="2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BR-1 Industry Research</w:t>
            </w:r>
          </w:p>
        </w:tc>
        <w:tc>
          <w:tcPr>
            <w:tcW w:type="dxa" w:w="55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Defines the vocabulary and the capability model. Until you can describe precisely what a closed loop is, you cannot specify what data it needs or judge whether a platform delivers it.</w:t>
            </w:r>
          </w:p>
        </w:tc>
      </w:tr>
      <w:tr>
        <w:trPr>
          <w:tblHeader w:val="false"/>
        </w:trPr>
        <w:tc>
          <w:tcPr>
            <w:tcW w:type="dxa" w:w="1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2nd</w:t>
            </w:r>
          </w:p>
        </w:tc>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BR-2 Technology Assessment</w:t>
            </w:r>
          </w:p>
        </w:tc>
        <w:tc>
          <w:tcPr>
            <w:tcW w:type="dxa" w:w="55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Turns the concept into a reference architecture with named layers. The architecture is what generates the data requirements — each layer has inputs.</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3rd</w:t>
            </w:r>
          </w:p>
        </w:tc>
        <w:tc>
          <w:tcPr>
            <w:tcW w:type="dxa" w:w="2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BR-3 Data Requirements</w:t>
            </w:r>
          </w:p>
        </w:tc>
        <w:tc>
          <w:tcPr>
            <w:tcW w:type="dxa" w:w="55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Derived directly from the architecture in BR-2. Do not write this from first principles or from a generic checklist; derive it, so every requirement traces to something the system actually needs.</w:t>
            </w:r>
          </w:p>
        </w:tc>
      </w:tr>
      <w:tr>
        <w:trPr>
          <w:tblHeader w:val="false"/>
        </w:trPr>
        <w:tc>
          <w:tcPr>
            <w:tcW w:type="dxa" w:w="1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4th</w:t>
            </w:r>
          </w:p>
        </w:tc>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BR-4 Data Gap Analysis</w:t>
            </w:r>
          </w:p>
        </w:tc>
        <w:tc>
          <w:tcPr>
            <w:tcW w:type="dxa" w:w="55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Requirements from BR-3 compared against current state. Cannot start before BR-3 is stable.</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5th</w:t>
            </w:r>
          </w:p>
        </w:tc>
        <w:tc>
          <w:tcPr>
            <w:tcW w:type="dxa" w:w="2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BR-5 Feasibility Assessment</w:t>
            </w:r>
          </w:p>
        </w:tc>
        <w:tc>
          <w:tcPr>
            <w:tcW w:type="dxa" w:w="55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Synthesis. Technical feasibility comes from BR-2, data feasibility from BR-4, commercial feasibility from external benchmarks plus internal value data, operational feasibility from stakeholder input.</w:t>
            </w:r>
          </w:p>
        </w:tc>
      </w:tr>
    </w:tbl>
    <w:p>
      <w:pPr>
        <w:pStyle w:val="Heading2"/>
        <w:spacing w:after="120" w:before="260"/>
      </w:pPr>
      <w:r>
        <w:rPr>
          <w:rFonts w:ascii="Calibri" w:cs="Calibri" w:eastAsia="Calibri" w:hAnsi="Calibri"/>
          <w:b/>
          <w:bCs/>
          <w:color w:val="2E74B5"/>
          <w:sz w:val="24"/>
          <w:szCs w:val="24"/>
        </w:rPr>
        <w:t xml:space="preserve">2.1 The two long-lead items</w:t>
      </w:r>
    </w:p>
    <w:p>
      <w:pPr>
        <w:spacing w:after="120" w:line="276"/>
      </w:pPr>
      <w:r>
        <w:rPr>
          <w:rFonts w:ascii="Calibri" w:cs="Calibri" w:eastAsia="Calibri" w:hAnsi="Calibri"/>
          <w:sz w:val="21"/>
          <w:szCs w:val="21"/>
        </w:rPr>
        <w:t xml:space="preserve">Two things take calendar time you do not control. Start both on day one regardless of where you are in the sequence:</w:t>
      </w:r>
    </w:p>
    <w:p>
      <w:pPr>
        <w:pStyle w:val="ListParagraph"/>
        <w:numPr>
          <w:ilvl w:val="0"/>
          <w:numId w:val="2"/>
        </w:numPr>
        <w:spacing w:after="70" w:line="270"/>
      </w:pPr>
      <w:r>
        <w:rPr>
          <w:rFonts w:ascii="Calibri" w:cs="Calibri" w:eastAsia="Calibri" w:hAnsi="Calibri"/>
          <w:b/>
          <w:bCs/>
          <w:sz w:val="21"/>
          <w:szCs w:val="21"/>
        </w:rPr>
        <w:t xml:space="preserve">Access and stakeholder time. </w:t>
      </w:r>
      <w:r>
        <w:rPr>
          <w:rFonts w:ascii="Calibri" w:cs="Calibri" w:eastAsia="Calibri" w:hAnsi="Calibri"/>
          <w:sz w:val="21"/>
          <w:szCs w:val="21"/>
        </w:rPr>
        <w:t xml:space="preserve">Booking an hour with a data engineering lead can take two weeks. Raise these requests before you need them, not when you reach that section of the plan.</w:t>
      </w:r>
    </w:p>
    <w:p>
      <w:pPr>
        <w:pStyle w:val="ListParagraph"/>
        <w:numPr>
          <w:ilvl w:val="0"/>
          <w:numId w:val="2"/>
        </w:numPr>
        <w:spacing w:after="70" w:line="270"/>
      </w:pPr>
      <w:r>
        <w:rPr>
          <w:rFonts w:ascii="Calibri" w:cs="Calibri" w:eastAsia="Calibri" w:hAnsi="Calibri"/>
          <w:b/>
          <w:bCs/>
          <w:sz w:val="21"/>
          <w:szCs w:val="21"/>
        </w:rPr>
        <w:t xml:space="preserve">The conversion value figure. </w:t>
      </w:r>
      <w:r>
        <w:rPr>
          <w:rFonts w:ascii="Calibri" w:cs="Calibri" w:eastAsia="Calibri" w:hAnsi="Calibri"/>
          <w:sz w:val="21"/>
          <w:szCs w:val="21"/>
        </w:rPr>
        <w:t xml:space="preserve">Agreeing with Finance what a conversion is worth is politically slower than it sounds, and without it your commercial feasibility section has no numbers in it. Ask in Week 1.</w:t>
      </w:r>
    </w:p>
    <w:p>
      <w:pPr>
        <w:pStyle w:val="Heading2"/>
        <w:spacing w:after="120" w:before="260"/>
      </w:pPr>
      <w:r>
        <w:rPr>
          <w:rFonts w:ascii="Calibri" w:cs="Calibri" w:eastAsia="Calibri" w:hAnsi="Calibri"/>
          <w:b/>
          <w:bCs/>
          <w:color w:val="2E74B5"/>
          <w:sz w:val="24"/>
          <w:szCs w:val="24"/>
        </w:rPr>
        <w:t xml:space="preserve">2.2 Effort allocation</w:t>
      </w:r>
    </w:p>
    <w:p>
      <w:pPr>
        <w:spacing w:after="120" w:line="276"/>
      </w:pPr>
      <w:r>
        <w:rPr>
          <w:rFonts w:ascii="Calibri" w:cs="Calibri" w:eastAsia="Calibri" w:hAnsi="Calibri"/>
          <w:sz w:val="21"/>
          <w:szCs w:val="21"/>
        </w:rPr>
        <w:t xml:space="preserve">A common failure mode is spending 70% of available time on BR-1 and BR-2 — because they are the parts you can do alone from a desk, and they feel productive — then rushing the sections that carry the actual judgement. Budget deliberately against that pull.</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600"/>
        <w:gridCol w:w="51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Requirement</w:t>
            </w:r>
          </w:p>
        </w:tc>
        <w:tc>
          <w:tcPr>
            <w:tcW w:type="dxa" w:w="1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Share of effort</w:t>
            </w:r>
          </w:p>
        </w:tc>
        <w:tc>
          <w:tcPr>
            <w:tcW w:type="dxa" w:w="51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Note</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BR-1 Industry Research</w:t>
            </w:r>
          </w:p>
        </w:tc>
        <w:tc>
          <w:tcPr>
            <w:tcW w:type="dxa" w:w="1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15%</w:t>
            </w:r>
          </w:p>
        </w:tc>
        <w:tc>
          <w:tcPr>
            <w:tcW w:type="dxa" w:w="5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concept is not complicated. Resist the urge to write a literature review.</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BR-2 Technology Assessment</w:t>
            </w:r>
          </w:p>
        </w:tc>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20%</w:t>
            </w:r>
          </w:p>
        </w:tc>
        <w:tc>
          <w:tcPr>
            <w:tcW w:type="dxa" w:w="51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Architecture matters; exhaustive vendor comparison does not. Procurement is out of scope.</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BR-3 Data Requirements</w:t>
            </w:r>
          </w:p>
        </w:tc>
        <w:tc>
          <w:tcPr>
            <w:tcW w:type="dxa" w:w="1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20%</w:t>
            </w:r>
          </w:p>
        </w:tc>
        <w:tc>
          <w:tcPr>
            <w:tcW w:type="dxa" w:w="5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This is where precision pays. Be specific down to event and field level.</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BR-4 Data Gap Analysis</w:t>
            </w:r>
          </w:p>
        </w:tc>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25%</w:t>
            </w:r>
          </w:p>
        </w:tc>
        <w:tc>
          <w:tcPr>
            <w:tcW w:type="dxa" w:w="51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highest-value section and the one most likely to be under-resourced.</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BR-5 Feasibility + writing</w:t>
            </w:r>
          </w:p>
        </w:tc>
        <w:tc>
          <w:tcPr>
            <w:tcW w:type="dxa" w:w="16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20%</w:t>
            </w:r>
          </w:p>
        </w:tc>
        <w:tc>
          <w:tcPr>
            <w:tcW w:type="dxa" w:w="5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Includes synthesis, the recommendation, and revision after review.</w:t>
            </w:r>
          </w:p>
        </w:tc>
      </w:tr>
    </w:tbl>
    <w:p>
      <w:r>
        <w:br w:type="page"/>
      </w:r>
    </w:p>
    <w:p>
      <w:pPr>
        <w:pStyle w:val="Heading1"/>
        <w:spacing w:after="160" w:before="340"/>
      </w:pPr>
      <w:r>
        <w:rPr>
          <w:rFonts w:ascii="Calibri" w:cs="Calibri" w:eastAsia="Calibri" w:hAnsi="Calibri"/>
          <w:b/>
          <w:bCs/>
          <w:color w:val="1F3864"/>
          <w:sz w:val="30"/>
          <w:szCs w:val="30"/>
        </w:rPr>
        <w:t xml:space="preserve">3. Five-Week Plan at a Glance</w:t>
      </w:r>
    </w:p>
    <w:p>
      <w:pPr>
        <w:spacing w:after="120" w:line="276"/>
      </w:pPr>
      <w:r>
        <w:rPr>
          <w:rFonts w:ascii="Calibri" w:cs="Calibri" w:eastAsia="Calibri" w:hAnsi="Calibri"/>
          <w:sz w:val="21"/>
          <w:szCs w:val="21"/>
        </w:rPr>
        <w:t xml:space="preserve">The default assumes roughly half your time on this assignment. Compress or stretch using Section 5.</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2400"/>
        <w:gridCol w:w="3000"/>
        <w:gridCol w:w="2860"/>
      </w:tblGrid>
      <w:tr>
        <w:trPr>
          <w:tblHeader/>
        </w:trPr>
        <w:tc>
          <w:tcPr>
            <w:tcW w:type="dxa" w:w="11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Week</w:t>
            </w:r>
          </w:p>
        </w:tc>
        <w:tc>
          <w:tcPr>
            <w:tcW w:type="dxa" w:w="2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Focus</w:t>
            </w:r>
          </w:p>
        </w:tc>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Primary activity</w:t>
            </w:r>
          </w:p>
        </w:tc>
        <w:tc>
          <w:tcPr>
            <w:tcW w:type="dxa" w:w="28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Deliverable produced</w:t>
            </w:r>
          </w:p>
        </w:tc>
      </w:tr>
      <w:tr>
        <w:trPr>
          <w:tblHeader w:val="false"/>
        </w:trPr>
        <w:tc>
          <w:tcPr>
            <w:tcW w:type="dxa" w:w="11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Week 1</w:t>
            </w:r>
          </w:p>
        </w:tc>
        <w:tc>
          <w:tcPr>
            <w:tcW w:type="dxa" w:w="2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Frame and unblock</w:t>
            </w:r>
          </w:p>
        </w:tc>
        <w:tc>
          <w:tcPr>
            <w:tcW w:type="dxa" w:w="30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Scope confirmation, access escalation, BR-1 research</w:t>
            </w:r>
          </w:p>
        </w:tc>
        <w:tc>
          <w:tcPr>
            <w:tcW w:type="dxa" w:w="28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Scoping note; access request; draft BR-1</w:t>
            </w:r>
          </w:p>
        </w:tc>
      </w:tr>
      <w:tr>
        <w:trPr>
          <w:tblHeader w:val="false"/>
        </w:trPr>
        <w:tc>
          <w:tcPr>
            <w:tcW w:type="dxa" w:w="11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Week 2</w:t>
            </w:r>
          </w:p>
        </w:tc>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Architecture</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BR-2 reference architecture and platform landscape</w:t>
            </w:r>
          </w:p>
        </w:tc>
        <w:tc>
          <w:tcPr>
            <w:tcW w:type="dxa" w:w="28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Draft BR-2</w:t>
            </w:r>
          </w:p>
        </w:tc>
      </w:tr>
      <w:tr>
        <w:trPr>
          <w:tblHeader w:val="false"/>
        </w:trPr>
        <w:tc>
          <w:tcPr>
            <w:tcW w:type="dxa" w:w="11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Week 3</w:t>
            </w:r>
          </w:p>
        </w:tc>
        <w:tc>
          <w:tcPr>
            <w:tcW w:type="dxa" w:w="2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Requirements</w:t>
            </w:r>
          </w:p>
        </w:tc>
        <w:tc>
          <w:tcPr>
            <w:tcW w:type="dxa" w:w="30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BR-3 data requirements derived from the architecture</w:t>
            </w:r>
          </w:p>
        </w:tc>
        <w:tc>
          <w:tcPr>
            <w:tcW w:type="dxa" w:w="28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Draft BR-3; data request list issued</w:t>
            </w:r>
          </w:p>
        </w:tc>
      </w:tr>
      <w:tr>
        <w:trPr>
          <w:tblHeader w:val="false"/>
        </w:trPr>
        <w:tc>
          <w:tcPr>
            <w:tcW w:type="dxa" w:w="11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Week 4</w:t>
            </w:r>
          </w:p>
        </w:tc>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Assessment</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BR-4 gap analysis and BR-5 feasibility judgement</w:t>
            </w:r>
          </w:p>
        </w:tc>
        <w:tc>
          <w:tcPr>
            <w:tcW w:type="dxa" w:w="28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Draft BR-4 and BR-5</w:t>
            </w:r>
          </w:p>
        </w:tc>
      </w:tr>
      <w:tr>
        <w:trPr>
          <w:tblHeader w:val="false"/>
        </w:trPr>
        <w:tc>
          <w:tcPr>
            <w:tcW w:type="dxa" w:w="11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Week 5</w:t>
            </w:r>
          </w:p>
        </w:tc>
        <w:tc>
          <w:tcPr>
            <w:tcW w:type="dxa" w:w="2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Synthesis</w:t>
            </w:r>
          </w:p>
        </w:tc>
        <w:tc>
          <w:tcPr>
            <w:tcW w:type="dxa" w:w="30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Recommendation, executive summary, review and revision</w:t>
            </w:r>
          </w:p>
        </w:tc>
        <w:tc>
          <w:tcPr>
            <w:tcW w:type="dxa" w:w="28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Final study and executive summary</w:t>
            </w:r>
          </w:p>
        </w:tc>
      </w:tr>
    </w:tbl>
    <w:p>
      <w:pPr>
        <w:spacing w:after="160"/>
      </w:pPr>
    </w:p>
    <w:tbl>
      <w:tblPr>
        <w:tblW w:type="dxa" w:w="9360"/>
        <w:tblBorders>
          <w:top w:val="single" w:color="B8860B" w:sz="4"/>
          <w:left w:val="single" w:color="B8860B" w:sz="18"/>
          <w:bottom w:val="single" w:color="B8860B" w:sz="4"/>
          <w:right w:val="single" w:color="B8860B" w:sz="4"/>
          <w:insideH w:val="none"/>
          <w:insideV w:val="none"/>
        </w:tblBorders>
      </w:tblPr>
      <w:tblGrid>
        <w:gridCol w:w="9360"/>
      </w:tblGrid>
      <w:tr>
        <w:tc>
          <w:tcPr>
            <w:tcW w:type="dxa" w:w="9360"/>
            <w:shd w:fill="FFF6E5"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Write the executive summary twice</w:t>
            </w:r>
          </w:p>
          <w:p>
            <w:pPr>
              <w:spacing w:after="60" w:line="270"/>
            </w:pPr>
            <w:r>
              <w:rPr>
                <w:rFonts w:ascii="Calibri" w:cs="Calibri" w:eastAsia="Calibri" w:hAnsi="Calibri"/>
                <w:sz w:val="20"/>
                <w:szCs w:val="20"/>
              </w:rPr>
              <w:t xml:space="preserve">Draft a one-page executive summary in Week 1, before you have done the research. It will be wrong. That is the point — it forces you to commit to a hypothesis you can then test, and it exposes immediately which questions actually matter.</w:t>
            </w:r>
          </w:p>
          <w:p>
            <w:pPr>
              <w:spacing w:after="60" w:line="270"/>
            </w:pPr>
            <w:r>
              <w:rPr>
                <w:rFonts w:ascii="Calibri" w:cs="Calibri" w:eastAsia="Calibri" w:hAnsi="Calibri"/>
                <w:sz w:val="20"/>
                <w:szCs w:val="20"/>
              </w:rPr>
              <w:t xml:space="preserve">Rewrite it in Week 5 from the evidence. The delta between the two versions is a good check on whether you learned anything, and the Week 1 version often reveals a bias worth naming in the final document.</w:t>
            </w:r>
          </w:p>
        </w:tc>
      </w:tr>
    </w:tbl>
    <w:p>
      <w:r>
        <w:br w:type="page"/>
      </w:r>
    </w:p>
    <w:p>
      <w:pPr>
        <w:pStyle w:val="Heading1"/>
        <w:spacing w:after="160" w:before="340"/>
      </w:pPr>
      <w:r>
        <w:rPr>
          <w:rFonts w:ascii="Calibri" w:cs="Calibri" w:eastAsia="Calibri" w:hAnsi="Calibri"/>
          <w:b/>
          <w:bCs/>
          <w:color w:val="1F3864"/>
          <w:sz w:val="30"/>
          <w:szCs w:val="30"/>
        </w:rPr>
        <w:t xml:space="preserve">4. Week by Week</w:t>
      </w:r>
    </w:p>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110"/>
              <w:left w:type="dxa" w:w="180"/>
              <w:bottom w:type="dxa" w:w="110"/>
              <w:right w:type="dxa" w:w="180"/>
            </w:tcMar>
          </w:tcPr>
          <w:p>
            <w:pPr>
              <w:spacing w:after="0"/>
            </w:pPr>
            <w:r>
              <w:rPr>
                <w:rFonts w:ascii="Calibri" w:cs="Calibri" w:eastAsia="Calibri" w:hAnsi="Calibri"/>
                <w:b/>
                <w:bCs/>
                <w:color w:val="9DC3E6"/>
                <w:sz w:val="22"/>
                <w:szCs w:val="22"/>
              </w:rPr>
              <w:t xml:space="preserve">WEEK 1   </w:t>
            </w:r>
            <w:r>
              <w:rPr>
                <w:rFonts w:ascii="Calibri" w:cs="Calibri" w:eastAsia="Calibri" w:hAnsi="Calibri"/>
                <w:b/>
                <w:bCs/>
                <w:color w:val="FFFFFF"/>
                <w:sz w:val="22"/>
                <w:szCs w:val="22"/>
              </w:rPr>
              <w:t xml:space="preserve">Frame the question and unblock yourself</w:t>
            </w:r>
          </w:p>
        </w:tc>
      </w:tr>
    </w:tbl>
    <w:p>
      <w:pPr>
        <w:spacing w:after="100"/>
      </w:pPr>
    </w:p>
    <w:p>
      <w:pPr>
        <w:spacing w:after="100" w:line="276"/>
      </w:pPr>
      <w:r>
        <w:rPr>
          <w:rFonts w:ascii="Calibri" w:cs="Calibri" w:eastAsia="Calibri" w:hAnsi="Calibri"/>
          <w:b/>
          <w:bCs/>
          <w:sz w:val="21"/>
          <w:szCs w:val="21"/>
        </w:rPr>
        <w:t xml:space="preserve">Objective. </w:t>
      </w:r>
      <w:r>
        <w:rPr>
          <w:rFonts w:ascii="Calibri" w:cs="Calibri" w:eastAsia="Calibri" w:hAnsi="Calibri"/>
          <w:sz w:val="21"/>
          <w:szCs w:val="21"/>
        </w:rPr>
        <w:t xml:space="preserve">Fix the scope, start the long-lead requests, and complete the industry research. Leave this week with nothing blocking you that a two-week lead time could have prevented.</w:t>
      </w:r>
    </w:p>
    <w:p>
      <w:pPr>
        <w:spacing w:after="60" w:line="276"/>
      </w:pPr>
      <w:r>
        <w:rPr>
          <w:rFonts w:ascii="Calibri" w:cs="Calibri" w:eastAsia="Calibri" w:hAnsi="Calibri"/>
          <w:b/>
          <w:bCs/>
          <w:sz w:val="20"/>
          <w:szCs w:val="20"/>
        </w:rPr>
        <w:t xml:space="preserve">Activities</w:t>
      </w:r>
    </w:p>
    <w:p>
      <w:pPr>
        <w:pStyle w:val="ListParagraph"/>
        <w:numPr>
          <w:ilvl w:val="0"/>
          <w:numId w:val="2"/>
        </w:numPr>
        <w:spacing w:after="70" w:line="270"/>
      </w:pPr>
      <w:r>
        <w:rPr>
          <w:rFonts w:ascii="Calibri" w:cs="Calibri" w:eastAsia="Calibri" w:hAnsi="Calibri"/>
          <w:sz w:val="21"/>
          <w:szCs w:val="21"/>
        </w:rPr>
        <w:t xml:space="preserve">Write a one-page scoping note: the question, what is in and out of scope, what you will deliver, and by when. Send it to whoever set the task and get written confirmation. This is your defence against scope drift later.</w:t>
      </w:r>
    </w:p>
    <w:p>
      <w:pPr>
        <w:pStyle w:val="ListParagraph"/>
        <w:numPr>
          <w:ilvl w:val="0"/>
          <w:numId w:val="2"/>
        </w:numPr>
        <w:spacing w:after="70" w:line="270"/>
      </w:pPr>
      <w:r>
        <w:rPr>
          <w:rFonts w:ascii="Calibri" w:cs="Calibri" w:eastAsia="Calibri" w:hAnsi="Calibri"/>
          <w:sz w:val="21"/>
          <w:szCs w:val="21"/>
        </w:rPr>
        <w:t xml:space="preserve">Draft the throwaway executive summary described in Section 3 — your hypothesis before evidence.</w:t>
      </w:r>
    </w:p>
    <w:p>
      <w:pPr>
        <w:pStyle w:val="ListParagraph"/>
        <w:numPr>
          <w:ilvl w:val="0"/>
          <w:numId w:val="2"/>
        </w:numPr>
        <w:spacing w:after="70" w:line="270"/>
      </w:pPr>
      <w:r>
        <w:rPr>
          <w:rFonts w:ascii="Calibri" w:cs="Calibri" w:eastAsia="Calibri" w:hAnsi="Calibri"/>
          <w:sz w:val="21"/>
          <w:szCs w:val="21"/>
        </w:rPr>
        <w:t xml:space="preserve">Issue the access request (Section 4.1 below). Name specific people, specific systems and specific read-only permissions. Vague requests get deferred; specific ones get actioned or explicitly refused, and either outcome is progress.</w:t>
      </w:r>
    </w:p>
    <w:p>
      <w:pPr>
        <w:pStyle w:val="ListParagraph"/>
        <w:numPr>
          <w:ilvl w:val="0"/>
          <w:numId w:val="2"/>
        </w:numPr>
        <w:spacing w:after="70" w:line="270"/>
      </w:pPr>
      <w:r>
        <w:rPr>
          <w:rFonts w:ascii="Calibri" w:cs="Calibri" w:eastAsia="Calibri" w:hAnsi="Calibri"/>
          <w:sz w:val="21"/>
          <w:szCs w:val="21"/>
        </w:rPr>
        <w:t xml:space="preserve">Ask Finance for the value per conversion, in writing, this week.</w:t>
      </w:r>
    </w:p>
    <w:p>
      <w:pPr>
        <w:pStyle w:val="ListParagraph"/>
        <w:numPr>
          <w:ilvl w:val="0"/>
          <w:numId w:val="2"/>
        </w:numPr>
        <w:spacing w:after="70" w:line="270"/>
      </w:pPr>
      <w:r>
        <w:rPr>
          <w:rFonts w:ascii="Calibri" w:cs="Calibri" w:eastAsia="Calibri" w:hAnsi="Calibri"/>
          <w:sz w:val="21"/>
          <w:szCs w:val="21"/>
        </w:rPr>
        <w:t xml:space="preserve">Complete BR-1: define closed-loop optimization, document the six-stage loop, build the maturity model, and gather benchmark context.</w:t>
      </w:r>
    </w:p>
    <w:p>
      <w:pPr>
        <w:pStyle w:val="ListParagraph"/>
        <w:numPr>
          <w:ilvl w:val="0"/>
          <w:numId w:val="2"/>
        </w:numPr>
        <w:spacing w:after="70" w:line="270"/>
      </w:pPr>
      <w:r>
        <w:rPr>
          <w:rFonts w:ascii="Calibri" w:cs="Calibri" w:eastAsia="Calibri" w:hAnsi="Calibri"/>
          <w:sz w:val="21"/>
          <w:szCs w:val="21"/>
        </w:rPr>
        <w:t xml:space="preserve">Identify the candidate pilot journey — highest volume, simplest fulfilment path, fewest regulatory constraints. You will use it as the concrete example throughout.</w:t>
      </w:r>
    </w:p>
    <w:p>
      <w:pPr>
        <w:spacing w:after="40"/>
      </w:pPr>
    </w:p>
    <w:p>
      <w:pPr>
        <w:spacing w:after="60" w:line="276"/>
      </w:pPr>
      <w:r>
        <w:rPr>
          <w:rFonts w:ascii="Calibri" w:cs="Calibri" w:eastAsia="Calibri" w:hAnsi="Calibri"/>
          <w:b/>
          <w:bCs/>
          <w:sz w:val="21"/>
          <w:szCs w:val="21"/>
        </w:rPr>
        <w:t xml:space="preserve">Output: </w:t>
      </w:r>
      <w:r>
        <w:rPr>
          <w:rFonts w:ascii="Calibri" w:cs="Calibri" w:eastAsia="Calibri" w:hAnsi="Calibri"/>
          <w:sz w:val="21"/>
          <w:szCs w:val="21"/>
        </w:rPr>
        <w:t xml:space="preserve">Scoping note (confirmed), access request issued, draft BR-1 section, working hypothesis.</w:t>
      </w:r>
    </w:p>
    <w:p>
      <w:pPr>
        <w:spacing w:after="240" w:line="276"/>
      </w:pPr>
      <w:r>
        <w:rPr>
          <w:rFonts w:ascii="Calibri" w:cs="Calibri" w:eastAsia="Calibri" w:hAnsi="Calibri"/>
          <w:b/>
          <w:bCs/>
          <w:sz w:val="21"/>
          <w:szCs w:val="21"/>
        </w:rPr>
        <w:t xml:space="preserve">Done when: </w:t>
      </w:r>
      <w:r>
        <w:rPr>
          <w:rFonts w:ascii="Calibri" w:cs="Calibri" w:eastAsia="Calibri" w:hAnsi="Calibri"/>
          <w:i/>
          <w:iCs/>
          <w:sz w:val="21"/>
          <w:szCs w:val="21"/>
        </w:rPr>
        <w:t xml:space="preserve">Someone senior has confirmed your scope in writing, and every long-lead request is out the door.</w:t>
      </w:r>
    </w:p>
    <w:p>
      <w:pPr>
        <w:pStyle w:val="Heading3"/>
        <w:spacing w:after="100" w:before="200"/>
      </w:pPr>
      <w:r>
        <w:rPr>
          <w:rFonts w:ascii="Calibri" w:cs="Calibri" w:eastAsia="Calibri" w:hAnsi="Calibri"/>
          <w:b/>
          <w:bCs/>
          <w:color w:val="333333"/>
          <w:sz w:val="21"/>
          <w:szCs w:val="21"/>
        </w:rPr>
        <w:t xml:space="preserve">4.1 The access request — what to actually ask for</w:t>
      </w:r>
    </w:p>
    <w:p>
      <w:pPr>
        <w:spacing w:after="120" w:line="276"/>
      </w:pPr>
      <w:r>
        <w:rPr>
          <w:rFonts w:ascii="Calibri" w:cs="Calibri" w:eastAsia="Calibri" w:hAnsi="Calibri"/>
          <w:sz w:val="21"/>
          <w:szCs w:val="21"/>
        </w:rPr>
        <w:t xml:space="preserve">Keep it small, specific and read-only. A modest request is far more likely to be granted than a broad one, and this list is enough to deliver BR-3 and BR-4 properly.</w:t>
      </w:r>
    </w:p>
    <w:p>
      <w:pPr>
        <w:pStyle w:val="ListParagraph"/>
        <w:numPr>
          <w:ilvl w:val="0"/>
          <w:numId w:val="3"/>
        </w:numPr>
        <w:spacing w:after="70" w:line="270"/>
      </w:pPr>
      <w:r>
        <w:rPr>
          <w:rFonts w:ascii="Calibri" w:cs="Calibri" w:eastAsia="Calibri" w:hAnsi="Calibri"/>
          <w:sz w:val="21"/>
          <w:szCs w:val="21"/>
        </w:rPr>
        <w:t xml:space="preserve">A named contact in analytics — one hour, plus follow-up questions by email.</w:t>
      </w:r>
    </w:p>
    <w:p>
      <w:pPr>
        <w:pStyle w:val="ListParagraph"/>
        <w:numPr>
          <w:ilvl w:val="0"/>
          <w:numId w:val="3"/>
        </w:numPr>
        <w:spacing w:after="70" w:line="270"/>
      </w:pPr>
      <w:r>
        <w:rPr>
          <w:rFonts w:ascii="Calibri" w:cs="Calibri" w:eastAsia="Calibri" w:hAnsi="Calibri"/>
          <w:sz w:val="21"/>
          <w:szCs w:val="21"/>
        </w:rPr>
        <w:t xml:space="preserve">A named contact in data engineering or the data platform team — one hour.</w:t>
      </w:r>
    </w:p>
    <w:p>
      <w:pPr>
        <w:pStyle w:val="ListParagraph"/>
        <w:numPr>
          <w:ilvl w:val="0"/>
          <w:numId w:val="3"/>
        </w:numPr>
        <w:spacing w:after="70" w:line="270"/>
      </w:pPr>
      <w:r>
        <w:rPr>
          <w:rFonts w:ascii="Calibri" w:cs="Calibri" w:eastAsia="Calibri" w:hAnsi="Calibri"/>
          <w:sz w:val="21"/>
          <w:szCs w:val="21"/>
        </w:rPr>
        <w:t xml:space="preserve">Read access to the web analytics platform for the candidate journey.</w:t>
      </w:r>
    </w:p>
    <w:p>
      <w:pPr>
        <w:pStyle w:val="ListParagraph"/>
        <w:numPr>
          <w:ilvl w:val="0"/>
          <w:numId w:val="3"/>
        </w:numPr>
        <w:spacing w:after="70" w:line="270"/>
      </w:pPr>
      <w:r>
        <w:rPr>
          <w:rFonts w:ascii="Calibri" w:cs="Calibri" w:eastAsia="Calibri" w:hAnsi="Calibri"/>
          <w:sz w:val="21"/>
          <w:szCs w:val="21"/>
        </w:rPr>
        <w:t xml:space="preserve">Read access to the existing testing or personalization tool, including the last twelve months of test results.</w:t>
      </w:r>
    </w:p>
    <w:p>
      <w:pPr>
        <w:pStyle w:val="ListParagraph"/>
        <w:numPr>
          <w:ilvl w:val="0"/>
          <w:numId w:val="3"/>
        </w:numPr>
        <w:spacing w:after="70" w:line="270"/>
      </w:pPr>
      <w:r>
        <w:rPr>
          <w:rFonts w:ascii="Calibri" w:cs="Calibri" w:eastAsia="Calibri" w:hAnsi="Calibri"/>
          <w:sz w:val="21"/>
          <w:szCs w:val="21"/>
        </w:rPr>
        <w:t xml:space="preserve">The current event taxonomy or tracking specification document, whatever state it is in.</w:t>
      </w:r>
    </w:p>
    <w:p>
      <w:pPr>
        <w:pStyle w:val="ListParagraph"/>
        <w:numPr>
          <w:ilvl w:val="0"/>
          <w:numId w:val="3"/>
        </w:numPr>
        <w:spacing w:after="70" w:line="270"/>
      </w:pPr>
      <w:r>
        <w:rPr>
          <w:rFonts w:ascii="Calibri" w:cs="Calibri" w:eastAsia="Calibri" w:hAnsi="Calibri"/>
          <w:sz w:val="21"/>
          <w:szCs w:val="21"/>
        </w:rPr>
        <w:t xml:space="preserve">A written answer to one question: can the fulfilment system record and return a variant identifier?</w:t>
      </w:r>
    </w:p>
    <w:p>
      <w:pPr>
        <w:spacing w:after="260" w:line="276"/>
      </w:pPr>
      <w:r>
        <w:rPr>
          <w:rFonts w:ascii="Calibri" w:cs="Calibri" w:eastAsia="Calibri" w:hAnsi="Calibri"/>
          <w:b/>
          <w:bCs/>
          <w:sz w:val="21"/>
          <w:szCs w:val="21"/>
        </w:rPr>
        <w:t xml:space="preserve">Frame the request around risk, not curiosity: </w:t>
      </w:r>
      <w:r>
        <w:rPr>
          <w:rFonts w:ascii="Calibri" w:cs="Calibri" w:eastAsia="Calibri" w:hAnsi="Calibri"/>
          <w:sz w:val="21"/>
          <w:szCs w:val="21"/>
        </w:rPr>
        <w:t xml:space="preserve">"Without this, the data gap analysis will be based on assumption rather than evidence, and the feasibility verdict will not be safe to act on." That is true, and it moves faster than asking nicely.</w:t>
      </w:r>
    </w:p>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110"/>
              <w:left w:type="dxa" w:w="180"/>
              <w:bottom w:type="dxa" w:w="110"/>
              <w:right w:type="dxa" w:w="180"/>
            </w:tcMar>
          </w:tcPr>
          <w:p>
            <w:pPr>
              <w:spacing w:after="0"/>
            </w:pPr>
            <w:r>
              <w:rPr>
                <w:rFonts w:ascii="Calibri" w:cs="Calibri" w:eastAsia="Calibri" w:hAnsi="Calibri"/>
                <w:b/>
                <w:bCs/>
                <w:color w:val="9DC3E6"/>
                <w:sz w:val="22"/>
                <w:szCs w:val="22"/>
              </w:rPr>
              <w:t xml:space="preserve">WEEK 2   </w:t>
            </w:r>
            <w:r>
              <w:rPr>
                <w:rFonts w:ascii="Calibri" w:cs="Calibri" w:eastAsia="Calibri" w:hAnsi="Calibri"/>
                <w:b/>
                <w:bCs/>
                <w:color w:val="FFFFFF"/>
                <w:sz w:val="22"/>
                <w:szCs w:val="22"/>
              </w:rPr>
              <w:t xml:space="preserve">Build the reference architecture</w:t>
            </w:r>
          </w:p>
        </w:tc>
      </w:tr>
    </w:tbl>
    <w:p>
      <w:pPr>
        <w:spacing w:after="100"/>
      </w:pPr>
    </w:p>
    <w:p>
      <w:pPr>
        <w:spacing w:after="100" w:line="276"/>
      </w:pPr>
      <w:r>
        <w:rPr>
          <w:rFonts w:ascii="Calibri" w:cs="Calibri" w:eastAsia="Calibri" w:hAnsi="Calibri"/>
          <w:b/>
          <w:bCs/>
          <w:sz w:val="21"/>
          <w:szCs w:val="21"/>
        </w:rPr>
        <w:t xml:space="preserve">Objective. </w:t>
      </w:r>
      <w:r>
        <w:rPr>
          <w:rFonts w:ascii="Calibri" w:cs="Calibri" w:eastAsia="Calibri" w:hAnsi="Calibri"/>
          <w:sz w:val="21"/>
          <w:szCs w:val="21"/>
        </w:rPr>
        <w:t xml:space="preserve">Convert the concept into a layered architecture specific enough to generate data requirements. This is the engine of the whole study.</w:t>
      </w:r>
    </w:p>
    <w:p>
      <w:pPr>
        <w:spacing w:after="60" w:line="276"/>
      </w:pPr>
      <w:r>
        <w:rPr>
          <w:rFonts w:ascii="Calibri" w:cs="Calibri" w:eastAsia="Calibri" w:hAnsi="Calibri"/>
          <w:b/>
          <w:bCs/>
          <w:sz w:val="20"/>
          <w:szCs w:val="20"/>
        </w:rPr>
        <w:t xml:space="preserve">Activities</w:t>
      </w:r>
    </w:p>
    <w:p>
      <w:pPr>
        <w:pStyle w:val="ListParagraph"/>
        <w:numPr>
          <w:ilvl w:val="0"/>
          <w:numId w:val="2"/>
        </w:numPr>
        <w:spacing w:after="70" w:line="270"/>
      </w:pPr>
      <w:r>
        <w:rPr>
          <w:rFonts w:ascii="Calibri" w:cs="Calibri" w:eastAsia="Calibri" w:hAnsi="Calibri"/>
          <w:sz w:val="21"/>
          <w:szCs w:val="21"/>
        </w:rPr>
        <w:t xml:space="preserve">Define the five layers — collection, identity and profile, decisioning, delivery, measurement and feedback — and write down what each is responsible for.</w:t>
      </w:r>
    </w:p>
    <w:p>
      <w:pPr>
        <w:pStyle w:val="ListParagraph"/>
        <w:numPr>
          <w:ilvl w:val="0"/>
          <w:numId w:val="2"/>
        </w:numPr>
        <w:spacing w:after="70" w:line="270"/>
      </w:pPr>
      <w:r>
        <w:rPr>
          <w:rFonts w:ascii="Calibri" w:cs="Calibri" w:eastAsia="Calibri" w:hAnsi="Calibri"/>
          <w:sz w:val="21"/>
          <w:szCs w:val="21"/>
        </w:rPr>
        <w:t xml:space="preserve">For each layer, write the assessment questions you would ask to judge whether it exists here. These become your interview questions in Week 3.</w:t>
      </w:r>
    </w:p>
    <w:p>
      <w:pPr>
        <w:pStyle w:val="ListParagraph"/>
        <w:numPr>
          <w:ilvl w:val="0"/>
          <w:numId w:val="2"/>
        </w:numPr>
        <w:spacing w:after="70" w:line="270"/>
      </w:pPr>
      <w:r>
        <w:rPr>
          <w:rFonts w:ascii="Calibri" w:cs="Calibri" w:eastAsia="Calibri" w:hAnsi="Calibri"/>
          <w:sz w:val="21"/>
          <w:szCs w:val="21"/>
        </w:rPr>
        <w:t xml:space="preserve">Map the platform landscape by category rather than by vendor. Six categories is enough; an exhaustive vendor matrix is out of scope and will date immediately.</w:t>
      </w:r>
    </w:p>
    <w:p>
      <w:pPr>
        <w:pStyle w:val="ListParagraph"/>
        <w:numPr>
          <w:ilvl w:val="0"/>
          <w:numId w:val="2"/>
        </w:numPr>
        <w:spacing w:after="70" w:line="270"/>
      </w:pPr>
      <w:r>
        <w:rPr>
          <w:rFonts w:ascii="Calibri" w:cs="Calibri" w:eastAsia="Calibri" w:hAnsi="Calibri"/>
          <w:sz w:val="21"/>
          <w:szCs w:val="21"/>
        </w:rPr>
        <w:t xml:space="preserve">Document the decisioning approaches — A/B, multi-armed bandit, contextual bandit, propensity and uplift models — and, more importantly, the conditions under which each is appropriate.</w:t>
      </w:r>
    </w:p>
    <w:p>
      <w:pPr>
        <w:pStyle w:val="ListParagraph"/>
        <w:numPr>
          <w:ilvl w:val="0"/>
          <w:numId w:val="2"/>
        </w:numPr>
        <w:spacing w:after="70" w:line="270"/>
      </w:pPr>
      <w:r>
        <w:rPr>
          <w:rFonts w:ascii="Calibri" w:cs="Calibri" w:eastAsia="Calibri" w:hAnsi="Calibri"/>
          <w:sz w:val="21"/>
          <w:szCs w:val="21"/>
        </w:rPr>
        <w:t xml:space="preserve">Audit existing entitlements. Find out what the organisation already licenses and has not deployed. This is frequently the highest-value single finding in the whole study and it costs an afternoon.</w:t>
      </w:r>
    </w:p>
    <w:p>
      <w:pPr>
        <w:pStyle w:val="ListParagraph"/>
        <w:numPr>
          <w:ilvl w:val="0"/>
          <w:numId w:val="2"/>
        </w:numPr>
        <w:spacing w:after="70" w:line="270"/>
      </w:pPr>
      <w:r>
        <w:rPr>
          <w:rFonts w:ascii="Calibri" w:cs="Calibri" w:eastAsia="Calibri" w:hAnsi="Calibri"/>
          <w:sz w:val="21"/>
          <w:szCs w:val="21"/>
        </w:rPr>
        <w:t xml:space="preserve">Set out build versus buy versus compose as options with arguments, not as a recommendation.</w:t>
      </w:r>
    </w:p>
    <w:p>
      <w:pPr>
        <w:spacing w:after="40"/>
      </w:pPr>
    </w:p>
    <w:p>
      <w:pPr>
        <w:spacing w:after="60" w:line="276"/>
      </w:pPr>
      <w:r>
        <w:rPr>
          <w:rFonts w:ascii="Calibri" w:cs="Calibri" w:eastAsia="Calibri" w:hAnsi="Calibri"/>
          <w:b/>
          <w:bCs/>
          <w:sz w:val="21"/>
          <w:szCs w:val="21"/>
        </w:rPr>
        <w:t xml:space="preserve">Output: </w:t>
      </w:r>
      <w:r>
        <w:rPr>
          <w:rFonts w:ascii="Calibri" w:cs="Calibri" w:eastAsia="Calibri" w:hAnsi="Calibri"/>
          <w:sz w:val="21"/>
          <w:szCs w:val="21"/>
        </w:rPr>
        <w:t xml:space="preserve">Draft BR-2 section including the reference architecture diagram or table, platform landscape and decisioning comparison.</w:t>
      </w:r>
    </w:p>
    <w:p>
      <w:pPr>
        <w:spacing w:after="240" w:line="276"/>
      </w:pPr>
      <w:r>
        <w:rPr>
          <w:rFonts w:ascii="Calibri" w:cs="Calibri" w:eastAsia="Calibri" w:hAnsi="Calibri"/>
          <w:b/>
          <w:bCs/>
          <w:sz w:val="21"/>
          <w:szCs w:val="21"/>
        </w:rPr>
        <w:t xml:space="preserve">Done when: </w:t>
      </w:r>
      <w:r>
        <w:rPr>
          <w:rFonts w:ascii="Calibri" w:cs="Calibri" w:eastAsia="Calibri" w:hAnsi="Calibri"/>
          <w:i/>
          <w:iCs/>
          <w:sz w:val="21"/>
          <w:szCs w:val="21"/>
        </w:rPr>
        <w:t xml:space="preserve">You can explain to an engineer what would need to be built, and to a marketer what it would do — using the same document.</w:t>
      </w:r>
    </w:p>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110"/>
              <w:left w:type="dxa" w:w="180"/>
              <w:bottom w:type="dxa" w:w="110"/>
              <w:right w:type="dxa" w:w="180"/>
            </w:tcMar>
          </w:tcPr>
          <w:p>
            <w:pPr>
              <w:spacing w:after="0"/>
            </w:pPr>
            <w:r>
              <w:rPr>
                <w:rFonts w:ascii="Calibri" w:cs="Calibri" w:eastAsia="Calibri" w:hAnsi="Calibri"/>
                <w:b/>
                <w:bCs/>
                <w:color w:val="9DC3E6"/>
                <w:sz w:val="22"/>
                <w:szCs w:val="22"/>
              </w:rPr>
              <w:t xml:space="preserve">WEEK 3   </w:t>
            </w:r>
            <w:r>
              <w:rPr>
                <w:rFonts w:ascii="Calibri" w:cs="Calibri" w:eastAsia="Calibri" w:hAnsi="Calibri"/>
                <w:b/>
                <w:bCs/>
                <w:color w:val="FFFFFF"/>
                <w:sz w:val="22"/>
                <w:szCs w:val="22"/>
              </w:rPr>
              <w:t xml:space="preserve">Specify the data requirements</w:t>
            </w:r>
          </w:p>
        </w:tc>
      </w:tr>
    </w:tbl>
    <w:p>
      <w:pPr>
        <w:spacing w:after="100"/>
      </w:pPr>
    </w:p>
    <w:p>
      <w:pPr>
        <w:spacing w:after="100" w:line="276"/>
      </w:pPr>
      <w:r>
        <w:rPr>
          <w:rFonts w:ascii="Calibri" w:cs="Calibri" w:eastAsia="Calibri" w:hAnsi="Calibri"/>
          <w:b/>
          <w:bCs/>
          <w:sz w:val="21"/>
          <w:szCs w:val="21"/>
        </w:rPr>
        <w:t xml:space="preserve">Objective. </w:t>
      </w:r>
      <w:r>
        <w:rPr>
          <w:rFonts w:ascii="Calibri" w:cs="Calibri" w:eastAsia="Calibri" w:hAnsi="Calibri"/>
          <w:sz w:val="21"/>
          <w:szCs w:val="21"/>
        </w:rPr>
        <w:t xml:space="preserve">Derive, from the architecture, exactly what data the capability needs — to the level of named events and fields. Then send the data request.</w:t>
      </w:r>
    </w:p>
    <w:p>
      <w:pPr>
        <w:spacing w:after="60" w:line="276"/>
      </w:pPr>
      <w:r>
        <w:rPr>
          <w:rFonts w:ascii="Calibri" w:cs="Calibri" w:eastAsia="Calibri" w:hAnsi="Calibri"/>
          <w:b/>
          <w:bCs/>
          <w:sz w:val="20"/>
          <w:szCs w:val="20"/>
        </w:rPr>
        <w:t xml:space="preserve">Activities</w:t>
      </w:r>
    </w:p>
    <w:p>
      <w:pPr>
        <w:pStyle w:val="ListParagraph"/>
        <w:numPr>
          <w:ilvl w:val="0"/>
          <w:numId w:val="2"/>
        </w:numPr>
        <w:spacing w:after="70" w:line="270"/>
      </w:pPr>
      <w:r>
        <w:rPr>
          <w:rFonts w:ascii="Calibri" w:cs="Calibri" w:eastAsia="Calibri" w:hAnsi="Calibri"/>
          <w:sz w:val="21"/>
          <w:szCs w:val="21"/>
        </w:rPr>
        <w:t xml:space="preserve">Work layer by layer through BR-2 and list what each layer consumes. Do not start from a generic data checklist; derive it, so every requirement is traceable.</w:t>
      </w:r>
    </w:p>
    <w:p>
      <w:pPr>
        <w:pStyle w:val="ListParagraph"/>
        <w:numPr>
          <w:ilvl w:val="0"/>
          <w:numId w:val="2"/>
        </w:numPr>
        <w:spacing w:after="70" w:line="270"/>
      </w:pPr>
      <w:r>
        <w:rPr>
          <w:rFonts w:ascii="Calibri" w:cs="Calibri" w:eastAsia="Calibri" w:hAnsi="Calibri"/>
          <w:sz w:val="21"/>
          <w:szCs w:val="21"/>
        </w:rPr>
        <w:t xml:space="preserve">Define the minimum viable event set — roughly six events — with the identifiers each must carry. Be concrete enough that an engineer could implement from it.</w:t>
      </w:r>
    </w:p>
    <w:p>
      <w:pPr>
        <w:pStyle w:val="ListParagraph"/>
        <w:numPr>
          <w:ilvl w:val="0"/>
          <w:numId w:val="2"/>
        </w:numPr>
        <w:spacing w:after="70" w:line="270"/>
      </w:pPr>
      <w:r>
        <w:rPr>
          <w:rFonts w:ascii="Calibri" w:cs="Calibri" w:eastAsia="Calibri" w:hAnsi="Calibri"/>
          <w:sz w:val="21"/>
          <w:szCs w:val="21"/>
        </w:rPr>
        <w:t xml:space="preserve">Specify identity requirements: anonymous capture, deterministic matching, and the anonymous-to-known merge at authentication.</w:t>
      </w:r>
    </w:p>
    <w:p>
      <w:pPr>
        <w:pStyle w:val="ListParagraph"/>
        <w:numPr>
          <w:ilvl w:val="0"/>
          <w:numId w:val="2"/>
        </w:numPr>
        <w:spacing w:after="70" w:line="270"/>
      </w:pPr>
      <w:r>
        <w:rPr>
          <w:rFonts w:ascii="Calibri" w:cs="Calibri" w:eastAsia="Calibri" w:hAnsi="Calibri"/>
          <w:sz w:val="21"/>
          <w:szCs w:val="21"/>
        </w:rPr>
        <w:t xml:space="preserve">Specify consent as a decisioning input with a defined non-personalised fallback, not as a compliance annex.</w:t>
      </w:r>
    </w:p>
    <w:p>
      <w:pPr>
        <w:pStyle w:val="ListParagraph"/>
        <w:numPr>
          <w:ilvl w:val="0"/>
          <w:numId w:val="2"/>
        </w:numPr>
        <w:spacing w:after="70" w:line="270"/>
      </w:pPr>
      <w:r>
        <w:rPr>
          <w:rFonts w:ascii="Calibri" w:cs="Calibri" w:eastAsia="Calibri" w:hAnsi="Calibri"/>
          <w:sz w:val="21"/>
          <w:szCs w:val="21"/>
        </w:rPr>
        <w:t xml:space="preserve">Set out latency requirements per flow. Distinguish clearly between what must be sub-second and what can be daily — conflating these leads to over-engineering the wrong layer.</w:t>
      </w:r>
    </w:p>
    <w:p>
      <w:pPr>
        <w:pStyle w:val="ListParagraph"/>
        <w:numPr>
          <w:ilvl w:val="0"/>
          <w:numId w:val="2"/>
        </w:numPr>
        <w:spacing w:after="70" w:line="270"/>
      </w:pPr>
      <w:r>
        <w:rPr>
          <w:rFonts w:ascii="Calibri" w:cs="Calibri" w:eastAsia="Calibri" w:hAnsi="Calibri"/>
          <w:sz w:val="21"/>
          <w:szCs w:val="21"/>
        </w:rPr>
        <w:t xml:space="preserve">Issue the data request list and run whatever stakeholder conversations access has allowed.</w:t>
      </w:r>
    </w:p>
    <w:p>
      <w:pPr>
        <w:spacing w:after="40"/>
      </w:pPr>
    </w:p>
    <w:p>
      <w:pPr>
        <w:spacing w:after="60" w:line="276"/>
      </w:pPr>
      <w:r>
        <w:rPr>
          <w:rFonts w:ascii="Calibri" w:cs="Calibri" w:eastAsia="Calibri" w:hAnsi="Calibri"/>
          <w:b/>
          <w:bCs/>
          <w:sz w:val="21"/>
          <w:szCs w:val="21"/>
        </w:rPr>
        <w:t xml:space="preserve">Output: </w:t>
      </w:r>
      <w:r>
        <w:rPr>
          <w:rFonts w:ascii="Calibri" w:cs="Calibri" w:eastAsia="Calibri" w:hAnsi="Calibri"/>
          <w:sz w:val="21"/>
          <w:szCs w:val="21"/>
        </w:rPr>
        <w:t xml:space="preserve">Draft BR-3 section; data request issued; interview notes if access was granted.</w:t>
      </w:r>
    </w:p>
    <w:p>
      <w:pPr>
        <w:spacing w:after="240" w:line="276"/>
      </w:pPr>
      <w:r>
        <w:rPr>
          <w:rFonts w:ascii="Calibri" w:cs="Calibri" w:eastAsia="Calibri" w:hAnsi="Calibri"/>
          <w:b/>
          <w:bCs/>
          <w:sz w:val="21"/>
          <w:szCs w:val="21"/>
        </w:rPr>
        <w:t xml:space="preserve">Done when: </w:t>
      </w:r>
      <w:r>
        <w:rPr>
          <w:rFonts w:ascii="Calibri" w:cs="Calibri" w:eastAsia="Calibri" w:hAnsi="Calibri"/>
          <w:i/>
          <w:iCs/>
          <w:sz w:val="21"/>
          <w:szCs w:val="21"/>
        </w:rPr>
        <w:t xml:space="preserve">The requirements are specific enough that someone could tell you "yes we have that" or "no we do not" without needing to ask what you mean.</w:t>
      </w:r>
    </w:p>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110"/>
              <w:left w:type="dxa" w:w="180"/>
              <w:bottom w:type="dxa" w:w="110"/>
              <w:right w:type="dxa" w:w="180"/>
            </w:tcMar>
          </w:tcPr>
          <w:p>
            <w:pPr>
              <w:spacing w:after="0"/>
            </w:pPr>
            <w:r>
              <w:rPr>
                <w:rFonts w:ascii="Calibri" w:cs="Calibri" w:eastAsia="Calibri" w:hAnsi="Calibri"/>
                <w:b/>
                <w:bCs/>
                <w:color w:val="9DC3E6"/>
                <w:sz w:val="22"/>
                <w:szCs w:val="22"/>
              </w:rPr>
              <w:t xml:space="preserve">WEEK 4   </w:t>
            </w:r>
            <w:r>
              <w:rPr>
                <w:rFonts w:ascii="Calibri" w:cs="Calibri" w:eastAsia="Calibri" w:hAnsi="Calibri"/>
                <w:b/>
                <w:bCs/>
                <w:color w:val="FFFFFF"/>
                <w:sz w:val="22"/>
                <w:szCs w:val="22"/>
              </w:rPr>
              <w:t xml:space="preserve">Assess the gaps and reach a verdict</w:t>
            </w:r>
          </w:p>
        </w:tc>
      </w:tr>
    </w:tbl>
    <w:p>
      <w:pPr>
        <w:spacing w:after="100"/>
      </w:pPr>
    </w:p>
    <w:p>
      <w:pPr>
        <w:spacing w:after="100" w:line="276"/>
      </w:pPr>
      <w:r>
        <w:rPr>
          <w:rFonts w:ascii="Calibri" w:cs="Calibri" w:eastAsia="Calibri" w:hAnsi="Calibri"/>
          <w:b/>
          <w:bCs/>
          <w:sz w:val="21"/>
          <w:szCs w:val="21"/>
        </w:rPr>
        <w:t xml:space="preserve">Objective. </w:t>
      </w:r>
      <w:r>
        <w:rPr>
          <w:rFonts w:ascii="Calibri" w:cs="Calibri" w:eastAsia="Calibri" w:hAnsi="Calibri"/>
          <w:sz w:val="21"/>
          <w:szCs w:val="21"/>
        </w:rPr>
        <w:t xml:space="preserve">Compare requirements to reality, then commit to a judgement. This is the week the study either earns its keep or becomes a literature review.</w:t>
      </w:r>
    </w:p>
    <w:p>
      <w:pPr>
        <w:spacing w:after="60" w:line="276"/>
      </w:pPr>
      <w:r>
        <w:rPr>
          <w:rFonts w:ascii="Calibri" w:cs="Calibri" w:eastAsia="Calibri" w:hAnsi="Calibri"/>
          <w:b/>
          <w:bCs/>
          <w:sz w:val="20"/>
          <w:szCs w:val="20"/>
        </w:rPr>
        <w:t xml:space="preserve">Activities</w:t>
      </w:r>
    </w:p>
    <w:p>
      <w:pPr>
        <w:pStyle w:val="ListParagraph"/>
        <w:numPr>
          <w:ilvl w:val="0"/>
          <w:numId w:val="2"/>
        </w:numPr>
        <w:spacing w:after="70" w:line="270"/>
      </w:pPr>
      <w:r>
        <w:rPr>
          <w:rFonts w:ascii="Calibri" w:cs="Calibri" w:eastAsia="Calibri" w:hAnsi="Calibri"/>
          <w:sz w:val="21"/>
          <w:szCs w:val="21"/>
        </w:rPr>
        <w:t xml:space="preserve">Score each data domain on four dimensions: availability, quality, accessibility, governance. A domain can be fully available and still unusable if it fails on accessibility.</w:t>
      </w:r>
    </w:p>
    <w:p>
      <w:pPr>
        <w:pStyle w:val="ListParagraph"/>
        <w:numPr>
          <w:ilvl w:val="0"/>
          <w:numId w:val="2"/>
        </w:numPr>
        <w:spacing w:after="70" w:line="270"/>
      </w:pPr>
      <w:r>
        <w:rPr>
          <w:rFonts w:ascii="Calibri" w:cs="Calibri" w:eastAsia="Calibri" w:hAnsi="Calibri"/>
          <w:sz w:val="21"/>
          <w:szCs w:val="21"/>
        </w:rPr>
        <w:t xml:space="preserve">Build the gap register: gap, description, impact, remediation, effort. Rank by impact on the loop, not by ease of fixing.</w:t>
      </w:r>
    </w:p>
    <w:p>
      <w:pPr>
        <w:pStyle w:val="ListParagraph"/>
        <w:numPr>
          <w:ilvl w:val="0"/>
          <w:numId w:val="2"/>
        </w:numPr>
        <w:spacing w:after="70" w:line="270"/>
      </w:pPr>
      <w:r>
        <w:rPr>
          <w:rFonts w:ascii="Calibri" w:cs="Calibri" w:eastAsia="Calibri" w:hAnsi="Calibri"/>
          <w:sz w:val="21"/>
          <w:szCs w:val="21"/>
        </w:rPr>
        <w:t xml:space="preserve">Test the central question directly — can a conversion be traced back to the variant served? Try to obtain the answer as a fact rather than an opinion.</w:t>
      </w:r>
    </w:p>
    <w:p>
      <w:pPr>
        <w:pStyle w:val="ListParagraph"/>
        <w:numPr>
          <w:ilvl w:val="0"/>
          <w:numId w:val="2"/>
        </w:numPr>
        <w:spacing w:after="70" w:line="270"/>
      </w:pPr>
      <w:r>
        <w:rPr>
          <w:rFonts w:ascii="Calibri" w:cs="Calibri" w:eastAsia="Calibri" w:hAnsi="Calibri"/>
          <w:sz w:val="21"/>
          <w:szCs w:val="21"/>
        </w:rPr>
        <w:t xml:space="preserve">Reach five separate feasibility verdicts: technical, data, commercial, operational, regulatory. They will not all be the same, and the difference between them is the most useful thing in your report.</w:t>
      </w:r>
    </w:p>
    <w:p>
      <w:pPr>
        <w:pStyle w:val="ListParagraph"/>
        <w:numPr>
          <w:ilvl w:val="0"/>
          <w:numId w:val="2"/>
        </w:numPr>
        <w:spacing w:after="70" w:line="270"/>
      </w:pPr>
      <w:r>
        <w:rPr>
          <w:rFonts w:ascii="Calibri" w:cs="Calibri" w:eastAsia="Calibri" w:hAnsi="Calibri"/>
          <w:sz w:val="21"/>
          <w:szCs w:val="21"/>
        </w:rPr>
        <w:t xml:space="preserve">Build the benefit model as a formula with the unknowns explicitly marked, rather than a fabricated number. State the break-even uplift.</w:t>
      </w:r>
    </w:p>
    <w:p>
      <w:pPr>
        <w:pStyle w:val="ListParagraph"/>
        <w:numPr>
          <w:ilvl w:val="0"/>
          <w:numId w:val="2"/>
        </w:numPr>
        <w:spacing w:after="70" w:line="270"/>
      </w:pPr>
      <w:r>
        <w:rPr>
          <w:rFonts w:ascii="Calibri" w:cs="Calibri" w:eastAsia="Calibri" w:hAnsi="Calibri"/>
          <w:sz w:val="21"/>
          <w:szCs w:val="21"/>
        </w:rPr>
        <w:t xml:space="preserve">Complete the risk register with likelihood, impact and mitigation for each risk.</w:t>
      </w:r>
    </w:p>
    <w:p>
      <w:pPr>
        <w:spacing w:after="40"/>
      </w:pPr>
    </w:p>
    <w:p>
      <w:pPr>
        <w:spacing w:after="60" w:line="276"/>
      </w:pPr>
      <w:r>
        <w:rPr>
          <w:rFonts w:ascii="Calibri" w:cs="Calibri" w:eastAsia="Calibri" w:hAnsi="Calibri"/>
          <w:b/>
          <w:bCs/>
          <w:sz w:val="21"/>
          <w:szCs w:val="21"/>
        </w:rPr>
        <w:t xml:space="preserve">Output: </w:t>
      </w:r>
      <w:r>
        <w:rPr>
          <w:rFonts w:ascii="Calibri" w:cs="Calibri" w:eastAsia="Calibri" w:hAnsi="Calibri"/>
          <w:sz w:val="21"/>
          <w:szCs w:val="21"/>
        </w:rPr>
        <w:t xml:space="preserve">Draft BR-4 and BR-5 sections; completed gap register and risk register.</w:t>
      </w:r>
    </w:p>
    <w:p>
      <w:pPr>
        <w:spacing w:after="240" w:line="276"/>
      </w:pPr>
      <w:r>
        <w:rPr>
          <w:rFonts w:ascii="Calibri" w:cs="Calibri" w:eastAsia="Calibri" w:hAnsi="Calibri"/>
          <w:b/>
          <w:bCs/>
          <w:sz w:val="21"/>
          <w:szCs w:val="21"/>
        </w:rPr>
        <w:t xml:space="preserve">Done when: </w:t>
      </w:r>
      <w:r>
        <w:rPr>
          <w:rFonts w:ascii="Calibri" w:cs="Calibri" w:eastAsia="Calibri" w:hAnsi="Calibri"/>
          <w:i/>
          <w:iCs/>
          <w:sz w:val="21"/>
          <w:szCs w:val="21"/>
        </w:rPr>
        <w:t xml:space="preserve">You have written the word "feasible", "not feasible" or "conditional" against each dimension and can defend each one.</w:t>
      </w:r>
    </w:p>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110"/>
              <w:left w:type="dxa" w:w="180"/>
              <w:bottom w:type="dxa" w:w="110"/>
              <w:right w:type="dxa" w:w="180"/>
            </w:tcMar>
          </w:tcPr>
          <w:p>
            <w:pPr>
              <w:spacing w:after="0"/>
            </w:pPr>
            <w:r>
              <w:rPr>
                <w:rFonts w:ascii="Calibri" w:cs="Calibri" w:eastAsia="Calibri" w:hAnsi="Calibri"/>
                <w:b/>
                <w:bCs/>
                <w:color w:val="9DC3E6"/>
                <w:sz w:val="22"/>
                <w:szCs w:val="22"/>
              </w:rPr>
              <w:t xml:space="preserve">WEEK 5   </w:t>
            </w:r>
            <w:r>
              <w:rPr>
                <w:rFonts w:ascii="Calibri" w:cs="Calibri" w:eastAsia="Calibri" w:hAnsi="Calibri"/>
                <w:b/>
                <w:bCs/>
                <w:color w:val="FFFFFF"/>
                <w:sz w:val="22"/>
                <w:szCs w:val="22"/>
              </w:rPr>
              <w:t xml:space="preserve">Synthesise, recommend, revise</w:t>
            </w:r>
          </w:p>
        </w:tc>
      </w:tr>
    </w:tbl>
    <w:p>
      <w:pPr>
        <w:spacing w:after="100"/>
      </w:pPr>
    </w:p>
    <w:p>
      <w:pPr>
        <w:spacing w:after="100" w:line="276"/>
      </w:pPr>
      <w:r>
        <w:rPr>
          <w:rFonts w:ascii="Calibri" w:cs="Calibri" w:eastAsia="Calibri" w:hAnsi="Calibri"/>
          <w:b/>
          <w:bCs/>
          <w:sz w:val="21"/>
          <w:szCs w:val="21"/>
        </w:rPr>
        <w:t xml:space="preserve">Objective. </w:t>
      </w:r>
      <w:r>
        <w:rPr>
          <w:rFonts w:ascii="Calibri" w:cs="Calibri" w:eastAsia="Calibri" w:hAnsi="Calibri"/>
          <w:sz w:val="21"/>
          <w:szCs w:val="21"/>
        </w:rPr>
        <w:t xml:space="preserve">Turn analysis into a decision-ready document. Most of the value of this week is in what you cut.</w:t>
      </w:r>
    </w:p>
    <w:p>
      <w:pPr>
        <w:spacing w:after="60" w:line="276"/>
      </w:pPr>
      <w:r>
        <w:rPr>
          <w:rFonts w:ascii="Calibri" w:cs="Calibri" w:eastAsia="Calibri" w:hAnsi="Calibri"/>
          <w:b/>
          <w:bCs/>
          <w:sz w:val="20"/>
          <w:szCs w:val="20"/>
        </w:rPr>
        <w:t xml:space="preserve">Activities</w:t>
      </w:r>
    </w:p>
    <w:p>
      <w:pPr>
        <w:pStyle w:val="ListParagraph"/>
        <w:numPr>
          <w:ilvl w:val="0"/>
          <w:numId w:val="2"/>
        </w:numPr>
        <w:spacing w:after="70" w:line="270"/>
      </w:pPr>
      <w:r>
        <w:rPr>
          <w:rFonts w:ascii="Calibri" w:cs="Calibri" w:eastAsia="Calibri" w:hAnsi="Calibri"/>
          <w:sz w:val="21"/>
          <w:szCs w:val="21"/>
        </w:rPr>
        <w:t xml:space="preserve">Write the recommendation first, then check the body supports it. If it does not, the recommendation is wrong — or the analysis is incomplete.</w:t>
      </w:r>
    </w:p>
    <w:p>
      <w:pPr>
        <w:pStyle w:val="ListParagraph"/>
        <w:numPr>
          <w:ilvl w:val="0"/>
          <w:numId w:val="2"/>
        </w:numPr>
        <w:spacing w:after="70" w:line="270"/>
      </w:pPr>
      <w:r>
        <w:rPr>
          <w:rFonts w:ascii="Calibri" w:cs="Calibri" w:eastAsia="Calibri" w:hAnsi="Calibri"/>
          <w:sz w:val="21"/>
          <w:szCs w:val="21"/>
        </w:rPr>
        <w:t xml:space="preserve">Structure the recommendation as gated phases with explicit exit criteria, so leadership is approving a small first step rather than an open-ended programme.</w:t>
      </w:r>
    </w:p>
    <w:p>
      <w:pPr>
        <w:pStyle w:val="ListParagraph"/>
        <w:numPr>
          <w:ilvl w:val="0"/>
          <w:numId w:val="2"/>
        </w:numPr>
        <w:spacing w:after="70" w:line="270"/>
      </w:pPr>
      <w:r>
        <w:rPr>
          <w:rFonts w:ascii="Calibri" w:cs="Calibri" w:eastAsia="Calibri" w:hAnsi="Calibri"/>
          <w:sz w:val="21"/>
          <w:szCs w:val="21"/>
        </w:rPr>
        <w:t xml:space="preserve">Define success criteria in advance of any pilot, including the guardrail metrics. Pre-registering these is what makes a later result credible.</w:t>
      </w:r>
    </w:p>
    <w:p>
      <w:pPr>
        <w:pStyle w:val="ListParagraph"/>
        <w:numPr>
          <w:ilvl w:val="0"/>
          <w:numId w:val="2"/>
        </w:numPr>
        <w:spacing w:after="70" w:line="270"/>
      </w:pPr>
      <w:r>
        <w:rPr>
          <w:rFonts w:ascii="Calibri" w:cs="Calibri" w:eastAsia="Calibri" w:hAnsi="Calibri"/>
          <w:sz w:val="21"/>
          <w:szCs w:val="21"/>
        </w:rPr>
        <w:t xml:space="preserve">Rewrite the executive summary from evidence. Compare it to the Week 1 version and note what changed.</w:t>
      </w:r>
    </w:p>
    <w:p>
      <w:pPr>
        <w:pStyle w:val="ListParagraph"/>
        <w:numPr>
          <w:ilvl w:val="0"/>
          <w:numId w:val="2"/>
        </w:numPr>
        <w:spacing w:after="70" w:line="270"/>
      </w:pPr>
      <w:r>
        <w:rPr>
          <w:rFonts w:ascii="Calibri" w:cs="Calibri" w:eastAsia="Calibri" w:hAnsi="Calibri"/>
          <w:sz w:val="21"/>
          <w:szCs w:val="21"/>
        </w:rPr>
        <w:t xml:space="preserve">State the limitations explicitly — particularly any unvalidated sections. This strengthens the document rather than weakening it.</w:t>
      </w:r>
    </w:p>
    <w:p>
      <w:pPr>
        <w:pStyle w:val="ListParagraph"/>
        <w:numPr>
          <w:ilvl w:val="0"/>
          <w:numId w:val="2"/>
        </w:numPr>
        <w:spacing w:after="70" w:line="270"/>
      </w:pPr>
      <w:r>
        <w:rPr>
          <w:rFonts w:ascii="Calibri" w:cs="Calibri" w:eastAsia="Calibri" w:hAnsi="Calibri"/>
          <w:sz w:val="21"/>
          <w:szCs w:val="21"/>
        </w:rPr>
        <w:t xml:space="preserve">Get one hostile review from someone who will argue with you, and one clarity review from someone outside the domain. Revise.</w:t>
      </w:r>
    </w:p>
    <w:p>
      <w:pPr>
        <w:spacing w:after="40"/>
      </w:pPr>
    </w:p>
    <w:p>
      <w:pPr>
        <w:spacing w:after="60" w:line="276"/>
      </w:pPr>
      <w:r>
        <w:rPr>
          <w:rFonts w:ascii="Calibri" w:cs="Calibri" w:eastAsia="Calibri" w:hAnsi="Calibri"/>
          <w:b/>
          <w:bCs/>
          <w:sz w:val="21"/>
          <w:szCs w:val="21"/>
        </w:rPr>
        <w:t xml:space="preserve">Output: </w:t>
      </w:r>
      <w:r>
        <w:rPr>
          <w:rFonts w:ascii="Calibri" w:cs="Calibri" w:eastAsia="Calibri" w:hAnsi="Calibri"/>
          <w:sz w:val="21"/>
          <w:szCs w:val="21"/>
        </w:rPr>
        <w:t xml:space="preserve">Final feasibility study, executive summary, and a short slide summary if the audience expects one.</w:t>
      </w:r>
    </w:p>
    <w:p>
      <w:pPr>
        <w:spacing w:after="240" w:line="276"/>
      </w:pPr>
      <w:r>
        <w:rPr>
          <w:rFonts w:ascii="Calibri" w:cs="Calibri" w:eastAsia="Calibri" w:hAnsi="Calibri"/>
          <w:b/>
          <w:bCs/>
          <w:sz w:val="21"/>
          <w:szCs w:val="21"/>
        </w:rPr>
        <w:t xml:space="preserve">Done when: </w:t>
      </w:r>
      <w:r>
        <w:rPr>
          <w:rFonts w:ascii="Calibri" w:cs="Calibri" w:eastAsia="Calibri" w:hAnsi="Calibri"/>
          <w:i/>
          <w:iCs/>
          <w:sz w:val="21"/>
          <w:szCs w:val="21"/>
        </w:rPr>
        <w:t xml:space="preserve">A reader who skips to page one knows what you concluded, what you need, and what happens next.</w:t>
      </w:r>
    </w:p>
    <w:p>
      <w:r>
        <w:br w:type="page"/>
      </w:r>
    </w:p>
    <w:p>
      <w:pPr>
        <w:pStyle w:val="Heading1"/>
        <w:spacing w:after="160" w:before="340"/>
      </w:pPr>
      <w:r>
        <w:rPr>
          <w:rFonts w:ascii="Calibri" w:cs="Calibri" w:eastAsia="Calibri" w:hAnsi="Calibri"/>
          <w:b/>
          <w:bCs/>
          <w:color w:val="1F3864"/>
          <w:sz w:val="30"/>
          <w:szCs w:val="30"/>
        </w:rPr>
        <w:t xml:space="preserve">5. Compressing or Extending the Plan</w:t>
      </w:r>
    </w:p>
    <w:p>
      <w:pPr>
        <w:pStyle w:val="Heading2"/>
        <w:spacing w:after="120" w:before="260"/>
      </w:pPr>
      <w:r>
        <w:rPr>
          <w:rFonts w:ascii="Calibri" w:cs="Calibri" w:eastAsia="Calibri" w:hAnsi="Calibri"/>
          <w:b/>
          <w:bCs/>
          <w:color w:val="2E74B5"/>
          <w:sz w:val="24"/>
          <w:szCs w:val="24"/>
        </w:rPr>
        <w:t xml:space="preserve">5.1 If you have three weeks</w:t>
      </w:r>
    </w:p>
    <w:p>
      <w:pPr>
        <w:spacing w:after="120" w:line="276"/>
      </w:pPr>
      <w:r>
        <w:rPr>
          <w:rFonts w:ascii="Calibri" w:cs="Calibri" w:eastAsia="Calibri" w:hAnsi="Calibri"/>
          <w:sz w:val="21"/>
          <w:szCs w:val="21"/>
        </w:rPr>
        <w:t xml:space="preserve">Cut breadth, never the verdict. A short study that concludes is worth more than a long one that surveys.</w:t>
      </w:r>
    </w:p>
    <w:p>
      <w:pPr>
        <w:pStyle w:val="ListParagraph"/>
        <w:numPr>
          <w:ilvl w:val="0"/>
          <w:numId w:val="2"/>
        </w:numPr>
        <w:spacing w:after="70" w:line="270"/>
      </w:pPr>
      <w:r>
        <w:rPr>
          <w:rFonts w:ascii="Calibri" w:cs="Calibri" w:eastAsia="Calibri" w:hAnsi="Calibri"/>
          <w:b/>
          <w:bCs/>
          <w:sz w:val="21"/>
          <w:szCs w:val="21"/>
        </w:rPr>
        <w:t xml:space="preserve">Week 1: </w:t>
      </w:r>
      <w:r>
        <w:rPr>
          <w:rFonts w:ascii="Calibri" w:cs="Calibri" w:eastAsia="Calibri" w:hAnsi="Calibri"/>
          <w:sz w:val="21"/>
          <w:szCs w:val="21"/>
        </w:rPr>
        <w:t xml:space="preserve">Scoping note, access escalation, BR-1 and BR-2 together at reduced depth. Skip the platform landscape detail; keep the architecture.</w:t>
      </w:r>
    </w:p>
    <w:p>
      <w:pPr>
        <w:pStyle w:val="ListParagraph"/>
        <w:numPr>
          <w:ilvl w:val="0"/>
          <w:numId w:val="2"/>
        </w:numPr>
        <w:spacing w:after="70" w:line="270"/>
      </w:pPr>
      <w:r>
        <w:rPr>
          <w:rFonts w:ascii="Calibri" w:cs="Calibri" w:eastAsia="Calibri" w:hAnsi="Calibri"/>
          <w:b/>
          <w:bCs/>
          <w:sz w:val="21"/>
          <w:szCs w:val="21"/>
        </w:rPr>
        <w:t xml:space="preserve">Week 2: </w:t>
      </w:r>
      <w:r>
        <w:rPr>
          <w:rFonts w:ascii="Calibri" w:cs="Calibri" w:eastAsia="Calibri" w:hAnsi="Calibri"/>
          <w:sz w:val="21"/>
          <w:szCs w:val="21"/>
        </w:rPr>
        <w:t xml:space="preserve">BR-3 and BR-4. Reduce the gap register to the five gaps that actually break the loop.</w:t>
      </w:r>
    </w:p>
    <w:p>
      <w:pPr>
        <w:pStyle w:val="ListParagraph"/>
        <w:numPr>
          <w:ilvl w:val="0"/>
          <w:numId w:val="2"/>
        </w:numPr>
        <w:spacing w:after="70" w:line="270"/>
      </w:pPr>
      <w:r>
        <w:rPr>
          <w:rFonts w:ascii="Calibri" w:cs="Calibri" w:eastAsia="Calibri" w:hAnsi="Calibri"/>
          <w:b/>
          <w:bCs/>
          <w:sz w:val="21"/>
          <w:szCs w:val="21"/>
        </w:rPr>
        <w:t xml:space="preserve">Week 3: </w:t>
      </w:r>
      <w:r>
        <w:rPr>
          <w:rFonts w:ascii="Calibri" w:cs="Calibri" w:eastAsia="Calibri" w:hAnsi="Calibri"/>
          <w:sz w:val="21"/>
          <w:szCs w:val="21"/>
        </w:rPr>
        <w:t xml:space="preserve">BR-5, recommendation, write-up, one review cycle.</w:t>
      </w:r>
    </w:p>
    <w:p>
      <w:pPr>
        <w:pStyle w:val="ListParagraph"/>
        <w:numPr>
          <w:ilvl w:val="0"/>
          <w:numId w:val="2"/>
        </w:numPr>
        <w:spacing w:after="70" w:line="270"/>
      </w:pPr>
      <w:r>
        <w:rPr>
          <w:rFonts w:ascii="Calibri" w:cs="Calibri" w:eastAsia="Calibri" w:hAnsi="Calibri"/>
          <w:b/>
          <w:bCs/>
          <w:sz w:val="21"/>
          <w:szCs w:val="21"/>
        </w:rPr>
        <w:t xml:space="preserve">Drop: </w:t>
      </w:r>
      <w:r>
        <w:rPr>
          <w:rFonts w:ascii="Calibri" w:cs="Calibri" w:eastAsia="Calibri" w:hAnsi="Calibri"/>
          <w:sz w:val="21"/>
          <w:szCs w:val="21"/>
        </w:rPr>
        <w:t xml:space="preserve">exhaustive vendor comparison, the maturity model, the interview appendix. Keep: the central question, the gap register, the verdict, the gated recommendation.</w:t>
      </w:r>
    </w:p>
    <w:p>
      <w:pPr>
        <w:pStyle w:val="Heading2"/>
        <w:spacing w:after="120" w:before="260"/>
      </w:pPr>
      <w:r>
        <w:rPr>
          <w:rFonts w:ascii="Calibri" w:cs="Calibri" w:eastAsia="Calibri" w:hAnsi="Calibri"/>
          <w:b/>
          <w:bCs/>
          <w:color w:val="2E74B5"/>
          <w:sz w:val="24"/>
          <w:szCs w:val="24"/>
        </w:rPr>
        <w:t xml:space="preserve">5.2 If you have eight to twelve weeks</w:t>
      </w:r>
    </w:p>
    <w:p>
      <w:pPr>
        <w:spacing w:after="120" w:line="276"/>
      </w:pPr>
      <w:r>
        <w:rPr>
          <w:rFonts w:ascii="Calibri" w:cs="Calibri" w:eastAsia="Calibri" w:hAnsi="Calibri"/>
          <w:sz w:val="21"/>
          <w:szCs w:val="21"/>
        </w:rPr>
        <w:t xml:space="preserve">Use the extra time on evidence, not on more prose.</w:t>
      </w:r>
    </w:p>
    <w:p>
      <w:pPr>
        <w:pStyle w:val="ListParagraph"/>
        <w:numPr>
          <w:ilvl w:val="0"/>
          <w:numId w:val="2"/>
        </w:numPr>
        <w:spacing w:after="70" w:line="270"/>
      </w:pPr>
      <w:r>
        <w:rPr>
          <w:rFonts w:ascii="Calibri" w:cs="Calibri" w:eastAsia="Calibri" w:hAnsi="Calibri"/>
          <w:b/>
          <w:bCs/>
          <w:sz w:val="21"/>
          <w:szCs w:val="21"/>
        </w:rPr>
        <w:t xml:space="preserve">Add hands-on data profiling. </w:t>
      </w:r>
      <w:r>
        <w:rPr>
          <w:rFonts w:ascii="Calibri" w:cs="Calibri" w:eastAsia="Calibri" w:hAnsi="Calibri"/>
          <w:sz w:val="21"/>
          <w:szCs w:val="21"/>
        </w:rPr>
        <w:t xml:space="preserve">Query the event data yourself rather than relying on what people tell you exists. What stakeholders believe is instrumented and what is actually instrumented differ more often than not.</w:t>
      </w:r>
    </w:p>
    <w:p>
      <w:pPr>
        <w:pStyle w:val="ListParagraph"/>
        <w:numPr>
          <w:ilvl w:val="0"/>
          <w:numId w:val="2"/>
        </w:numPr>
        <w:spacing w:after="70" w:line="270"/>
      </w:pPr>
      <w:r>
        <w:rPr>
          <w:rFonts w:ascii="Calibri" w:cs="Calibri" w:eastAsia="Calibri" w:hAnsi="Calibri"/>
          <w:b/>
          <w:bCs/>
          <w:sz w:val="21"/>
          <w:szCs w:val="21"/>
        </w:rPr>
        <w:t xml:space="preserve">Add vendor discovery sessions. </w:t>
      </w:r>
      <w:r>
        <w:rPr>
          <w:rFonts w:ascii="Calibri" w:cs="Calibri" w:eastAsia="Calibri" w:hAnsi="Calibri"/>
          <w:sz w:val="21"/>
          <w:szCs w:val="21"/>
        </w:rPr>
        <w:t xml:space="preserve">Three or four structured conversations, with your own questions from Section 4.1. Ask every vendor how their system handles outcome feedback that arrives eleven days after the session — the quality of the answer is highly discriminating.</w:t>
      </w:r>
    </w:p>
    <w:p>
      <w:pPr>
        <w:pStyle w:val="ListParagraph"/>
        <w:numPr>
          <w:ilvl w:val="0"/>
          <w:numId w:val="2"/>
        </w:numPr>
        <w:spacing w:after="70" w:line="270"/>
      </w:pPr>
      <w:r>
        <w:rPr>
          <w:rFonts w:ascii="Calibri" w:cs="Calibri" w:eastAsia="Calibri" w:hAnsi="Calibri"/>
          <w:b/>
          <w:bCs/>
          <w:sz w:val="21"/>
          <w:szCs w:val="21"/>
        </w:rPr>
        <w:t xml:space="preserve">Add a costed business case. </w:t>
      </w:r>
      <w:r>
        <w:rPr>
          <w:rFonts w:ascii="Calibri" w:cs="Calibri" w:eastAsia="Calibri" w:hAnsi="Calibri"/>
          <w:sz w:val="21"/>
          <w:szCs w:val="21"/>
        </w:rPr>
        <w:t xml:space="preserve">With real traffic volume, real baseline conversion and a Finance-agreed conversion value, presented at conservative, expected and optimistic uplift.</w:t>
      </w:r>
    </w:p>
    <w:p>
      <w:pPr>
        <w:pStyle w:val="ListParagraph"/>
        <w:numPr>
          <w:ilvl w:val="0"/>
          <w:numId w:val="2"/>
        </w:numPr>
        <w:spacing w:after="70" w:line="270"/>
      </w:pPr>
      <w:r>
        <w:rPr>
          <w:rFonts w:ascii="Calibri" w:cs="Calibri" w:eastAsia="Calibri" w:hAnsi="Calibri"/>
          <w:b/>
          <w:bCs/>
          <w:sz w:val="21"/>
          <w:szCs w:val="21"/>
        </w:rPr>
        <w:t xml:space="preserve">Add a technical spike. </w:t>
      </w:r>
      <w:r>
        <w:rPr>
          <w:rFonts w:ascii="Calibri" w:cs="Calibri" w:eastAsia="Calibri" w:hAnsi="Calibri"/>
          <w:sz w:val="21"/>
          <w:szCs w:val="21"/>
        </w:rPr>
        <w:t xml:space="preserve">Attempt the variant-to-outcome join on historical data for one journey. If you can demonstrate it works — or prove it does not — that single finding is worth more than the rest of the study combined.</w:t>
      </w:r>
    </w:p>
    <w:p>
      <w:r>
        <w:br w:type="page"/>
      </w:r>
    </w:p>
    <w:p>
      <w:pPr>
        <w:pStyle w:val="Heading1"/>
        <w:spacing w:after="160" w:before="340"/>
      </w:pPr>
      <w:r>
        <w:rPr>
          <w:rFonts w:ascii="Calibri" w:cs="Calibri" w:eastAsia="Calibri" w:hAnsi="Calibri"/>
          <w:b/>
          <w:bCs/>
          <w:color w:val="1F3864"/>
          <w:sz w:val="30"/>
          <w:szCs w:val="30"/>
        </w:rPr>
        <w:t xml:space="preserve">6. References and Resources</w:t>
      </w:r>
    </w:p>
    <w:p>
      <w:pPr>
        <w:spacing w:after="120" w:line="276"/>
      </w:pPr>
      <w:r>
        <w:rPr>
          <w:rFonts w:ascii="Calibri" w:cs="Calibri" w:eastAsia="Calibri" w:hAnsi="Calibri"/>
          <w:sz w:val="21"/>
          <w:szCs w:val="21"/>
        </w:rPr>
        <w:t xml:space="preserve">Organised by the requirement each supports. Prioritise the starred items if time is short.</w:t>
      </w:r>
    </w:p>
    <w:p>
      <w:pPr>
        <w:pStyle w:val="Heading2"/>
        <w:spacing w:after="120" w:before="260"/>
      </w:pPr>
      <w:r>
        <w:rPr>
          <w:rFonts w:ascii="Calibri" w:cs="Calibri" w:eastAsia="Calibri" w:hAnsi="Calibri"/>
          <w:b/>
          <w:bCs/>
          <w:color w:val="2E74B5"/>
          <w:sz w:val="24"/>
          <w:szCs w:val="24"/>
        </w:rPr>
        <w:t xml:space="preserve">6.1 Experimentation and measurement — the foundation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trPr>
        <w:tc>
          <w:tcPr>
            <w:tcW w:type="dxa" w:w="3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Resource</w:t>
            </w:r>
          </w:p>
        </w:tc>
        <w:tc>
          <w:tcPr>
            <w:tcW w:type="dxa" w:w="61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 it matters</w:t>
            </w:r>
          </w:p>
        </w:tc>
      </w:tr>
      <w:tr>
        <w:trPr>
          <w:tblHeader w:val="false"/>
        </w:trPr>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 Kohavi, Tang &amp; Xu — Trustworthy Online Controlled Experiments (Cambridge University Press, 2020)</w:t>
            </w:r>
          </w:p>
        </w:tc>
        <w:tc>
          <w:tcPr>
            <w:tcW w:type="dxa" w:w="61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definitive practitioner text on online controlled experiments, from experimentation leads at Microsoft, Google and LinkedIn. Read the chapters on metric definition, common pitfalls, and organisational maturity. Everything in BR-5 about measurement credibility traces back to this.</w:t>
            </w:r>
          </w:p>
        </w:tc>
      </w:tr>
      <w:tr>
        <w:trPr>
          <w:tblHeader w:val="false"/>
        </w:trPr>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ExperimentGuide.com</w:t>
            </w:r>
          </w:p>
        </w:tc>
        <w:tc>
          <w:tcPr>
            <w:tcW w:type="dxa" w:w="61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Companion site to the book with supplementary material and errata.</w:t>
            </w:r>
          </w:p>
        </w:tc>
      </w:tr>
      <w:tr>
        <w:trPr>
          <w:tblHeader w:val="false"/>
        </w:trPr>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Ron Kohavi's published papers on A/B testing pitfalls</w:t>
            </w:r>
          </w:p>
        </w:tc>
        <w:tc>
          <w:tcPr>
            <w:tcW w:type="dxa" w:w="61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Short, specific, and directly useful on why experiment results are frequently wrong — novelty effects, sample ratio mismatch, peeking, and Twyman's law.</w:t>
            </w:r>
          </w:p>
        </w:tc>
      </w:tr>
      <w:tr>
        <w:trPr>
          <w:tblHeader w:val="false"/>
        </w:trPr>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Evan Miller's sample size and significance calculators</w:t>
            </w:r>
          </w:p>
        </w:tc>
        <w:tc>
          <w:tcPr>
            <w:tcW w:type="dxa" w:w="61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Practical tools for the power calculation you need before claiming any journey has enough traffic.</w:t>
            </w:r>
          </w:p>
        </w:tc>
      </w:tr>
    </w:tbl>
    <w:p>
      <w:pPr>
        <w:pStyle w:val="Heading2"/>
        <w:spacing w:after="120" w:before="260"/>
      </w:pPr>
      <w:r>
        <w:rPr>
          <w:rFonts w:ascii="Calibri" w:cs="Calibri" w:eastAsia="Calibri" w:hAnsi="Calibri"/>
          <w:b/>
          <w:bCs/>
          <w:color w:val="2E74B5"/>
          <w:sz w:val="24"/>
          <w:szCs w:val="24"/>
        </w:rPr>
        <w:t xml:space="preserve">6.2 BR-1 Industry research</w:t>
      </w:r>
    </w:p>
    <w:p>
      <w:pPr>
        <w:pStyle w:val="ListParagraph"/>
        <w:numPr>
          <w:ilvl w:val="0"/>
          <w:numId w:val="2"/>
        </w:numPr>
        <w:spacing w:after="70" w:line="270"/>
      </w:pPr>
      <w:r>
        <w:rPr>
          <w:rFonts w:ascii="Calibri" w:cs="Calibri" w:eastAsia="Calibri" w:hAnsi="Calibri"/>
          <w:b/>
          <w:bCs/>
          <w:sz w:val="21"/>
          <w:szCs w:val="21"/>
        </w:rPr>
        <w:t xml:space="preserve">Unbounce Conversion Benchmark Report. </w:t>
      </w:r>
      <w:r>
        <w:rPr>
          <w:rFonts w:ascii="Calibri" w:cs="Calibri" w:eastAsia="Calibri" w:hAnsi="Calibri"/>
          <w:sz w:val="21"/>
          <w:szCs w:val="21"/>
        </w:rPr>
        <w:t xml:space="preserve">Large-sample landing page conversion benchmarks by industry. Useful as context; not a target-setting tool.</w:t>
      </w:r>
    </w:p>
    <w:p>
      <w:pPr>
        <w:pStyle w:val="ListParagraph"/>
        <w:numPr>
          <w:ilvl w:val="0"/>
          <w:numId w:val="2"/>
        </w:numPr>
        <w:spacing w:after="70" w:line="270"/>
      </w:pPr>
      <w:r>
        <w:rPr>
          <w:rFonts w:ascii="Calibri" w:cs="Calibri" w:eastAsia="Calibri" w:hAnsi="Calibri"/>
          <w:b/>
          <w:bCs/>
          <w:sz w:val="21"/>
          <w:szCs w:val="21"/>
        </w:rPr>
        <w:t xml:space="preserve">Nielsen Norman Group. </w:t>
      </w:r>
      <w:r>
        <w:rPr>
          <w:rFonts w:ascii="Calibri" w:cs="Calibri" w:eastAsia="Calibri" w:hAnsi="Calibri"/>
          <w:sz w:val="21"/>
          <w:szCs w:val="21"/>
        </w:rPr>
        <w:t xml:space="preserve">Rigorous, research-based UX guidance. Strong on why pages fail, which feeds the hypothesis backlog.</w:t>
      </w:r>
    </w:p>
    <w:p>
      <w:pPr>
        <w:pStyle w:val="ListParagraph"/>
        <w:numPr>
          <w:ilvl w:val="0"/>
          <w:numId w:val="2"/>
        </w:numPr>
        <w:spacing w:after="70" w:line="270"/>
      </w:pPr>
      <w:r>
        <w:rPr>
          <w:rFonts w:ascii="Calibri" w:cs="Calibri" w:eastAsia="Calibri" w:hAnsi="Calibri"/>
          <w:b/>
          <w:bCs/>
          <w:sz w:val="21"/>
          <w:szCs w:val="21"/>
        </w:rPr>
        <w:t xml:space="preserve">Baymard Institute. </w:t>
      </w:r>
      <w:r>
        <w:rPr>
          <w:rFonts w:ascii="Calibri" w:cs="Calibri" w:eastAsia="Calibri" w:hAnsi="Calibri"/>
          <w:sz w:val="21"/>
          <w:szCs w:val="21"/>
        </w:rPr>
        <w:t xml:space="preserve">Deep applied research on form and checkout usability. Directly relevant to acquisition journey drop-off.</w:t>
      </w:r>
    </w:p>
    <w:p>
      <w:pPr>
        <w:pStyle w:val="ListParagraph"/>
        <w:numPr>
          <w:ilvl w:val="0"/>
          <w:numId w:val="2"/>
        </w:numPr>
        <w:spacing w:after="70" w:line="270"/>
      </w:pPr>
      <w:r>
        <w:rPr>
          <w:rFonts w:ascii="Calibri" w:cs="Calibri" w:eastAsia="Calibri" w:hAnsi="Calibri"/>
          <w:b/>
          <w:bCs/>
          <w:sz w:val="21"/>
          <w:szCs w:val="21"/>
        </w:rPr>
        <w:t xml:space="preserve">CXL. </w:t>
      </w:r>
      <w:r>
        <w:rPr>
          <w:rFonts w:ascii="Calibri" w:cs="Calibri" w:eastAsia="Calibri" w:hAnsi="Calibri"/>
          <w:sz w:val="21"/>
          <w:szCs w:val="21"/>
        </w:rPr>
        <w:t xml:space="preserve">Practitioner-level research and training on conversion optimization and experimentation programme design.</w:t>
      </w:r>
    </w:p>
    <w:p>
      <w:pPr>
        <w:spacing w:after="120" w:line="276"/>
      </w:pPr>
      <w:r>
        <w:rPr>
          <w:rFonts w:ascii="Calibri" w:cs="Calibri" w:eastAsia="Calibri" w:hAnsi="Calibri"/>
          <w:i/>
          <w:iCs/>
          <w:sz w:val="21"/>
          <w:szCs w:val="21"/>
        </w:rPr>
        <w:t xml:space="preserve">Treat any single uplift statistic you find in marketing content as unusable in your report unless you can trace it to a primary source with a stated method. Most cannot be traced.</w:t>
      </w:r>
    </w:p>
    <w:p>
      <w:pPr>
        <w:pStyle w:val="Heading2"/>
        <w:spacing w:after="120" w:before="260"/>
      </w:pPr>
      <w:r>
        <w:rPr>
          <w:rFonts w:ascii="Calibri" w:cs="Calibri" w:eastAsia="Calibri" w:hAnsi="Calibri"/>
          <w:b/>
          <w:bCs/>
          <w:color w:val="2E74B5"/>
          <w:sz w:val="24"/>
          <w:szCs w:val="24"/>
        </w:rPr>
        <w:t xml:space="preserve">6.3 BR-2 Technology assessment</w:t>
      </w:r>
    </w:p>
    <w:p>
      <w:pPr>
        <w:pStyle w:val="ListParagraph"/>
        <w:numPr>
          <w:ilvl w:val="0"/>
          <w:numId w:val="2"/>
        </w:numPr>
        <w:spacing w:after="70" w:line="270"/>
      </w:pPr>
      <w:r>
        <w:rPr>
          <w:rFonts w:ascii="Calibri" w:cs="Calibri" w:eastAsia="Calibri" w:hAnsi="Calibri"/>
          <w:b/>
          <w:bCs/>
          <w:sz w:val="21"/>
          <w:szCs w:val="21"/>
        </w:rPr>
        <w:t xml:space="preserve">Gartner Magic Quadrant for Personalization Engines. </w:t>
      </w:r>
      <w:r>
        <w:rPr>
          <w:rFonts w:ascii="Calibri" w:cs="Calibri" w:eastAsia="Calibri" w:hAnsi="Calibri"/>
          <w:sz w:val="21"/>
          <w:szCs w:val="21"/>
        </w:rPr>
        <w:t xml:space="preserve">The February 2026 edition assessed twelve vendors. If your organisation has a Gartner subscription, read the primary report — vendor-published summaries are selectively quoted by definition. Also check Forrester Wave coverage of the same category.</w:t>
      </w:r>
    </w:p>
    <w:p>
      <w:pPr>
        <w:pStyle w:val="ListParagraph"/>
        <w:numPr>
          <w:ilvl w:val="0"/>
          <w:numId w:val="2"/>
        </w:numPr>
        <w:spacing w:after="70" w:line="270"/>
      </w:pPr>
      <w:r>
        <w:rPr>
          <w:rFonts w:ascii="Calibri" w:cs="Calibri" w:eastAsia="Calibri" w:hAnsi="Calibri"/>
          <w:b/>
          <w:bCs/>
          <w:sz w:val="21"/>
          <w:szCs w:val="21"/>
        </w:rPr>
        <w:t xml:space="preserve">Vendor technical documentation over vendor marketing. </w:t>
      </w:r>
      <w:r>
        <w:rPr>
          <w:rFonts w:ascii="Calibri" w:cs="Calibri" w:eastAsia="Calibri" w:hAnsi="Calibri"/>
          <w:sz w:val="21"/>
          <w:szCs w:val="21"/>
        </w:rPr>
        <w:t xml:space="preserve">Adobe Experience League, Optimizely developer docs, Dynamic Yield and VWO knowledge bases. The documentation tells you what the product actually does; the marketing site does not.</w:t>
      </w:r>
    </w:p>
    <w:p>
      <w:pPr>
        <w:pStyle w:val="ListParagraph"/>
        <w:numPr>
          <w:ilvl w:val="0"/>
          <w:numId w:val="2"/>
        </w:numPr>
        <w:spacing w:after="70" w:line="270"/>
      </w:pPr>
      <w:r>
        <w:rPr>
          <w:rFonts w:ascii="Calibri" w:cs="Calibri" w:eastAsia="Calibri" w:hAnsi="Calibri"/>
          <w:b/>
          <w:bCs/>
          <w:sz w:val="21"/>
          <w:szCs w:val="21"/>
        </w:rPr>
        <w:t xml:space="preserve">CDP Institute. </w:t>
      </w:r>
      <w:r>
        <w:rPr>
          <w:rFonts w:ascii="Calibri" w:cs="Calibri" w:eastAsia="Calibri" w:hAnsi="Calibri"/>
          <w:sz w:val="21"/>
          <w:szCs w:val="21"/>
        </w:rPr>
        <w:t xml:space="preserve">Vendor-neutral material on customer data platform architecture and identity resolution — the layer most often missing.</w:t>
      </w:r>
    </w:p>
    <w:p>
      <w:pPr>
        <w:pStyle w:val="ListParagraph"/>
        <w:numPr>
          <w:ilvl w:val="0"/>
          <w:numId w:val="2"/>
        </w:numPr>
        <w:spacing w:after="70" w:line="270"/>
      </w:pPr>
      <w:r>
        <w:rPr>
          <w:rFonts w:ascii="Calibri" w:cs="Calibri" w:eastAsia="Calibri" w:hAnsi="Calibri"/>
          <w:b/>
          <w:bCs/>
          <w:sz w:val="21"/>
          <w:szCs w:val="21"/>
        </w:rPr>
        <w:t xml:space="preserve">Your own procurement and architecture teams. </w:t>
      </w:r>
      <w:r>
        <w:rPr>
          <w:rFonts w:ascii="Calibri" w:cs="Calibri" w:eastAsia="Calibri" w:hAnsi="Calibri"/>
          <w:sz w:val="21"/>
          <w:szCs w:val="21"/>
        </w:rPr>
        <w:t xml:space="preserve">Existing contracts, entitlements and prior evaluations. Frequently the fastest route to a genuinely new finding.</w:t>
      </w:r>
    </w:p>
    <w:p>
      <w:pPr>
        <w:pStyle w:val="Heading2"/>
        <w:spacing w:after="120" w:before="260"/>
      </w:pPr>
      <w:r>
        <w:rPr>
          <w:rFonts w:ascii="Calibri" w:cs="Calibri" w:eastAsia="Calibri" w:hAnsi="Calibri"/>
          <w:b/>
          <w:bCs/>
          <w:color w:val="2E74B5"/>
          <w:sz w:val="24"/>
          <w:szCs w:val="24"/>
        </w:rPr>
        <w:t xml:space="preserve">6.4 BR-3 and BR-4 Data requirements and gaps</w:t>
      </w:r>
    </w:p>
    <w:p>
      <w:pPr>
        <w:pStyle w:val="ListParagraph"/>
        <w:numPr>
          <w:ilvl w:val="0"/>
          <w:numId w:val="2"/>
        </w:numPr>
        <w:spacing w:after="70" w:line="270"/>
      </w:pPr>
      <w:r>
        <w:rPr>
          <w:rFonts w:ascii="Calibri" w:cs="Calibri" w:eastAsia="Calibri" w:hAnsi="Calibri"/>
          <w:b/>
          <w:bCs/>
          <w:sz w:val="21"/>
          <w:szCs w:val="21"/>
        </w:rPr>
        <w:t xml:space="preserve">Your existing tracking specification or event taxonomy. </w:t>
      </w:r>
      <w:r>
        <w:rPr>
          <w:rFonts w:ascii="Calibri" w:cs="Calibri" w:eastAsia="Calibri" w:hAnsi="Calibri"/>
          <w:sz w:val="21"/>
          <w:szCs w:val="21"/>
        </w:rPr>
        <w:t xml:space="preserve">However outdated. Its state is itself a finding.</w:t>
      </w:r>
    </w:p>
    <w:p>
      <w:pPr>
        <w:pStyle w:val="ListParagraph"/>
        <w:numPr>
          <w:ilvl w:val="0"/>
          <w:numId w:val="2"/>
        </w:numPr>
        <w:spacing w:after="70" w:line="270"/>
      </w:pPr>
      <w:r>
        <w:rPr>
          <w:rFonts w:ascii="Calibri" w:cs="Calibri" w:eastAsia="Calibri" w:hAnsi="Calibri"/>
          <w:b/>
          <w:bCs/>
          <w:sz w:val="21"/>
          <w:szCs w:val="21"/>
        </w:rPr>
        <w:t xml:space="preserve">Analytics platform implementation documentation. </w:t>
      </w:r>
      <w:r>
        <w:rPr>
          <w:rFonts w:ascii="Calibri" w:cs="Calibri" w:eastAsia="Calibri" w:hAnsi="Calibri"/>
          <w:sz w:val="21"/>
          <w:szCs w:val="21"/>
        </w:rPr>
        <w:t xml:space="preserve">GA4 or Adobe Analytics measurement schema for the journeys in question.</w:t>
      </w:r>
    </w:p>
    <w:p>
      <w:pPr>
        <w:pStyle w:val="ListParagraph"/>
        <w:numPr>
          <w:ilvl w:val="0"/>
          <w:numId w:val="2"/>
        </w:numPr>
        <w:spacing w:after="70" w:line="270"/>
      </w:pPr>
      <w:r>
        <w:rPr>
          <w:rFonts w:ascii="Calibri" w:cs="Calibri" w:eastAsia="Calibri" w:hAnsi="Calibri"/>
          <w:b/>
          <w:bCs/>
          <w:sz w:val="21"/>
          <w:szCs w:val="21"/>
        </w:rPr>
        <w:t xml:space="preserve">Consent management platform configuration. </w:t>
      </w:r>
      <w:r>
        <w:rPr>
          <w:rFonts w:ascii="Calibri" w:cs="Calibri" w:eastAsia="Calibri" w:hAnsi="Calibri"/>
          <w:sz w:val="21"/>
          <w:szCs w:val="21"/>
        </w:rPr>
        <w:t xml:space="preserve">Which purposes are captured, and the actual opt-in rate — this bounds how much of your traffic is addressable at all.</w:t>
      </w:r>
    </w:p>
    <w:p>
      <w:pPr>
        <w:pStyle w:val="ListParagraph"/>
        <w:numPr>
          <w:ilvl w:val="0"/>
          <w:numId w:val="2"/>
        </w:numPr>
        <w:spacing w:after="70" w:line="270"/>
      </w:pPr>
      <w:r>
        <w:rPr>
          <w:rFonts w:ascii="Calibri" w:cs="Calibri" w:eastAsia="Calibri" w:hAnsi="Calibri"/>
          <w:b/>
          <w:bCs/>
          <w:sz w:val="21"/>
          <w:szCs w:val="21"/>
        </w:rPr>
        <w:t xml:space="preserve">Data catalogue or lineage tooling, if one exists. </w:t>
      </w:r>
      <w:r>
        <w:rPr>
          <w:rFonts w:ascii="Calibri" w:cs="Calibri" w:eastAsia="Calibri" w:hAnsi="Calibri"/>
          <w:sz w:val="21"/>
          <w:szCs w:val="21"/>
        </w:rPr>
        <w:t xml:space="preserve">Fastest way to find out whether outcome data is reachable.</w:t>
      </w:r>
    </w:p>
    <w:p>
      <w:pPr>
        <w:pStyle w:val="ListParagraph"/>
        <w:numPr>
          <w:ilvl w:val="0"/>
          <w:numId w:val="2"/>
        </w:numPr>
        <w:spacing w:after="70" w:line="270"/>
      </w:pPr>
      <w:r>
        <w:rPr>
          <w:rFonts w:ascii="Calibri" w:cs="Calibri" w:eastAsia="Calibri" w:hAnsi="Calibri"/>
          <w:b/>
          <w:bCs/>
          <w:sz w:val="21"/>
          <w:szCs w:val="21"/>
        </w:rPr>
        <w:t xml:space="preserve">Fulfilment and servicing system documentation. </w:t>
      </w:r>
      <w:r>
        <w:rPr>
          <w:rFonts w:ascii="Calibri" w:cs="Calibri" w:eastAsia="Calibri" w:hAnsi="Calibri"/>
          <w:sz w:val="21"/>
          <w:szCs w:val="21"/>
        </w:rPr>
        <w:t xml:space="preserve">Specifically whether they can accept and return a session or variant identifier. This is the crux.</w:t>
      </w:r>
    </w:p>
    <w:p>
      <w:pPr>
        <w:pStyle w:val="Heading2"/>
        <w:spacing w:after="120" w:before="260"/>
      </w:pPr>
      <w:r>
        <w:rPr>
          <w:rFonts w:ascii="Calibri" w:cs="Calibri" w:eastAsia="Calibri" w:hAnsi="Calibri"/>
          <w:b/>
          <w:bCs/>
          <w:color w:val="2E74B5"/>
          <w:sz w:val="24"/>
          <w:szCs w:val="24"/>
        </w:rPr>
        <w:t xml:space="preserve">6.5 BR-5 Feasibility and governance</w:t>
      </w:r>
    </w:p>
    <w:p>
      <w:pPr>
        <w:pStyle w:val="ListParagraph"/>
        <w:numPr>
          <w:ilvl w:val="0"/>
          <w:numId w:val="2"/>
        </w:numPr>
        <w:spacing w:after="70" w:line="270"/>
      </w:pPr>
      <w:r>
        <w:rPr>
          <w:rFonts w:ascii="Calibri" w:cs="Calibri" w:eastAsia="Calibri" w:hAnsi="Calibri"/>
          <w:b/>
          <w:bCs/>
          <w:sz w:val="21"/>
          <w:szCs w:val="21"/>
        </w:rPr>
        <w:t xml:space="preserve">Internal risk and compliance policy on automated decisioning. </w:t>
      </w:r>
      <w:r>
        <w:rPr>
          <w:rFonts w:ascii="Calibri" w:cs="Calibri" w:eastAsia="Calibri" w:hAnsi="Calibri"/>
          <w:sz w:val="21"/>
          <w:szCs w:val="21"/>
        </w:rPr>
        <w:t xml:space="preserve">Determines what the system is permitted to vary and what audit trail is required.</w:t>
      </w:r>
    </w:p>
    <w:p>
      <w:pPr>
        <w:pStyle w:val="ListParagraph"/>
        <w:numPr>
          <w:ilvl w:val="0"/>
          <w:numId w:val="2"/>
        </w:numPr>
        <w:spacing w:after="70" w:line="270"/>
      </w:pPr>
      <w:r>
        <w:rPr>
          <w:rFonts w:ascii="Calibri" w:cs="Calibri" w:eastAsia="Calibri" w:hAnsi="Calibri"/>
          <w:b/>
          <w:bCs/>
          <w:sz w:val="21"/>
          <w:szCs w:val="21"/>
        </w:rPr>
        <w:t xml:space="preserve">Fair treatment and vulnerable customer guidance. </w:t>
      </w:r>
      <w:r>
        <w:rPr>
          <w:rFonts w:ascii="Calibri" w:cs="Calibri" w:eastAsia="Calibri" w:hAnsi="Calibri"/>
          <w:sz w:val="21"/>
          <w:szCs w:val="21"/>
        </w:rPr>
        <w:t xml:space="preserve">Automated variation must not produce materially worse outcomes for protected groups — this requires designed monitoring.</w:t>
      </w:r>
    </w:p>
    <w:p>
      <w:pPr>
        <w:pStyle w:val="ListParagraph"/>
        <w:numPr>
          <w:ilvl w:val="0"/>
          <w:numId w:val="2"/>
        </w:numPr>
        <w:spacing w:after="70" w:line="270"/>
      </w:pPr>
      <w:r>
        <w:rPr>
          <w:rFonts w:ascii="Calibri" w:cs="Calibri" w:eastAsia="Calibri" w:hAnsi="Calibri"/>
          <w:b/>
          <w:bCs/>
          <w:sz w:val="21"/>
          <w:szCs w:val="21"/>
        </w:rPr>
        <w:t xml:space="preserve">Privacy Sandbox and third-party cookie coverage. </w:t>
      </w:r>
      <w:r>
        <w:rPr>
          <w:rFonts w:ascii="Calibri" w:cs="Calibri" w:eastAsia="Calibri" w:hAnsi="Calibri"/>
          <w:sz w:val="21"/>
          <w:szCs w:val="21"/>
        </w:rPr>
        <w:t xml:space="preserve">Google confirmed in April 2025 it would not deprecate third-party cookies and retired the remaining Privacy Sandbox APIs during 2025. Useful context for why a first-party, server-side foundation is still the right target.</w:t>
      </w:r>
    </w:p>
    <w:p>
      <w:pPr>
        <w:pStyle w:val="ListParagraph"/>
        <w:numPr>
          <w:ilvl w:val="0"/>
          <w:numId w:val="2"/>
        </w:numPr>
        <w:spacing w:after="70" w:line="270"/>
      </w:pPr>
      <w:r>
        <w:rPr>
          <w:rFonts w:ascii="Calibri" w:cs="Calibri" w:eastAsia="Calibri" w:hAnsi="Calibri"/>
          <w:b/>
          <w:bCs/>
          <w:sz w:val="21"/>
          <w:szCs w:val="21"/>
        </w:rPr>
        <w:t xml:space="preserve">Your organisation's prior business cases for martech investment. </w:t>
      </w:r>
      <w:r>
        <w:rPr>
          <w:rFonts w:ascii="Calibri" w:cs="Calibri" w:eastAsia="Calibri" w:hAnsi="Calibri"/>
          <w:sz w:val="21"/>
          <w:szCs w:val="21"/>
        </w:rPr>
        <w:t xml:space="preserve">Tells you what format, evidence standard and benefit language your leadership actually responds to. Underrated.</w:t>
      </w:r>
    </w:p>
    <w:p>
      <w:r>
        <w:br w:type="page"/>
      </w:r>
    </w:p>
    <w:p>
      <w:pPr>
        <w:pStyle w:val="Heading1"/>
        <w:spacing w:after="160" w:before="340"/>
      </w:pPr>
      <w:r>
        <w:rPr>
          <w:rFonts w:ascii="Calibri" w:cs="Calibri" w:eastAsia="Calibri" w:hAnsi="Calibri"/>
          <w:b/>
          <w:bCs/>
          <w:color w:val="1F3864"/>
          <w:sz w:val="30"/>
          <w:szCs w:val="30"/>
        </w:rPr>
        <w:t xml:space="preserve">7. Traps to Avoid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6560"/>
      </w:tblGrid>
      <w:tr>
        <w:trPr>
          <w:tblHeader/>
        </w:trPr>
        <w:tc>
          <w:tcPr>
            <w:tcW w:type="dxa" w:w="28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Trap</w:t>
            </w:r>
          </w:p>
        </w:tc>
        <w:tc>
          <w:tcPr>
            <w:tcW w:type="dxa" w:w="65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How to avoid it</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Becoming a vendor comparison</w:t>
            </w:r>
          </w:p>
        </w:tc>
        <w:tc>
          <w:tcPr>
            <w:tcW w:type="dxa" w:w="6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Procurement is explicitly out of scope. Categories and capabilities, not scored shortlists. If you find yourself building a feature matrix, stop.</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Quoting uplift statistics as forecasts</w:t>
            </w:r>
          </w:p>
        </w:tc>
        <w:tc>
          <w:tcPr>
            <w:tcW w:type="dxa" w:w="6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Published uplift figures are vendor-supplied, self-selected and not counterfactual. Cite them to characterise market claims; never to size the benefit.</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Presenting assumptions as findings</w:t>
            </w:r>
          </w:p>
        </w:tc>
        <w:tc>
          <w:tcPr>
            <w:tcW w:type="dxa" w:w="6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Every unvalidated statement gets marked as unvalidated. If you cannot evidence it, label it a hypothesis for validation.</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Optimising the study for completeness</w:t>
            </w:r>
          </w:p>
        </w:tc>
        <w:tc>
          <w:tcPr>
            <w:tcW w:type="dxa" w:w="6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reader wants a verdict and a next step. Length is not rigour. Cut anything that does not change the decision.</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Answering "can this be built" instead of "should we build it here"</w:t>
            </w:r>
          </w:p>
        </w:tc>
        <w:tc>
          <w:tcPr>
            <w:tcW w:type="dxa" w:w="6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technology question is trivially yes. Your value is in the organisational and data answer.</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Leaving the recommendation open-ended</w:t>
            </w:r>
          </w:p>
        </w:tc>
        <w:tc>
          <w:tcPr>
            <w:tcW w:type="dxa" w:w="6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Recommend a gated first step with explicit exit criteria, not an open programme. This is much easier to approve and much easier to stop.</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Skipping the operating model question</w:t>
            </w:r>
          </w:p>
        </w:tc>
        <w:tc>
          <w:tcPr>
            <w:tcW w:type="dxa" w:w="6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 optimization engine consumes content variants. If nobody has committed to producing them, the capability will not work regardless of platform. Ask early who will.</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Discovering the access problem in Week 4</w:t>
            </w:r>
          </w:p>
        </w:tc>
        <w:tc>
          <w:tcPr>
            <w:tcW w:type="dxa" w:w="6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Escalate in Week 1. The cost of asking early is nothing; the cost of asking late is the credibility of two of your five sections.</w:t>
            </w:r>
          </w:p>
        </w:tc>
      </w:tr>
    </w:tbl>
    <w:p>
      <w:pPr>
        <w:spacing w:after="20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If you only do five things</w:t>
            </w:r>
          </w:p>
          <w:p>
            <w:pPr>
              <w:spacing w:after="60" w:line="270"/>
            </w:pPr>
            <w:r>
              <w:rPr>
                <w:rFonts w:ascii="Calibri" w:cs="Calibri" w:eastAsia="Calibri" w:hAnsi="Calibri"/>
                <w:sz w:val="20"/>
                <w:szCs w:val="20"/>
              </w:rPr>
              <w:t xml:space="preserve">1.  Get scope confirmed in writing in Week 1.</w:t>
            </w:r>
          </w:p>
          <w:p>
            <w:pPr>
              <w:spacing w:after="60" w:line="270"/>
            </w:pPr>
            <w:r>
              <w:rPr>
                <w:rFonts w:ascii="Calibri" w:cs="Calibri" w:eastAsia="Calibri" w:hAnsi="Calibri"/>
                <w:sz w:val="20"/>
                <w:szCs w:val="20"/>
              </w:rPr>
              <w:t xml:space="preserve">2.  Escalate for analytics and data engineering access in Week 1 — this is the assignment's biggest risk.</w:t>
            </w:r>
          </w:p>
          <w:p>
            <w:pPr>
              <w:spacing w:after="60" w:line="270"/>
            </w:pPr>
            <w:r>
              <w:rPr>
                <w:rFonts w:ascii="Calibri" w:cs="Calibri" w:eastAsia="Calibri" w:hAnsi="Calibri"/>
                <w:sz w:val="20"/>
                <w:szCs w:val="20"/>
              </w:rPr>
              <w:t xml:space="preserve">3.  Organise everything around one question: can we join the variant served to the outcome received?</w:t>
            </w:r>
          </w:p>
          <w:p>
            <w:pPr>
              <w:spacing w:after="60" w:line="270"/>
            </w:pPr>
            <w:r>
              <w:rPr>
                <w:rFonts w:ascii="Calibri" w:cs="Calibri" w:eastAsia="Calibri" w:hAnsi="Calibri"/>
                <w:sz w:val="20"/>
                <w:szCs w:val="20"/>
              </w:rPr>
              <w:t xml:space="preserve">4.  Reach five separate feasibility verdicts, and say which ones are negative.</w:t>
            </w:r>
          </w:p>
          <w:p>
            <w:pPr>
              <w:spacing w:after="60" w:line="270"/>
            </w:pPr>
            <w:r>
              <w:rPr>
                <w:rFonts w:ascii="Calibri" w:cs="Calibri" w:eastAsia="Calibri" w:hAnsi="Calibri"/>
                <w:sz w:val="20"/>
                <w:szCs w:val="20"/>
              </w:rPr>
              <w:t xml:space="preserve">5.  Recommend a small gated step with pre-agreed success criteria, not a programme.</w:t>
            </w:r>
          </w:p>
        </w:tc>
      </w:tr>
    </w:tbl>
    <w:p>
      <w:pPr>
        <w:spacing w:after="200"/>
      </w:pPr>
    </w:p>
    <w:p>
      <w:pPr>
        <w:spacing w:after="120" w:line="276"/>
      </w:pPr>
      <w:r>
        <w:rPr>
          <w:rFonts w:ascii="Calibri" w:cs="Calibri" w:eastAsia="Calibri" w:hAnsi="Calibri"/>
          <w:i/>
          <w:iCs/>
          <w:color w:val="595959"/>
          <w:sz w:val="18"/>
          <w:szCs w:val="18"/>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Loop Engineering — Working Approach and Project Plan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Engineering — Working Approach, Project Plan and Resource Guide</dc:title>
  <dc:creator>Digital Acquisition</dc:creator>
  <cp:lastModifiedBy>Un-named</cp:lastModifiedBy>
  <cp:revision>1</cp:revision>
  <dcterms:created xsi:type="dcterms:W3CDTF">2026-08-03T19:51:35.718Z</dcterms:created>
  <dcterms:modified xsi:type="dcterms:W3CDTF">2026-08-03T19:51:35.719Z</dcterms:modified>
</cp:coreProperties>
</file>

<file path=docProps/custom.xml><?xml version="1.0" encoding="utf-8"?>
<Properties xmlns="http://schemas.openxmlformats.org/officeDocument/2006/custom-properties" xmlns:vt="http://schemas.openxmlformats.org/officeDocument/2006/docPropsVTypes"/>
</file>