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74B5"/>
          <w:spacing w:val="40"/>
          <w:sz w:val="18"/>
          <w:szCs w:val="18"/>
        </w:rPr>
        <w:t xml:space="preserve">DIGITAL ACQUISITION  ·  BR-2 TECHNOLOGY ASSESSMENT</w:t>
      </w:r>
    </w:p>
    <w:p>
      <w:pPr>
        <w:spacing w:after="60"/>
      </w:pPr>
      <w:r>
        <w:rPr>
          <w:rFonts w:ascii="Calibri" w:cs="Calibri" w:eastAsia="Calibri" w:hAnsi="Calibri"/>
          <w:b/>
          <w:bCs/>
          <w:color w:val="1F3864"/>
          <w:sz w:val="38"/>
          <w:szCs w:val="38"/>
        </w:rPr>
        <w:t xml:space="preserve">Vendor and Tooling Landscape</w:t>
      </w:r>
    </w:p>
    <w:p>
      <w:pPr>
        <w:pBdr>
          <w:bottom w:val="single" w:color="2E74B5" w:sz="8" w:space="10"/>
        </w:pBdr>
        <w:spacing w:after="220"/>
      </w:pPr>
      <w:r>
        <w:rPr>
          <w:rFonts w:ascii="Calibri" w:cs="Calibri" w:eastAsia="Calibri" w:hAnsi="Calibri"/>
          <w:color w:val="404040"/>
          <w:sz w:val="23"/>
          <w:szCs w:val="23"/>
        </w:rPr>
        <w:t xml:space="preserve">What is available in the market to build a closed-loop landing page optimisation capability</w:t>
      </w:r>
    </w:p>
    <w:tbl>
      <w:tblPr>
        <w:tblW w:type="dxa" w:w="9360"/>
        <w:tblBorders>
          <w:top w:val="single" w:color="B8860B" w:sz="4"/>
          <w:left w:val="single" w:color="B8860B" w:sz="18"/>
          <w:bottom w:val="single" w:color="B8860B" w:sz="4"/>
          <w:right w:val="single" w:color="B8860B" w:sz="4"/>
          <w:insideH w:val="none"/>
          <w:insideV w:val="none"/>
        </w:tblBorders>
      </w:tblPr>
      <w:tblGrid>
        <w:gridCol w:w="9360"/>
      </w:tblGrid>
      <w:tr>
        <w:tc>
          <w:tcPr>
            <w:tcW w:type="dxa" w:w="9360"/>
            <w:shd w:fill="FFF6E5" w:color="auto" w:val="clear"/>
            <w:tcMar>
              <w:top w:type="dxa" w:w="150"/>
              <w:left w:type="dxa" w:w="190"/>
              <w:bottom w:type="dxa" w:w="150"/>
              <w:right w:type="dxa" w:w="190"/>
            </w:tcMar>
          </w:tcPr>
          <w:p>
            <w:pPr>
              <w:spacing w:after="85"/>
            </w:pPr>
            <w:r>
              <w:rPr>
                <w:rFonts w:ascii="Calibri" w:cs="Calibri" w:eastAsia="Calibri" w:hAnsi="Calibri"/>
                <w:b/>
                <w:bCs/>
                <w:color w:val="1F3864"/>
                <w:sz w:val="21"/>
                <w:szCs w:val="21"/>
              </w:rPr>
              <w:t xml:space="preserve">Scope note — read this first</w:t>
            </w:r>
          </w:p>
          <w:p>
            <w:pPr>
              <w:spacing w:after="65" w:line="278"/>
            </w:pPr>
            <w:r>
              <w:rPr>
                <w:rFonts w:ascii="Calibri" w:cs="Calibri" w:eastAsia="Calibri" w:hAnsi="Calibri"/>
                <w:sz w:val="20"/>
                <w:szCs w:val="20"/>
              </w:rPr>
              <w:t xml:space="preserve">Platform procurement is explicitly out of scope for this phase. This document is market research, not a shortlist and not a recommendation to buy.</w:t>
            </w:r>
          </w:p>
          <w:p>
            <w:pPr>
              <w:spacing w:after="65" w:line="278"/>
            </w:pPr>
            <w:r>
              <w:rPr>
                <w:rFonts w:ascii="Calibri" w:cs="Calibri" w:eastAsia="Calibri" w:hAnsi="Calibri"/>
                <w:sz w:val="20"/>
                <w:szCs w:val="20"/>
              </w:rPr>
              <w:t xml:space="preserve">It exists to answer one of the five key questions in the brief — "what platforms support this?" — and to show that the capability is well served by an established market rather than requiring anything bespoke.</w:t>
            </w:r>
          </w:p>
          <w:p>
            <w:pPr>
              <w:spacing w:after="65" w:line="278"/>
            </w:pPr>
            <w:r>
              <w:rPr>
                <w:rFonts w:ascii="Calibri" w:cs="Calibri" w:eastAsia="Calibri" w:hAnsi="Calibri"/>
                <w:sz w:val="20"/>
                <w:szCs w:val="20"/>
              </w:rPr>
              <w:t xml:space="preserve">Vendor positioning, ownership and product names in this market change frequently. Everything here should be re-verified at the point of any formal evaluation.</w:t>
            </w:r>
          </w:p>
        </w:tc>
      </w:tr>
    </w:tbl>
    <w:p>
      <w:pPr>
        <w:pStyle w:val="Heading1"/>
        <w:spacing w:after="150" w:before="330"/>
      </w:pPr>
      <w:r>
        <w:rPr>
          <w:rFonts w:ascii="Calibri" w:cs="Calibri" w:eastAsia="Calibri" w:hAnsi="Calibri"/>
          <w:b/>
          <w:bCs/>
          <w:color w:val="1F3864"/>
          <w:sz w:val="28"/>
          <w:szCs w:val="28"/>
        </w:rPr>
        <w:t xml:space="preserve">1. There is no single "landing page optimisation" vendor</w:t>
      </w:r>
    </w:p>
    <w:p>
      <w:pPr>
        <w:spacing w:after="130" w:line="280"/>
      </w:pPr>
      <w:r>
        <w:rPr>
          <w:rFonts w:ascii="Calibri" w:cs="Calibri" w:eastAsia="Calibri" w:hAnsi="Calibri"/>
          <w:sz w:val="21"/>
          <w:szCs w:val="21"/>
        </w:rPr>
        <w:t xml:space="preserve">The most common mistake in evaluating this market is to look for one product that does the whole job. No such product exists, because the capability is a chain of six functions and most vendors serve two or three of them well and the rest as checkbox features.</w:t>
      </w:r>
    </w:p>
    <w:p>
      <w:pPr>
        <w:spacing w:after="130" w:line="280"/>
      </w:pPr>
      <w:r>
        <w:rPr>
          <w:rFonts w:ascii="Calibri" w:cs="Calibri" w:eastAsia="Calibri" w:hAnsi="Calibri"/>
          <w:sz w:val="21"/>
          <w:szCs w:val="21"/>
        </w:rPr>
        <w:t xml:space="preserve">Buying strength in the wrong layer is the usual failure. An organisation with excellent testing tooling and no identity resolution will personalise nothing; an organisation with a strong customer data platform and no way to vary page content will decide correctly and deliver nothing.</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100"/>
        <w:gridCol w:w="3900"/>
        <w:gridCol w:w="3360"/>
      </w:tblGrid>
      <w:tr>
        <w:trPr>
          <w:tblHeader/>
        </w:trPr>
        <w:tc>
          <w:tcPr>
            <w:tcW w:type="dxa" w:w="210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Layer</w:t>
            </w:r>
          </w:p>
        </w:tc>
        <w:tc>
          <w:tcPr>
            <w:tcW w:type="dxa" w:w="390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What it does</w:t>
            </w:r>
          </w:p>
        </w:tc>
        <w:tc>
          <w:tcPr>
            <w:tcW w:type="dxa" w:w="336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Category name in the market</w:t>
            </w:r>
          </w:p>
        </w:tc>
      </w:tr>
      <w:tr>
        <w:trPr>
          <w:tblHeader w:val="false"/>
        </w:trPr>
        <w:tc>
          <w:tcPr>
            <w:tcW w:type="dxa" w:w="21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Collection</w:t>
            </w:r>
          </w:p>
        </w:tc>
        <w:tc>
          <w:tcPr>
            <w:tcW w:type="dxa" w:w="39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Captures behavioural, campaign and context events</w:t>
            </w:r>
          </w:p>
        </w:tc>
        <w:tc>
          <w:tcPr>
            <w:tcW w:type="dxa" w:w="33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Tag management, analytics, event streaming</w:t>
            </w:r>
          </w:p>
        </w:tc>
      </w:tr>
      <w:tr>
        <w:trPr>
          <w:tblHeader w:val="false"/>
        </w:trPr>
        <w:tc>
          <w:tcPr>
            <w:tcW w:type="dxa" w:w="21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Identity &amp; profile</w:t>
            </w:r>
          </w:p>
        </w:tc>
        <w:tc>
          <w:tcPr>
            <w:tcW w:type="dxa" w:w="39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Works out who the visitor is; unifies anonymous and known</w:t>
            </w:r>
          </w:p>
        </w:tc>
        <w:tc>
          <w:tcPr>
            <w:tcW w:type="dxa" w:w="33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Customer data platform (CDP)</w:t>
            </w:r>
          </w:p>
        </w:tc>
      </w:tr>
      <w:tr>
        <w:trPr>
          <w:tblHeader w:val="false"/>
        </w:trPr>
        <w:tc>
          <w:tcPr>
            <w:tcW w:type="dxa" w:w="21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Decisioning</w:t>
            </w:r>
          </w:p>
        </w:tc>
        <w:tc>
          <w:tcPr>
            <w:tcW w:type="dxa" w:w="39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Chooses which experience this visitor should get</w:t>
            </w:r>
          </w:p>
        </w:tc>
        <w:tc>
          <w:tcPr>
            <w:tcW w:type="dxa" w:w="33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Personalisation engine, decisioning platform</w:t>
            </w:r>
          </w:p>
        </w:tc>
      </w:tr>
      <w:tr>
        <w:trPr>
          <w:tblHeader w:val="false"/>
        </w:trPr>
        <w:tc>
          <w:tcPr>
            <w:tcW w:type="dxa" w:w="21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Delivery</w:t>
            </w:r>
          </w:p>
        </w:tc>
        <w:tc>
          <w:tcPr>
            <w:tcW w:type="dxa" w:w="39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Renders the chosen experience without flicker or delay</w:t>
            </w:r>
          </w:p>
        </w:tc>
        <w:tc>
          <w:tcPr>
            <w:tcW w:type="dxa" w:w="33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CMS, edge rendering, personalisation SDK</w:t>
            </w:r>
          </w:p>
        </w:tc>
      </w:tr>
      <w:tr>
        <w:trPr>
          <w:tblHeader w:val="false"/>
        </w:trPr>
        <w:tc>
          <w:tcPr>
            <w:tcW w:type="dxa" w:w="21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Measurement</w:t>
            </w:r>
          </w:p>
        </w:tc>
        <w:tc>
          <w:tcPr>
            <w:tcW w:type="dxa" w:w="39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Attributes outcomes back to what was shown</w:t>
            </w:r>
          </w:p>
        </w:tc>
        <w:tc>
          <w:tcPr>
            <w:tcW w:type="dxa" w:w="33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Experimentation platform, analytics</w:t>
            </w:r>
          </w:p>
        </w:tc>
      </w:tr>
      <w:tr>
        <w:trPr>
          <w:tblHeader w:val="false"/>
        </w:trPr>
        <w:tc>
          <w:tcPr>
            <w:tcW w:type="dxa" w:w="21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Feedback</w:t>
            </w:r>
          </w:p>
        </w:tc>
        <w:tc>
          <w:tcPr>
            <w:tcW w:type="dxa" w:w="39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Returns measured outcomes into the next decision</w:t>
            </w:r>
          </w:p>
        </w:tc>
        <w:tc>
          <w:tcPr>
            <w:tcW w:type="dxa" w:w="33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Rarely a product — usually integration work</w:t>
            </w:r>
          </w:p>
        </w:tc>
      </w:tr>
    </w:tbl>
    <w:p>
      <w:pPr>
        <w:spacing w:after="130" w:line="280"/>
      </w:pPr>
      <w:r>
        <w:rPr>
          <w:rFonts w:ascii="Calibri" w:cs="Calibri" w:eastAsia="Calibri" w:hAnsi="Calibri"/>
          <w:b/>
          <w:bCs/>
          <w:sz w:val="21"/>
          <w:szCs w:val="21"/>
        </w:rPr>
        <w:t xml:space="preserve">Note the last row. </w:t>
      </w:r>
      <w:r>
        <w:rPr>
          <w:rFonts w:ascii="Calibri" w:cs="Calibri" w:eastAsia="Calibri" w:hAnsi="Calibri"/>
          <w:sz w:val="21"/>
          <w:szCs w:val="21"/>
        </w:rPr>
        <w:t xml:space="preserve">The feedback path — the thing that makes the loop closed — is almost never sold as a product. Vendors assume you already have it. This is why our data readiness assessment matters more than our vendor choice.</w:t>
      </w:r>
    </w:p>
    <w:p>
      <w:r>
        <w:br w:type="page"/>
      </w:r>
    </w:p>
    <w:p>
      <w:pPr>
        <w:pStyle w:val="Heading1"/>
        <w:spacing w:after="150" w:before="330"/>
      </w:pPr>
      <w:r>
        <w:rPr>
          <w:rFonts w:ascii="Calibri" w:cs="Calibri" w:eastAsia="Calibri" w:hAnsi="Calibri"/>
          <w:b/>
          <w:bCs/>
          <w:color w:val="1F3864"/>
          <w:sz w:val="28"/>
          <w:szCs w:val="28"/>
        </w:rPr>
        <w:t xml:space="preserve">2. The market, layer by layer</w:t>
      </w:r>
    </w:p>
    <w:p>
      <w:pPr>
        <w:spacing w:after="130" w:line="280"/>
      </w:pPr>
      <w:r>
        <w:rPr>
          <w:rFonts w:ascii="Calibri" w:cs="Calibri" w:eastAsia="Calibri" w:hAnsi="Calibri"/>
          <w:sz w:val="21"/>
          <w:szCs w:val="21"/>
        </w:rPr>
        <w:t xml:space="preserve">Representative vendors by category. Inclusion is not endorsement, and the lists are not exhaustive.</w:t>
      </w:r>
    </w:p>
    <w:p>
      <w:pPr>
        <w:pStyle w:val="Heading2"/>
        <w:spacing w:after="110" w:before="250"/>
      </w:pPr>
      <w:r>
        <w:rPr>
          <w:rFonts w:ascii="Calibri" w:cs="Calibri" w:eastAsia="Calibri" w:hAnsi="Calibri"/>
          <w:b/>
          <w:bCs/>
          <w:color w:val="2E74B5"/>
          <w:sz w:val="23"/>
          <w:szCs w:val="23"/>
        </w:rPr>
        <w:t xml:space="preserve">2.1 Experimentation and testing</w:t>
      </w:r>
    </w:p>
    <w:p>
      <w:pPr>
        <w:spacing w:after="130" w:line="280"/>
      </w:pPr>
      <w:r>
        <w:rPr>
          <w:rFonts w:ascii="Calibri" w:cs="Calibri" w:eastAsia="Calibri" w:hAnsi="Calibri"/>
          <w:sz w:val="21"/>
          <w:szCs w:val="21"/>
        </w:rPr>
        <w:t xml:space="preserve">Strongest statistical rigour. Personalisation is generally an extension of the experimentation model rather than the core product.</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3400"/>
        <w:gridCol w:w="3560"/>
      </w:tblGrid>
      <w:tr>
        <w:trPr>
          <w:tblHeader/>
        </w:trPr>
        <w:tc>
          <w:tcPr>
            <w:tcW w:type="dxa" w:w="240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Vendor</w:t>
            </w:r>
          </w:p>
        </w:tc>
        <w:tc>
          <w:tcPr>
            <w:tcW w:type="dxa" w:w="340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Notes</w:t>
            </w:r>
          </w:p>
        </w:tc>
        <w:tc>
          <w:tcPr>
            <w:tcW w:type="dxa" w:w="356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Typical fit</w:t>
            </w:r>
          </w:p>
        </w:tc>
      </w:tr>
      <w:tr>
        <w:trPr>
          <w:tblHeader w:val="false"/>
        </w:trPr>
        <w:tc>
          <w:tcPr>
            <w:tcW w:type="dxa" w:w="2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Optimizely</w:t>
            </w:r>
          </w:p>
        </w:tc>
        <w:tc>
          <w:tcPr>
            <w:tcW w:type="dxa" w:w="3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Web and feature experimentation plus personalisation; Leader in the 2026 Gartner Magic Quadrant for Personalization Engines</w:t>
            </w:r>
          </w:p>
        </w:tc>
        <w:tc>
          <w:tcPr>
            <w:tcW w:type="dxa" w:w="35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Large enterprises wanting experimentation depth</w:t>
            </w:r>
          </w:p>
        </w:tc>
      </w:tr>
      <w:tr>
        <w:trPr>
          <w:tblHeader w:val="false"/>
        </w:trPr>
        <w:tc>
          <w:tcPr>
            <w:tcW w:type="dxa" w:w="2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Adobe Target</w:t>
            </w:r>
          </w:p>
        </w:tc>
        <w:tc>
          <w:tcPr>
            <w:tcW w:type="dxa" w:w="3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Experimentation and personalisation within the Adobe Experience Cloud</w:t>
            </w:r>
          </w:p>
        </w:tc>
        <w:tc>
          <w:tcPr>
            <w:tcW w:type="dxa" w:w="35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Organisations already committed to Adobe</w:t>
            </w:r>
          </w:p>
        </w:tc>
      </w:tr>
      <w:tr>
        <w:trPr>
          <w:tblHeader w:val="false"/>
        </w:trPr>
        <w:tc>
          <w:tcPr>
            <w:tcW w:type="dxa" w:w="2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VWO</w:t>
            </w:r>
          </w:p>
        </w:tc>
        <w:tc>
          <w:tcPr>
            <w:tcW w:type="dxa" w:w="3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Testing, behavioural analytics and personalisation in one suite</w:t>
            </w:r>
          </w:p>
        </w:tc>
        <w:tc>
          <w:tcPr>
            <w:tcW w:type="dxa" w:w="35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Mid-market; broad feature coverage</w:t>
            </w:r>
          </w:p>
        </w:tc>
      </w:tr>
      <w:tr>
        <w:trPr>
          <w:tblHeader w:val="false"/>
        </w:trPr>
        <w:tc>
          <w:tcPr>
            <w:tcW w:type="dxa" w:w="2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AB Tasty</w:t>
            </w:r>
          </w:p>
        </w:tc>
        <w:tc>
          <w:tcPr>
            <w:tcW w:type="dxa" w:w="3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Experimentation and personalisation, strong European presence</w:t>
            </w:r>
          </w:p>
        </w:tc>
        <w:tc>
          <w:tcPr>
            <w:tcW w:type="dxa" w:w="35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Mid-market to enterprise</w:t>
            </w:r>
          </w:p>
        </w:tc>
      </w:tr>
      <w:tr>
        <w:trPr>
          <w:tblHeader w:val="false"/>
        </w:trPr>
        <w:tc>
          <w:tcPr>
            <w:tcW w:type="dxa" w:w="2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Kameleoon</w:t>
            </w:r>
          </w:p>
        </w:tc>
        <w:tc>
          <w:tcPr>
            <w:tcW w:type="dxa" w:w="3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Experimentation and personalisation; markets compliance and privacy features prominently</w:t>
            </w:r>
          </w:p>
        </w:tc>
        <w:tc>
          <w:tcPr>
            <w:tcW w:type="dxa" w:w="35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Regulated sectors</w:t>
            </w:r>
          </w:p>
        </w:tc>
      </w:tr>
      <w:tr>
        <w:trPr>
          <w:tblHeader w:val="false"/>
        </w:trPr>
        <w:tc>
          <w:tcPr>
            <w:tcW w:type="dxa" w:w="2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Statsig, GrowthBook, LaunchDarkly</w:t>
            </w:r>
          </w:p>
        </w:tc>
        <w:tc>
          <w:tcPr>
            <w:tcW w:type="dxa" w:w="3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Engineering-led experimentation and feature flagging; GrowthBook is open source</w:t>
            </w:r>
          </w:p>
        </w:tc>
        <w:tc>
          <w:tcPr>
            <w:tcW w:type="dxa" w:w="35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Product and engineering teams, server-side</w:t>
            </w:r>
          </w:p>
        </w:tc>
      </w:tr>
    </w:tbl>
    <w:p>
      <w:pPr>
        <w:pStyle w:val="Heading2"/>
        <w:spacing w:after="110" w:before="250"/>
      </w:pPr>
      <w:r>
        <w:rPr>
          <w:rFonts w:ascii="Calibri" w:cs="Calibri" w:eastAsia="Calibri" w:hAnsi="Calibri"/>
          <w:b/>
          <w:bCs/>
          <w:color w:val="2E74B5"/>
          <w:sz w:val="23"/>
          <w:szCs w:val="23"/>
        </w:rPr>
        <w:t xml:space="preserve">2.2 Personalisation and decisioning engines</w:t>
      </w:r>
    </w:p>
    <w:p>
      <w:pPr>
        <w:spacing w:after="130" w:line="280"/>
      </w:pPr>
      <w:r>
        <w:rPr>
          <w:rFonts w:ascii="Calibri" w:cs="Calibri" w:eastAsia="Calibri" w:hAnsi="Calibri"/>
          <w:sz w:val="21"/>
          <w:szCs w:val="21"/>
        </w:rPr>
        <w:t xml:space="preserve">Purpose-built for choosing content per visitor. Most have retail and e-commerce heritage, so non-commerce journey fit needs checking carefully.</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3400"/>
        <w:gridCol w:w="3560"/>
      </w:tblGrid>
      <w:tr>
        <w:trPr>
          <w:tblHeader/>
        </w:trPr>
        <w:tc>
          <w:tcPr>
            <w:tcW w:type="dxa" w:w="240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Vendor</w:t>
            </w:r>
          </w:p>
        </w:tc>
        <w:tc>
          <w:tcPr>
            <w:tcW w:type="dxa" w:w="340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Notes</w:t>
            </w:r>
          </w:p>
        </w:tc>
        <w:tc>
          <w:tcPr>
            <w:tcW w:type="dxa" w:w="356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Typical fit</w:t>
            </w:r>
          </w:p>
        </w:tc>
      </w:tr>
      <w:tr>
        <w:trPr>
          <w:tblHeader w:val="false"/>
        </w:trPr>
        <w:tc>
          <w:tcPr>
            <w:tcW w:type="dxa" w:w="2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Adobe Target / Journey Optimizer</w:t>
            </w:r>
          </w:p>
        </w:tc>
        <w:tc>
          <w:tcPr>
            <w:tcW w:type="dxa" w:w="3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Leader in the 2026 Gartner Magic Quadrant, reported as the eighth such recognition</w:t>
            </w:r>
          </w:p>
        </w:tc>
        <w:tc>
          <w:tcPr>
            <w:tcW w:type="dxa" w:w="35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Deep Adobe estates</w:t>
            </w:r>
          </w:p>
        </w:tc>
      </w:tr>
      <w:tr>
        <w:trPr>
          <w:tblHeader w:val="false"/>
        </w:trPr>
        <w:tc>
          <w:tcPr>
            <w:tcW w:type="dxa" w:w="2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Dynamic Yield by Mastercard</w:t>
            </w:r>
          </w:p>
        </w:tc>
        <w:tc>
          <w:tcPr>
            <w:tcW w:type="dxa" w:w="3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Acquired by Mastercard in 2022; Leader in the 2026 Magic Quadrant, reported as the eighth time; financial services is a named vertical</w:t>
            </w:r>
          </w:p>
        </w:tc>
        <w:tc>
          <w:tcPr>
            <w:tcW w:type="dxa" w:w="35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Enterprises, including banks</w:t>
            </w:r>
          </w:p>
        </w:tc>
      </w:tr>
      <w:tr>
        <w:trPr>
          <w:tblHeader w:val="false"/>
        </w:trPr>
        <w:tc>
          <w:tcPr>
            <w:tcW w:type="dxa" w:w="2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SAP Emarsys</w:t>
            </w:r>
          </w:p>
        </w:tc>
        <w:tc>
          <w:tcPr>
            <w:tcW w:type="dxa" w:w="3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Leader in the 2026 Magic Quadrant, reported as the seventh consecutive year</w:t>
            </w:r>
          </w:p>
        </w:tc>
        <w:tc>
          <w:tcPr>
            <w:tcW w:type="dxa" w:w="35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SAP estates, retail-led</w:t>
            </w:r>
          </w:p>
        </w:tc>
      </w:tr>
      <w:tr>
        <w:trPr>
          <w:tblHeader w:val="false"/>
        </w:trPr>
        <w:tc>
          <w:tcPr>
            <w:tcW w:type="dxa" w:w="2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Insider One</w:t>
            </w:r>
          </w:p>
        </w:tc>
        <w:tc>
          <w:tcPr>
            <w:tcW w:type="dxa" w:w="3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Leader in the 2026 Magic Quadrant, reported as the fifth consecutive year</w:t>
            </w:r>
          </w:p>
        </w:tc>
        <w:tc>
          <w:tcPr>
            <w:tcW w:type="dxa" w:w="35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Cross-channel, mobile-heavy journeys</w:t>
            </w:r>
          </w:p>
        </w:tc>
      </w:tr>
      <w:tr>
        <w:trPr>
          <w:tblHeader w:val="false"/>
        </w:trPr>
        <w:tc>
          <w:tcPr>
            <w:tcW w:type="dxa" w:w="2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Salesforce Marketing Cloud Personalization</w:t>
            </w:r>
          </w:p>
        </w:tc>
        <w:tc>
          <w:tcPr>
            <w:tcW w:type="dxa" w:w="3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Formerly Interaction Studio, originally Evergage</w:t>
            </w:r>
          </w:p>
        </w:tc>
        <w:tc>
          <w:tcPr>
            <w:tcW w:type="dxa" w:w="35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Salesforce estates</w:t>
            </w:r>
          </w:p>
        </w:tc>
      </w:tr>
      <w:tr>
        <w:trPr>
          <w:tblHeader w:val="false"/>
        </w:trPr>
        <w:tc>
          <w:tcPr>
            <w:tcW w:type="dxa" w:w="2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Bloomreach, Coveo, Mutiny, Fibr</w:t>
            </w:r>
          </w:p>
        </w:tc>
        <w:tc>
          <w:tcPr>
            <w:tcW w:type="dxa" w:w="3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Varying maturity; Coveo acquired Qubit; Mutiny is B2B-focused; Fibr is early stage</w:t>
            </w:r>
          </w:p>
        </w:tc>
        <w:tc>
          <w:tcPr>
            <w:tcW w:type="dxa" w:w="35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Niche or specific journey types</w:t>
            </w:r>
          </w:p>
        </w:tc>
      </w:tr>
    </w:tbl>
    <w:p>
      <w:pPr>
        <w:pStyle w:val="Heading2"/>
        <w:spacing w:after="110" w:before="250"/>
      </w:pPr>
      <w:r>
        <w:rPr>
          <w:rFonts w:ascii="Calibri" w:cs="Calibri" w:eastAsia="Calibri" w:hAnsi="Calibri"/>
          <w:b/>
          <w:bCs/>
          <w:color w:val="2E74B5"/>
          <w:sz w:val="23"/>
          <w:szCs w:val="23"/>
        </w:rPr>
        <w:t xml:space="preserve">2.3 Customer data platforms — the layer most often missing</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3400"/>
        <w:gridCol w:w="3560"/>
      </w:tblGrid>
      <w:tr>
        <w:trPr>
          <w:tblHeader/>
        </w:trPr>
        <w:tc>
          <w:tcPr>
            <w:tcW w:type="dxa" w:w="240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Vendor</w:t>
            </w:r>
          </w:p>
        </w:tc>
        <w:tc>
          <w:tcPr>
            <w:tcW w:type="dxa" w:w="340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Notes</w:t>
            </w:r>
          </w:p>
        </w:tc>
        <w:tc>
          <w:tcPr>
            <w:tcW w:type="dxa" w:w="356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Typical fit</w:t>
            </w:r>
          </w:p>
        </w:tc>
      </w:tr>
      <w:tr>
        <w:trPr>
          <w:tblHeader w:val="false"/>
        </w:trPr>
        <w:tc>
          <w:tcPr>
            <w:tcW w:type="dxa" w:w="2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Adobe Real-Time CDP</w:t>
            </w:r>
          </w:p>
        </w:tc>
        <w:tc>
          <w:tcPr>
            <w:tcW w:type="dxa" w:w="3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Real-time profile within Adobe Experience Platform</w:t>
            </w:r>
          </w:p>
        </w:tc>
        <w:tc>
          <w:tcPr>
            <w:tcW w:type="dxa" w:w="35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Adobe estates</w:t>
            </w:r>
          </w:p>
        </w:tc>
      </w:tr>
      <w:tr>
        <w:trPr>
          <w:tblHeader w:val="false"/>
        </w:trPr>
        <w:tc>
          <w:tcPr>
            <w:tcW w:type="dxa" w:w="2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Salesforce Data Cloud</w:t>
            </w:r>
          </w:p>
        </w:tc>
        <w:tc>
          <w:tcPr>
            <w:tcW w:type="dxa" w:w="3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Unified profile across the Salesforce estate</w:t>
            </w:r>
          </w:p>
        </w:tc>
        <w:tc>
          <w:tcPr>
            <w:tcW w:type="dxa" w:w="35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Salesforce estates</w:t>
            </w:r>
          </w:p>
        </w:tc>
      </w:tr>
      <w:tr>
        <w:trPr>
          <w:tblHeader w:val="false"/>
        </w:trPr>
        <w:tc>
          <w:tcPr>
            <w:tcW w:type="dxa" w:w="2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Tealium AudienceStream</w:t>
            </w:r>
          </w:p>
        </w:tc>
        <w:tc>
          <w:tcPr>
            <w:tcW w:type="dxa" w:w="3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Vendor-neutral; used in the top-ten US property and casualty insurer case in our insurance study</w:t>
            </w:r>
          </w:p>
        </w:tc>
        <w:tc>
          <w:tcPr>
            <w:tcW w:type="dxa" w:w="35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Mixed estates, regulated sectors</w:t>
            </w:r>
          </w:p>
        </w:tc>
      </w:tr>
      <w:tr>
        <w:trPr>
          <w:tblHeader w:val="false"/>
        </w:trPr>
        <w:tc>
          <w:tcPr>
            <w:tcW w:type="dxa" w:w="2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Twilio Segment</w:t>
            </w:r>
          </w:p>
        </w:tc>
        <w:tc>
          <w:tcPr>
            <w:tcW w:type="dxa" w:w="3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Widely adopted event collection and identity resolution</w:t>
            </w:r>
          </w:p>
        </w:tc>
        <w:tc>
          <w:tcPr>
            <w:tcW w:type="dxa" w:w="35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Digital-native organisations</w:t>
            </w:r>
          </w:p>
        </w:tc>
      </w:tr>
      <w:tr>
        <w:trPr>
          <w:tblHeader w:val="false"/>
        </w:trPr>
        <w:tc>
          <w:tcPr>
            <w:tcW w:type="dxa" w:w="2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Amperity, Treasure Data, Lytics</w:t>
            </w:r>
          </w:p>
        </w:tc>
        <w:tc>
          <w:tcPr>
            <w:tcW w:type="dxa" w:w="3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Identity resolution specialists, varying enterprise depth</w:t>
            </w:r>
          </w:p>
        </w:tc>
        <w:tc>
          <w:tcPr>
            <w:tcW w:type="dxa" w:w="35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Complex identity problems</w:t>
            </w:r>
          </w:p>
        </w:tc>
      </w:tr>
      <w:tr>
        <w:trPr>
          <w:tblHeader w:val="false"/>
        </w:trPr>
        <w:tc>
          <w:tcPr>
            <w:tcW w:type="dxa" w:w="2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Hightouch, Census</w:t>
            </w:r>
          </w:p>
        </w:tc>
        <w:tc>
          <w:tcPr>
            <w:tcW w:type="dxa" w:w="3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Composable or warehouse-native — the profile stays in your data warehouse</w:t>
            </w:r>
          </w:p>
        </w:tc>
        <w:tc>
          <w:tcPr>
            <w:tcW w:type="dxa" w:w="35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Organisations with a mature warehouse</w:t>
            </w:r>
          </w:p>
        </w:tc>
      </w:tr>
    </w:tbl>
    <w:p>
      <w:pPr>
        <w:spacing w:after="130" w:line="280"/>
      </w:pPr>
      <w:r>
        <w:rPr>
          <w:rFonts w:ascii="Calibri" w:cs="Calibri" w:eastAsia="Calibri" w:hAnsi="Calibri"/>
          <w:b/>
          <w:bCs/>
          <w:sz w:val="21"/>
          <w:szCs w:val="21"/>
        </w:rPr>
        <w:t xml:space="preserve">The composable option deserves attention. </w:t>
      </w:r>
      <w:r>
        <w:rPr>
          <w:rFonts w:ascii="Calibri" w:cs="Calibri" w:eastAsia="Calibri" w:hAnsi="Calibri"/>
          <w:sz w:val="21"/>
          <w:szCs w:val="21"/>
        </w:rPr>
        <w:t xml:space="preserve">If a well-governed data warehouse already exists, warehouse-native tooling avoids duplicating customer data into a vendor platform — which materially reduces both lock-in and data residency concerns. It shifts effort to internal engineering.</w:t>
      </w:r>
    </w:p>
    <w:p>
      <w:r>
        <w:br w:type="page"/>
      </w:r>
    </w:p>
    <w:p>
      <w:pPr>
        <w:pStyle w:val="Heading2"/>
        <w:spacing w:after="110" w:before="250"/>
      </w:pPr>
      <w:r>
        <w:rPr>
          <w:rFonts w:ascii="Calibri" w:cs="Calibri" w:eastAsia="Calibri" w:hAnsi="Calibri"/>
          <w:b/>
          <w:bCs/>
          <w:color w:val="2E74B5"/>
          <w:sz w:val="23"/>
          <w:szCs w:val="23"/>
        </w:rPr>
        <w:t xml:space="preserve">2.4 Enterprise decisioning — the financial services category</w:t>
      </w:r>
    </w:p>
    <w:p>
      <w:pPr>
        <w:spacing w:after="130" w:line="280"/>
      </w:pPr>
      <w:r>
        <w:rPr>
          <w:rFonts w:ascii="Calibri" w:cs="Calibri" w:eastAsia="Calibri" w:hAnsi="Calibri"/>
          <w:sz w:val="21"/>
          <w:szCs w:val="21"/>
        </w:rPr>
        <w:t xml:space="preserve">This category is frequently overlooked in landing page discussions and should not be, because these platforms are already deployed in many banks and insurers for next-best-action across channels. If one is already in the estate, the acquisition journey may be an extension rather than a new purchase.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6960"/>
      </w:tblGrid>
      <w:tr>
        <w:trPr>
          <w:tblHeader/>
        </w:trPr>
        <w:tc>
          <w:tcPr>
            <w:tcW w:type="dxa" w:w="240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Vendor</w:t>
            </w:r>
          </w:p>
        </w:tc>
        <w:tc>
          <w:tcPr>
            <w:tcW w:type="dxa" w:w="696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Notes</w:t>
            </w:r>
          </w:p>
        </w:tc>
      </w:tr>
      <w:tr>
        <w:trPr>
          <w:tblHeader w:val="false"/>
        </w:trPr>
        <w:tc>
          <w:tcPr>
            <w:tcW w:type="dxa" w:w="2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Pega Customer Decision Hub</w:t>
            </w:r>
          </w:p>
        </w:tc>
        <w:tc>
          <w:tcPr>
            <w:tcW w:type="dxa" w:w="69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Real-time next-best-action decisioning across channels, with heavy adoption in financial services and telecoms. Centrally managed decision strategies rather than channel-specific rules.</w:t>
            </w:r>
          </w:p>
        </w:tc>
      </w:tr>
      <w:tr>
        <w:trPr>
          <w:tblHeader w:val="false"/>
        </w:trPr>
        <w:tc>
          <w:tcPr>
            <w:tcW w:type="dxa" w:w="24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SAS Customer Intelligence 360</w:t>
            </w:r>
          </w:p>
        </w:tc>
        <w:tc>
          <w:tcPr>
            <w:tcW w:type="dxa" w:w="69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Analytics-led decisioning and journey orchestration; long-standing presence in regulated industries.</w:t>
            </w:r>
          </w:p>
        </w:tc>
      </w:tr>
      <w:tr>
        <w:trPr>
          <w:tblHeader w:val="false"/>
        </w:trPr>
        <w:tc>
          <w:tcPr>
            <w:tcW w:type="dxa" w:w="24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FICO</w:t>
            </w:r>
          </w:p>
        </w:tc>
        <w:tc>
          <w:tcPr>
            <w:tcW w:type="dxa" w:w="69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Decision management and analytics, strongest where credit risk and marketing decisioning meet.</w:t>
            </w:r>
          </w:p>
        </w:tc>
      </w:tr>
    </w:tbl>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50"/>
              <w:left w:type="dxa" w:w="190"/>
              <w:bottom w:type="dxa" w:w="150"/>
              <w:right w:type="dxa" w:w="190"/>
            </w:tcMar>
          </w:tcPr>
          <w:p>
            <w:pPr>
              <w:spacing w:after="85"/>
            </w:pPr>
            <w:r>
              <w:rPr>
                <w:rFonts w:ascii="Calibri" w:cs="Calibri" w:eastAsia="Calibri" w:hAnsi="Calibri"/>
                <w:b/>
                <w:bCs/>
                <w:color w:val="1F3864"/>
                <w:sz w:val="21"/>
                <w:szCs w:val="21"/>
              </w:rPr>
              <w:t xml:space="preserve">Worth checking before anything else</w:t>
            </w:r>
          </w:p>
          <w:p>
            <w:pPr>
              <w:spacing w:after="65" w:line="278"/>
            </w:pPr>
            <w:r>
              <w:rPr>
                <w:rFonts w:ascii="Calibri" w:cs="Calibri" w:eastAsia="Calibri" w:hAnsi="Calibri"/>
                <w:sz w:val="20"/>
                <w:szCs w:val="20"/>
              </w:rPr>
              <w:t xml:space="preserve">If the organisation already licenses Pega, SAS or an equivalent decisioning platform for another purpose — collections, servicing, next-best-action in the contact centre — then a substantial part of the decisioning layer may already be paid for.</w:t>
            </w:r>
          </w:p>
          <w:p>
            <w:pPr>
              <w:spacing w:after="65" w:line="278"/>
            </w:pPr>
            <w:r>
              <w:rPr>
                <w:rFonts w:ascii="Calibri" w:cs="Calibri" w:eastAsia="Calibri" w:hAnsi="Calibri"/>
                <w:sz w:val="20"/>
                <w:szCs w:val="20"/>
              </w:rPr>
              <w:t xml:space="preserve">Extending an existing enterprise decisioning deployment to the acquisition journey is a very different proposition, commercially and architecturally, from buying a new personalisation platform. It is also a far shorter procurement path.</w:t>
            </w:r>
          </w:p>
        </w:tc>
      </w:tr>
    </w:tbl>
    <w:p>
      <w:pPr>
        <w:pStyle w:val="Heading2"/>
        <w:spacing w:after="110" w:before="250"/>
      </w:pPr>
      <w:r>
        <w:rPr>
          <w:rFonts w:ascii="Calibri" w:cs="Calibri" w:eastAsia="Calibri" w:hAnsi="Calibri"/>
          <w:b/>
          <w:bCs/>
          <w:color w:val="2E74B5"/>
          <w:sz w:val="23"/>
          <w:szCs w:val="23"/>
        </w:rPr>
        <w:t xml:space="preserve">2.5 Behavioural analytics — diagnosis, not decisioning</w:t>
      </w:r>
    </w:p>
    <w:p>
      <w:pPr>
        <w:spacing w:after="130" w:line="280"/>
      </w:pPr>
      <w:r>
        <w:rPr>
          <w:rFonts w:ascii="Calibri" w:cs="Calibri" w:eastAsia="Calibri" w:hAnsi="Calibri"/>
          <w:sz w:val="21"/>
          <w:szCs w:val="21"/>
        </w:rPr>
        <w:t xml:space="preserve">These tools tell you why a page is failing. They feed the hypothesis backlog rather than forming part of the loop itself, but they are usually the cheapest way to find out where the money is leaking.</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900"/>
        <w:gridCol w:w="6460"/>
      </w:tblGrid>
      <w:tr>
        <w:trPr>
          <w:tblHeader/>
        </w:trPr>
        <w:tc>
          <w:tcPr>
            <w:tcW w:type="dxa" w:w="290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Vendor</w:t>
            </w:r>
          </w:p>
        </w:tc>
        <w:tc>
          <w:tcPr>
            <w:tcW w:type="dxa" w:w="646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Notes</w:t>
            </w:r>
          </w:p>
        </w:tc>
      </w:tr>
      <w:tr>
        <w:trPr>
          <w:tblHeader w:val="false"/>
        </w:trPr>
        <w:tc>
          <w:tcPr>
            <w:tcW w:type="dxa" w:w="29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Contentsquare</w:t>
            </w:r>
          </w:p>
        </w:tc>
        <w:tc>
          <w:tcPr>
            <w:tcW w:type="dxa" w:w="64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Experience analytics; has acquired Hotjar and Heap, consolidating much of this category</w:t>
            </w:r>
          </w:p>
        </w:tc>
      </w:tr>
      <w:tr>
        <w:trPr>
          <w:tblHeader w:val="false"/>
        </w:trPr>
        <w:tc>
          <w:tcPr>
            <w:tcW w:type="dxa" w:w="29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Quantum Metric, Glassbox, FullStory</w:t>
            </w:r>
          </w:p>
        </w:tc>
        <w:tc>
          <w:tcPr>
            <w:tcW w:type="dxa" w:w="64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Session replay, struggle detection and friction analysis; Glassbox has strong regulated-sector presence</w:t>
            </w:r>
          </w:p>
        </w:tc>
      </w:tr>
      <w:tr>
        <w:trPr>
          <w:tblHeader w:val="false"/>
        </w:trPr>
        <w:tc>
          <w:tcPr>
            <w:tcW w:type="dxa" w:w="29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Amplitude</w:t>
            </w:r>
          </w:p>
        </w:tc>
        <w:tc>
          <w:tcPr>
            <w:tcW w:type="dxa" w:w="64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Product analytics with experimentation capability</w:t>
            </w:r>
          </w:p>
        </w:tc>
      </w:tr>
      <w:tr>
        <w:trPr>
          <w:tblHeader w:val="false"/>
        </w:trPr>
        <w:tc>
          <w:tcPr>
            <w:tcW w:type="dxa" w:w="29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Microsoft Clarity</w:t>
            </w:r>
          </w:p>
        </w:tc>
        <w:tc>
          <w:tcPr>
            <w:tcW w:type="dxa" w:w="64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Free session replay and heatmaps — a reasonable zero-cost starting point</w:t>
            </w:r>
          </w:p>
        </w:tc>
      </w:tr>
    </w:tbl>
    <w:p>
      <w:pPr>
        <w:pStyle w:val="Heading2"/>
        <w:spacing w:after="110" w:before="250"/>
      </w:pPr>
      <w:r>
        <w:rPr>
          <w:rFonts w:ascii="Calibri" w:cs="Calibri" w:eastAsia="Calibri" w:hAnsi="Calibri"/>
          <w:b/>
          <w:bCs/>
          <w:color w:val="2E74B5"/>
          <w:sz w:val="23"/>
          <w:szCs w:val="23"/>
        </w:rPr>
        <w:t xml:space="preserve">2.6 Page building and delivery</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900"/>
        <w:gridCol w:w="6460"/>
      </w:tblGrid>
      <w:tr>
        <w:trPr>
          <w:tblHeader/>
        </w:trPr>
        <w:tc>
          <w:tcPr>
            <w:tcW w:type="dxa" w:w="290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Vendor</w:t>
            </w:r>
          </w:p>
        </w:tc>
        <w:tc>
          <w:tcPr>
            <w:tcW w:type="dxa" w:w="646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Notes</w:t>
            </w:r>
          </w:p>
        </w:tc>
      </w:tr>
      <w:tr>
        <w:trPr>
          <w:tblHeader w:val="false"/>
        </w:trPr>
        <w:tc>
          <w:tcPr>
            <w:tcW w:type="dxa" w:w="29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Unbounce, Instapage</w:t>
            </w:r>
          </w:p>
        </w:tc>
        <w:tc>
          <w:tcPr>
            <w:tcW w:type="dxa" w:w="64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Standalone landing page builders with rule-based dynamic text replacement and traffic routing</w:t>
            </w:r>
          </w:p>
        </w:tc>
      </w:tr>
      <w:tr>
        <w:trPr>
          <w:tblHeader w:val="false"/>
        </w:trPr>
        <w:tc>
          <w:tcPr>
            <w:tcW w:type="dxa" w:w="29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Webflow</w:t>
            </w:r>
          </w:p>
        </w:tc>
        <w:tc>
          <w:tcPr>
            <w:tcW w:type="dxa" w:w="64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Acquired Intellimize, adding personalisation to page building</w:t>
            </w:r>
          </w:p>
        </w:tc>
      </w:tr>
      <w:tr>
        <w:trPr>
          <w:tblHeader w:val="false"/>
        </w:trPr>
        <w:tc>
          <w:tcPr>
            <w:tcW w:type="dxa" w:w="29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Existing CMS (AEM, Sitecore, Contentful, Contentstack)</w:t>
            </w:r>
          </w:p>
        </w:tc>
        <w:tc>
          <w:tcPr>
            <w:tcW w:type="dxa" w:w="64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Often the practical delivery layer. The key question is whether content is componentised enough to vary without a release.</w:t>
            </w:r>
          </w:p>
        </w:tc>
      </w:tr>
    </w:tbl>
    <w:p>
      <w:r>
        <w:br w:type="page"/>
      </w:r>
    </w:p>
    <w:p>
      <w:pPr>
        <w:pStyle w:val="Heading1"/>
        <w:spacing w:after="150" w:before="330"/>
      </w:pPr>
      <w:r>
        <w:rPr>
          <w:rFonts w:ascii="Calibri" w:cs="Calibri" w:eastAsia="Calibri" w:hAnsi="Calibri"/>
          <w:b/>
          <w:bCs/>
          <w:color w:val="1F3864"/>
          <w:sz w:val="28"/>
          <w:szCs w:val="28"/>
        </w:rPr>
        <w:t xml:space="preserve">3. What the analyst view says</w:t>
      </w:r>
    </w:p>
    <w:p>
      <w:pPr>
        <w:spacing w:after="130" w:line="280"/>
      </w:pPr>
      <w:r>
        <w:rPr>
          <w:rFonts w:ascii="Calibri" w:cs="Calibri" w:eastAsia="Calibri" w:hAnsi="Calibri"/>
          <w:sz w:val="21"/>
          <w:szCs w:val="21"/>
        </w:rPr>
        <w:t xml:space="preserve">The 2026 Gartner Magic Quadrant for Personalization Engines, published in February 2026, evaluated twelve vendors. Adobe, Optimizely, SAP, Insider One and Dynamic Yield by Mastercard are among those reported as Leaders. Earlier coverage put the market at approximately USD 1.2 billion following 26.1% growth in 2024.</w:t>
      </w:r>
    </w:p>
    <w:p>
      <w:pPr>
        <w:spacing w:after="130" w:line="280"/>
      </w:pPr>
      <w:r>
        <w:rPr>
          <w:rFonts w:ascii="Calibri" w:cs="Calibri" w:eastAsia="Calibri" w:hAnsi="Calibri"/>
          <w:b/>
          <w:bCs/>
          <w:sz w:val="21"/>
          <w:szCs w:val="21"/>
        </w:rPr>
        <w:t xml:space="preserve">Read that as a signal about the market, not about fit. </w:t>
      </w:r>
      <w:r>
        <w:rPr>
          <w:rFonts w:ascii="Calibri" w:cs="Calibri" w:eastAsia="Calibri" w:hAnsi="Calibri"/>
          <w:sz w:val="21"/>
          <w:szCs w:val="21"/>
        </w:rPr>
        <w:t xml:space="preserve">Leaders-quadrant placement reflects market presence and breadth of vision. It says nothing about whether a product suits a regulated credit acquisition journey with a downstream outcome arriving eleven days later. Several Leaders are retail-heritage products.</w:t>
      </w:r>
    </w:p>
    <w:p>
      <w:pPr>
        <w:spacing w:after="130" w:line="280"/>
      </w:pPr>
      <w:r>
        <w:rPr>
          <w:rFonts w:ascii="Calibri" w:cs="Calibri" w:eastAsia="Calibri" w:hAnsi="Calibri"/>
          <w:sz w:val="21"/>
          <w:szCs w:val="21"/>
        </w:rPr>
        <w:t xml:space="preserve">A market of twelve credible vendors, growing at 26% and consolidating through acquisition, tells us the capability is commoditised. That is the useful conclusion for the feasibility question: we are not being asked to fund something experimental.</w:t>
      </w:r>
    </w:p>
    <w:p>
      <w:pPr>
        <w:pStyle w:val="Heading1"/>
        <w:spacing w:after="150" w:before="330"/>
      </w:pPr>
      <w:r>
        <w:rPr>
          <w:rFonts w:ascii="Calibri" w:cs="Calibri" w:eastAsia="Calibri" w:hAnsi="Calibri"/>
          <w:b/>
          <w:bCs/>
          <w:color w:val="1F3864"/>
          <w:sz w:val="28"/>
          <w:szCs w:val="28"/>
        </w:rPr>
        <w:t xml:space="preserve">4. The questions that actually discriminate</w:t>
      </w:r>
    </w:p>
    <w:p>
      <w:pPr>
        <w:spacing w:after="130" w:line="280"/>
      </w:pPr>
      <w:r>
        <w:rPr>
          <w:rFonts w:ascii="Calibri" w:cs="Calibri" w:eastAsia="Calibri" w:hAnsi="Calibri"/>
          <w:sz w:val="21"/>
          <w:szCs w:val="21"/>
        </w:rPr>
        <w:t xml:space="preserve">Feature comparison matrices are close to useless in this market, because every vendor ticks every box. The following questions separate them, and each maps to a requirement in our data assessment.</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4200"/>
        <w:gridCol w:w="4460"/>
      </w:tblGrid>
      <w:tr>
        <w:trPr>
          <w:tblHeader/>
        </w:trPr>
        <w:tc>
          <w:tcPr>
            <w:tcW w:type="dxa" w:w="70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
            </w:r>
          </w:p>
        </w:tc>
        <w:tc>
          <w:tcPr>
            <w:tcW w:type="dxa" w:w="420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Question to put to every vendor</w:t>
            </w:r>
          </w:p>
        </w:tc>
        <w:tc>
          <w:tcPr>
            <w:tcW w:type="dxa" w:w="446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Why it discriminates</w:t>
            </w:r>
          </w:p>
        </w:tc>
      </w:tr>
      <w:tr>
        <w:trPr>
          <w:tblHeader w:val="false"/>
        </w:trPr>
        <w:tc>
          <w:tcPr>
            <w:tcW w:type="dxa" w:w="7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1</w:t>
            </w:r>
          </w:p>
        </w:tc>
        <w:tc>
          <w:tcPr>
            <w:tcW w:type="dxa" w:w="42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A conversion happens eleven days later, in a fulfilment system that has never heard of the landing page. How does that outcome reach your decisioning engine?</w:t>
            </w:r>
          </w:p>
        </w:tc>
        <w:tc>
          <w:tcPr>
            <w:tcW w:type="dxa" w:w="44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The single most important question. Most demos assume the outcome is a click. Vague answers here mean the loop will not close.</w:t>
            </w:r>
          </w:p>
        </w:tc>
      </w:tr>
      <w:tr>
        <w:trPr>
          <w:tblHeader w:val="false"/>
        </w:trPr>
        <w:tc>
          <w:tcPr>
            <w:tcW w:type="dxa" w:w="7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2</w:t>
            </w:r>
          </w:p>
        </w:tc>
        <w:tc>
          <w:tcPr>
            <w:tcW w:type="dxa" w:w="42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Is decisioning available server-side or at the edge, or is it client-side only?</w:t>
            </w:r>
          </w:p>
        </w:tc>
        <w:tc>
          <w:tcPr>
            <w:tcW w:type="dxa" w:w="44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Client-side causes flicker, slows the page and fails silently against blockers. It also contaminates measurement.</w:t>
            </w:r>
          </w:p>
        </w:tc>
      </w:tr>
      <w:tr>
        <w:trPr>
          <w:tblHeader w:val="false"/>
        </w:trPr>
        <w:tc>
          <w:tcPr>
            <w:tcW w:type="dxa" w:w="7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3</w:t>
            </w:r>
          </w:p>
        </w:tc>
        <w:tc>
          <w:tcPr>
            <w:tcW w:type="dxa" w:w="42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What is your p99 decision latency, and what happens on timeout?</w:t>
            </w:r>
          </w:p>
        </w:tc>
        <w:tc>
          <w:tcPr>
            <w:tcW w:type="dxa" w:w="44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Sets whether real-time identity personalisation is possible at all. Observed benchmark from the insurance case is under 100 milliseconds.</w:t>
            </w:r>
          </w:p>
        </w:tc>
      </w:tr>
      <w:tr>
        <w:trPr>
          <w:tblHeader w:val="false"/>
        </w:trPr>
        <w:tc>
          <w:tcPr>
            <w:tcW w:type="dxa" w:w="7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4</w:t>
            </w:r>
          </w:p>
        </w:tc>
        <w:tc>
          <w:tcPr>
            <w:tcW w:type="dxa" w:w="42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Can we export the full profile and event history, in bulk, on demand?</w:t>
            </w:r>
          </w:p>
        </w:tc>
        <w:tc>
          <w:tcPr>
            <w:tcW w:type="dxa" w:w="44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Determines lock-in. If our first-party data becomes captive, switching later is prohibitive.</w:t>
            </w:r>
          </w:p>
        </w:tc>
      </w:tr>
      <w:tr>
        <w:trPr>
          <w:tblHeader w:val="false"/>
        </w:trPr>
        <w:tc>
          <w:tcPr>
            <w:tcW w:type="dxa" w:w="7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5</w:t>
            </w:r>
          </w:p>
        </w:tc>
        <w:tc>
          <w:tcPr>
            <w:tcW w:type="dxa" w:w="42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What is the statistical engine, and can we see the methodology?</w:t>
            </w:r>
          </w:p>
        </w:tc>
        <w:tc>
          <w:tcPr>
            <w:tcW w:type="dxa" w:w="44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Frequentist, Bayesian or bandit changes how results must be interpreted and defended internally.</w:t>
            </w:r>
          </w:p>
        </w:tc>
      </w:tr>
      <w:tr>
        <w:trPr>
          <w:tblHeader w:val="false"/>
        </w:trPr>
        <w:tc>
          <w:tcPr>
            <w:tcW w:type="dxa" w:w="7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6</w:t>
            </w:r>
          </w:p>
        </w:tc>
        <w:tc>
          <w:tcPr>
            <w:tcW w:type="dxa" w:w="42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How does consent state enter the decision, and what is served without consent?</w:t>
            </w:r>
          </w:p>
        </w:tc>
        <w:tc>
          <w:tcPr>
            <w:tcW w:type="dxa" w:w="44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A regulated deployment needs a genuine non-personalised fallback, not an afterthought.</w:t>
            </w:r>
          </w:p>
        </w:tc>
      </w:tr>
      <w:tr>
        <w:trPr>
          <w:tblHeader w:val="false"/>
        </w:trPr>
        <w:tc>
          <w:tcPr>
            <w:tcW w:type="dxa" w:w="7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7</w:t>
            </w:r>
          </w:p>
        </w:tc>
        <w:tc>
          <w:tcPr>
            <w:tcW w:type="dxa" w:w="42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Can you reconstruct, two years later, what a specific customer was shown and why?</w:t>
            </w:r>
          </w:p>
        </w:tc>
        <w:tc>
          <w:tcPr>
            <w:tcW w:type="dxa" w:w="44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Auditability is a condition of deployment in a regulated journey, not a nice-to-have.</w:t>
            </w:r>
          </w:p>
        </w:tc>
      </w:tr>
      <w:tr>
        <w:trPr>
          <w:tblHeader w:val="false"/>
        </w:trPr>
        <w:tc>
          <w:tcPr>
            <w:tcW w:type="dxa" w:w="7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8</w:t>
            </w:r>
          </w:p>
        </w:tc>
        <w:tc>
          <w:tcPr>
            <w:tcW w:type="dxa" w:w="42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How do we exclude pricing, eligibility and regulated wording from variation?</w:t>
            </w:r>
          </w:p>
        </w:tc>
        <w:tc>
          <w:tcPr>
            <w:tcW w:type="dxa" w:w="44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The experience-versus-price line from the insurance study must be enforceable in the tool.</w:t>
            </w:r>
          </w:p>
        </w:tc>
      </w:tr>
      <w:tr>
        <w:trPr>
          <w:tblHeader w:val="false"/>
        </w:trPr>
        <w:tc>
          <w:tcPr>
            <w:tcW w:type="dxa" w:w="7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9</w:t>
            </w:r>
          </w:p>
        </w:tc>
        <w:tc>
          <w:tcPr>
            <w:tcW w:type="dxa" w:w="42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What is the pricing unit — decisions, sessions, monthly tracked users — and how does cost scale?</w:t>
            </w:r>
          </w:p>
        </w:tc>
        <w:tc>
          <w:tcPr>
            <w:tcW w:type="dxa" w:w="446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Determines whether success becomes unaffordable. Traffic-based pricing punishes growth.</w:t>
            </w:r>
          </w:p>
        </w:tc>
      </w:tr>
      <w:tr>
        <w:trPr>
          <w:tblHeader w:val="false"/>
        </w:trPr>
        <w:tc>
          <w:tcPr>
            <w:tcW w:type="dxa" w:w="7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10</w:t>
            </w:r>
          </w:p>
        </w:tc>
        <w:tc>
          <w:tcPr>
            <w:tcW w:type="dxa" w:w="42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What does a realistic time to first measured result look like, with our stack?</w:t>
            </w:r>
          </w:p>
        </w:tc>
        <w:tc>
          <w:tcPr>
            <w:tcW w:type="dxa" w:w="446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Enterprise deployments commonly require months of professional services beyond licence cost.</w:t>
            </w:r>
          </w:p>
        </w:tc>
      </w:tr>
    </w:tbl>
    <w:p>
      <w:r>
        <w:br w:type="page"/>
      </w:r>
    </w:p>
    <w:p>
      <w:pPr>
        <w:pStyle w:val="Heading1"/>
        <w:spacing w:after="150" w:before="330"/>
      </w:pPr>
      <w:r>
        <w:rPr>
          <w:rFonts w:ascii="Calibri" w:cs="Calibri" w:eastAsia="Calibri" w:hAnsi="Calibri"/>
          <w:b/>
          <w:bCs/>
          <w:color w:val="1F3864"/>
          <w:sz w:val="28"/>
          <w:szCs w:val="28"/>
        </w:rPr>
        <w:t xml:space="preserve">5. Build, buy, extend or compose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3730"/>
        <w:gridCol w:w="3730"/>
      </w:tblGrid>
      <w:tr>
        <w:trPr>
          <w:tblHeader/>
        </w:trPr>
        <w:tc>
          <w:tcPr>
            <w:tcW w:type="dxa" w:w="190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Option</w:t>
            </w:r>
          </w:p>
        </w:tc>
        <w:tc>
          <w:tcPr>
            <w:tcW w:type="dxa" w:w="373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For</w:t>
            </w:r>
          </w:p>
        </w:tc>
        <w:tc>
          <w:tcPr>
            <w:tcW w:type="dxa" w:w="373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Against</w:t>
            </w:r>
          </w:p>
        </w:tc>
      </w:tr>
      <w:tr>
        <w:trPr>
          <w:tblHeader w:val="false"/>
        </w:trPr>
        <w:tc>
          <w:tcPr>
            <w:tcW w:type="dxa" w:w="19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Extend what we already license</w:t>
            </w:r>
          </w:p>
        </w:tc>
        <w:tc>
          <w:tcPr>
            <w:tcW w:type="dxa" w:w="373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Lowest incremental cost; no procurement cycle; may already be partly deployed</w:t>
            </w:r>
          </w:p>
        </w:tc>
        <w:tc>
          <w:tcPr>
            <w:tcW w:type="dxa" w:w="373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Capability ceiling may be low; may be configured for reporting rather than decisioning</w:t>
            </w:r>
          </w:p>
        </w:tc>
      </w:tr>
      <w:tr>
        <w:trPr>
          <w:tblHeader w:val="false"/>
        </w:trPr>
        <w:tc>
          <w:tcPr>
            <w:tcW w:type="dxa" w:w="19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Buy an integrated platform</w:t>
            </w:r>
          </w:p>
        </w:tc>
        <w:tc>
          <w:tcPr>
            <w:tcW w:type="dxa" w:w="373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Fastest route to capability; vendor owns algorithm quality; support and SLA</w:t>
            </w:r>
          </w:p>
        </w:tc>
        <w:tc>
          <w:tcPr>
            <w:tcW w:type="dxa" w:w="373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Licence scales with traffic; significant professional services; lock-in risk at the data layer</w:t>
            </w:r>
          </w:p>
        </w:tc>
      </w:tr>
      <w:tr>
        <w:trPr>
          <w:tblHeader w:val="false"/>
        </w:trPr>
        <w:tc>
          <w:tcPr>
            <w:tcW w:type="dxa" w:w="190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Compose best-of-breed</w:t>
            </w:r>
          </w:p>
        </w:tc>
        <w:tc>
          <w:tcPr>
            <w:tcW w:type="dxa" w:w="373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Each layer independently replaceable; avoids paying for unused modules</w:t>
            </w:r>
          </w:p>
        </w:tc>
        <w:tc>
          <w:tcPr>
            <w:tcW w:type="dxa" w:w="3730"/>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Integration burden falls on internal engineering; identity becomes the hard problem</w:t>
            </w:r>
          </w:p>
        </w:tc>
      </w:tr>
      <w:tr>
        <w:trPr>
          <w:tblHeader w:val="false"/>
        </w:trPr>
        <w:tc>
          <w:tcPr>
            <w:tcW w:type="dxa" w:w="190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Build in-house</w:t>
            </w:r>
          </w:p>
        </w:tc>
        <w:tc>
          <w:tcPr>
            <w:tcW w:type="dxa" w:w="373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Full control; no per-decision cost; models tuned to our data</w:t>
            </w:r>
          </w:p>
        </w:tc>
        <w:tc>
          <w:tcPr>
            <w:tcW w:type="dxa" w:w="3730"/>
            <w:shd w:fill="F2F5F9" w:color="auto" w:val="clear"/>
            <w:tcMar>
              <w:top w:type="dxa" w:w="75"/>
              <w:left w:type="dxa" w:w="115"/>
              <w:bottom w:type="dxa" w:w="75"/>
              <w:right w:type="dxa" w:w="115"/>
            </w:tcMar>
            <w:vAlign w:val="center"/>
          </w:tcPr>
          <w:p>
            <w:pPr>
              <w:spacing w:after="0" w:line="250"/>
            </w:pPr>
            <w:r>
              <w:rPr>
                <w:rFonts w:ascii="Calibri" w:cs="Calibri" w:eastAsia="Calibri" w:hAnsi="Calibri"/>
                <w:sz w:val="18"/>
                <w:szCs w:val="18"/>
              </w:rPr>
              <w:t xml:space="preserve">Needs standing data science and MLOps capability; long time to value; permanent maintenance</w:t>
            </w:r>
          </w:p>
        </w:tc>
      </w:tr>
    </w:tbl>
    <w:p>
      <w:pPr>
        <w:spacing w:after="130" w:line="280"/>
      </w:pPr>
      <w:r>
        <w:rPr>
          <w:rFonts w:ascii="Calibri" w:cs="Calibri" w:eastAsia="Calibri" w:hAnsi="Calibri"/>
          <w:b/>
          <w:bCs/>
          <w:sz w:val="21"/>
          <w:szCs w:val="21"/>
        </w:rPr>
        <w:t xml:space="preserve">For an organisation at our maturity, building is not warranted. </w:t>
      </w:r>
      <w:r>
        <w:rPr>
          <w:rFonts w:ascii="Calibri" w:cs="Calibri" w:eastAsia="Calibri" w:hAnsi="Calibri"/>
          <w:sz w:val="21"/>
          <w:szCs w:val="21"/>
        </w:rPr>
        <w:t xml:space="preserve">Netflix and Capital One built their own because commercial equivalents did not exist. They do now.</w:t>
      </w:r>
    </w:p>
    <w:p>
      <w:pPr>
        <w:pStyle w:val="Heading2"/>
        <w:spacing w:after="110" w:before="250"/>
      </w:pPr>
      <w:r>
        <w:rPr>
          <w:rFonts w:ascii="Calibri" w:cs="Calibri" w:eastAsia="Calibri" w:hAnsi="Calibri"/>
          <w:b/>
          <w:bCs/>
          <w:color w:val="2E74B5"/>
          <w:sz w:val="23"/>
          <w:szCs w:val="23"/>
        </w:rPr>
        <w:t xml:space="preserve">5.1 What to do before engaging any vendor</w:t>
      </w:r>
    </w:p>
    <w:p>
      <w:pPr>
        <w:pStyle w:val="ListParagraph"/>
        <w:numPr>
          <w:ilvl w:val="0"/>
          <w:numId w:val="2"/>
        </w:numPr>
        <w:spacing w:after="90" w:line="275"/>
      </w:pPr>
      <w:r>
        <w:rPr>
          <w:rFonts w:ascii="Calibri" w:cs="Calibri" w:eastAsia="Calibri" w:hAnsi="Calibri"/>
          <w:b/>
          <w:bCs/>
          <w:sz w:val="21"/>
          <w:szCs w:val="21"/>
        </w:rPr>
        <w:t xml:space="preserve">Audit existing entitlements. </w:t>
      </w:r>
      <w:r>
        <w:rPr>
          <w:rFonts w:ascii="Calibri" w:cs="Calibri" w:eastAsia="Calibri" w:hAnsi="Calibri"/>
          <w:sz w:val="21"/>
          <w:szCs w:val="21"/>
        </w:rPr>
        <w:t xml:space="preserve">Establish what personalisation, experimentation, CDP and decisioning capability the organisation already licenses and has not deployed. This is frequently the highest-value finding available, and it costs an afternoon.</w:t>
      </w:r>
    </w:p>
    <w:p>
      <w:pPr>
        <w:pStyle w:val="ListParagraph"/>
        <w:numPr>
          <w:ilvl w:val="0"/>
          <w:numId w:val="2"/>
        </w:numPr>
        <w:spacing w:after="90" w:line="275"/>
      </w:pPr>
      <w:r>
        <w:rPr>
          <w:rFonts w:ascii="Calibri" w:cs="Calibri" w:eastAsia="Calibri" w:hAnsi="Calibri"/>
          <w:b/>
          <w:bCs/>
          <w:sz w:val="21"/>
          <w:szCs w:val="21"/>
        </w:rPr>
        <w:t xml:space="preserve">Establish the data position. </w:t>
      </w:r>
      <w:r>
        <w:rPr>
          <w:rFonts w:ascii="Calibri" w:cs="Calibri" w:eastAsia="Calibri" w:hAnsi="Calibri"/>
          <w:sz w:val="21"/>
          <w:szCs w:val="21"/>
        </w:rPr>
        <w:t xml:space="preserve">Vendor selection before knowing whether outcomes can be joined to variants is selecting a platform to run on data we may not have.</w:t>
      </w:r>
    </w:p>
    <w:p>
      <w:pPr>
        <w:pStyle w:val="ListParagraph"/>
        <w:numPr>
          <w:ilvl w:val="0"/>
          <w:numId w:val="2"/>
        </w:numPr>
        <w:spacing w:after="90" w:line="275"/>
      </w:pPr>
      <w:r>
        <w:rPr>
          <w:rFonts w:ascii="Calibri" w:cs="Calibri" w:eastAsia="Calibri" w:hAnsi="Calibri"/>
          <w:b/>
          <w:bCs/>
          <w:sz w:val="21"/>
          <w:szCs w:val="21"/>
        </w:rPr>
        <w:t xml:space="preserve">Agree the exclusion list. </w:t>
      </w:r>
      <w:r>
        <w:rPr>
          <w:rFonts w:ascii="Calibri" w:cs="Calibri" w:eastAsia="Calibri" w:hAnsi="Calibri"/>
          <w:sz w:val="21"/>
          <w:szCs w:val="21"/>
        </w:rPr>
        <w:t xml:space="preserve">Pricing, eligibility and regulated content out of scope for variation, agreed with Risk, before any tool is configured.</w:t>
      </w:r>
    </w:p>
    <w:p>
      <w:pPr>
        <w:pStyle w:val="ListParagraph"/>
        <w:numPr>
          <w:ilvl w:val="0"/>
          <w:numId w:val="2"/>
        </w:numPr>
        <w:spacing w:after="90" w:line="275"/>
      </w:pPr>
      <w:r>
        <w:rPr>
          <w:rFonts w:ascii="Calibri" w:cs="Calibri" w:eastAsia="Calibri" w:hAnsi="Calibri"/>
          <w:b/>
          <w:bCs/>
          <w:sz w:val="21"/>
          <w:szCs w:val="21"/>
        </w:rPr>
        <w:t xml:space="preserve">Define the pilot journey and the primary metric. </w:t>
      </w:r>
      <w:r>
        <w:rPr>
          <w:rFonts w:ascii="Calibri" w:cs="Calibri" w:eastAsia="Calibri" w:hAnsi="Calibri"/>
          <w:sz w:val="21"/>
          <w:szCs w:val="21"/>
        </w:rPr>
        <w:t xml:space="preserve">These determine which capabilities actually matter, and prevent evaluation drifting into a feature comparison.</w:t>
      </w:r>
    </w:p>
    <w:p>
      <w:pPr>
        <w:pStyle w:val="Heading2"/>
        <w:spacing w:after="110" w:before="250"/>
      </w:pPr>
      <w:r>
        <w:rPr>
          <w:rFonts w:ascii="Calibri" w:cs="Calibri" w:eastAsia="Calibri" w:hAnsi="Calibri"/>
          <w:b/>
          <w:bCs/>
          <w:color w:val="2E74B5"/>
          <w:sz w:val="23"/>
          <w:szCs w:val="23"/>
        </w:rPr>
        <w:t xml:space="preserve">5.2 A note on cost</w:t>
      </w:r>
    </w:p>
    <w:p>
      <w:pPr>
        <w:spacing w:after="130" w:line="280"/>
      </w:pPr>
      <w:r>
        <w:rPr>
          <w:rFonts w:ascii="Calibri" w:cs="Calibri" w:eastAsia="Calibri" w:hAnsi="Calibri"/>
          <w:sz w:val="21"/>
          <w:szCs w:val="21"/>
        </w:rPr>
        <w:t xml:space="preserve">No pricing has been obtained from any vendor and none should be inferred from this document. The general shape reported in the market is that enterprise personalisation deployments carry implementation and professional services cost materially beyond licence fees, and that both licence and decision-volume pricing scale with traffic. A pilot on already-licensed capability defers the largest commitment until after evidence exists.</w:t>
      </w:r>
    </w:p>
    <w:p>
      <w:r>
        <w:br w:type="page"/>
      </w:r>
    </w:p>
    <w:p>
      <w:pPr>
        <w:pStyle w:val="Heading1"/>
        <w:spacing w:after="150" w:before="330"/>
      </w:pPr>
      <w:r>
        <w:rPr>
          <w:rFonts w:ascii="Calibri" w:cs="Calibri" w:eastAsia="Calibri" w:hAnsi="Calibri"/>
          <w:b/>
          <w:bCs/>
          <w:color w:val="1F3864"/>
          <w:sz w:val="28"/>
          <w:szCs w:val="28"/>
        </w:rPr>
        <w:t xml:space="preserve">6. Summary</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6360"/>
      </w:tblGrid>
      <w:tr>
        <w:trPr>
          <w:tblHeader/>
        </w:trPr>
        <w:tc>
          <w:tcPr>
            <w:tcW w:type="dxa" w:w="300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Finding</w:t>
            </w:r>
          </w:p>
        </w:tc>
        <w:tc>
          <w:tcPr>
            <w:tcW w:type="dxa" w:w="6360"/>
            <w:shd w:fill="1F3864" w:color="auto" w:val="clear"/>
            <w:tcMar>
              <w:top w:type="dxa" w:w="75"/>
              <w:left w:type="dxa" w:w="115"/>
              <w:bottom w:type="dxa" w:w="75"/>
              <w:right w:type="dxa" w:w="115"/>
            </w:tcMar>
            <w:vAlign w:val="center"/>
          </w:tcPr>
          <w:p>
            <w:pPr>
              <w:spacing w:after="0" w:line="250"/>
            </w:pPr>
            <w:r>
              <w:rPr>
                <w:rFonts w:ascii="Calibri" w:cs="Calibri" w:eastAsia="Calibri" w:hAnsi="Calibri"/>
                <w:b/>
                <w:bCs/>
                <w:color w:val="FFFFFF"/>
                <w:sz w:val="18"/>
                <w:szCs w:val="18"/>
              </w:rPr>
              <w:t xml:space="preserve">Implication</w:t>
            </w:r>
          </w:p>
        </w:tc>
      </w:tr>
      <w:tr>
        <w:trPr>
          <w:tblHeader w:val="false"/>
        </w:trPr>
        <w:tc>
          <w:tcPr>
            <w:tcW w:type="dxa" w:w="3000"/>
            <w:tcMar>
              <w:top w:type="dxa" w:w="75"/>
              <w:left w:type="dxa" w:w="115"/>
              <w:bottom w:type="dxa" w:w="75"/>
              <w:right w:type="dxa" w:w="115"/>
            </w:tcMar>
            <w:vAlign w:val="center"/>
          </w:tcPr>
          <w:p>
            <w:pPr>
              <w:spacing w:after="0" w:line="250"/>
            </w:pPr>
            <w:r>
              <w:rPr>
                <w:rFonts w:ascii="Calibri" w:cs="Calibri" w:eastAsia="Calibri" w:hAnsi="Calibri"/>
                <w:b/>
                <w:bCs/>
                <w:sz w:val="18"/>
                <w:szCs w:val="18"/>
              </w:rPr>
              <w:t xml:space="preserve">No single vendor covers the whole capability</w:t>
            </w:r>
          </w:p>
        </w:tc>
        <w:tc>
          <w:tcPr>
            <w:tcW w:type="dxa" w:w="6360"/>
            <w:tcMar>
              <w:top w:type="dxa" w:w="75"/>
              <w:left w:type="dxa" w:w="115"/>
              <w:bottom w:type="dxa" w:w="75"/>
              <w:right w:type="dxa" w:w="115"/>
            </w:tcMar>
            <w:vAlign w:val="center"/>
          </w:tcPr>
          <w:p>
            <w:pPr>
              <w:spacing w:after="0" w:line="250"/>
            </w:pPr>
            <w:r>
              <w:rPr>
                <w:rFonts w:ascii="Calibri" w:cs="Calibri" w:eastAsia="Calibri" w:hAnsi="Calibri"/>
                <w:b w:val="false"/>
                <w:bCs w:val="false"/>
                <w:sz w:val="18"/>
                <w:szCs w:val="18"/>
              </w:rPr>
              <w:t xml:space="preserve">Evaluate by layer, and identify our weakest layer first</w:t>
            </w:r>
          </w:p>
        </w:tc>
      </w:tr>
      <w:tr>
        <w:trPr>
          <w:tblHeader w:val="false"/>
        </w:trPr>
        <w:tc>
          <w:tcPr>
            <w:tcW w:type="dxa" w:w="3000"/>
            <w:shd w:fill="F2F5F9" w:color="auto" w:val="clear"/>
            <w:tcMar>
              <w:top w:type="dxa" w:w="75"/>
              <w:left w:type="dxa" w:w="115"/>
              <w:bottom w:type="dxa" w:w="75"/>
              <w:right w:type="dxa" w:w="115"/>
            </w:tcMar>
            <w:vAlign w:val="center"/>
          </w:tcPr>
          <w:p>
            <w:pPr>
              <w:spacing w:after="0" w:line="250"/>
            </w:pPr>
            <w:r>
              <w:rPr>
                <w:rFonts w:ascii="Calibri" w:cs="Calibri" w:eastAsia="Calibri" w:hAnsi="Calibri"/>
                <w:b/>
                <w:bCs/>
                <w:sz w:val="18"/>
                <w:szCs w:val="18"/>
              </w:rPr>
              <w:t xml:space="preserve">Twelve credible vendors, 26% market growth, active consolidation</w:t>
            </w:r>
          </w:p>
        </w:tc>
        <w:tc>
          <w:tcPr>
            <w:tcW w:type="dxa" w:w="6360"/>
            <w:shd w:fill="F2F5F9" w:color="auto" w:val="clear"/>
            <w:tcMar>
              <w:top w:type="dxa" w:w="75"/>
              <w:left w:type="dxa" w:w="115"/>
              <w:bottom w:type="dxa" w:w="75"/>
              <w:right w:type="dxa" w:w="115"/>
            </w:tcMar>
            <w:vAlign w:val="center"/>
          </w:tcPr>
          <w:p>
            <w:pPr>
              <w:spacing w:after="0" w:line="250"/>
            </w:pPr>
            <w:r>
              <w:rPr>
                <w:rFonts w:ascii="Calibri" w:cs="Calibri" w:eastAsia="Calibri" w:hAnsi="Calibri"/>
                <w:b w:val="false"/>
                <w:bCs w:val="false"/>
                <w:sz w:val="18"/>
                <w:szCs w:val="18"/>
              </w:rPr>
              <w:t xml:space="preserve">The capability is commoditised. Technology risk is low.</w:t>
            </w:r>
          </w:p>
        </w:tc>
      </w:tr>
      <w:tr>
        <w:trPr>
          <w:tblHeader w:val="false"/>
        </w:trPr>
        <w:tc>
          <w:tcPr>
            <w:tcW w:type="dxa" w:w="3000"/>
            <w:tcMar>
              <w:top w:type="dxa" w:w="75"/>
              <w:left w:type="dxa" w:w="115"/>
              <w:bottom w:type="dxa" w:w="75"/>
              <w:right w:type="dxa" w:w="115"/>
            </w:tcMar>
            <w:vAlign w:val="center"/>
          </w:tcPr>
          <w:p>
            <w:pPr>
              <w:spacing w:after="0" w:line="250"/>
            </w:pPr>
            <w:r>
              <w:rPr>
                <w:rFonts w:ascii="Calibri" w:cs="Calibri" w:eastAsia="Calibri" w:hAnsi="Calibri"/>
                <w:b/>
                <w:bCs/>
                <w:sz w:val="18"/>
                <w:szCs w:val="18"/>
              </w:rPr>
              <w:t xml:space="preserve">The feedback layer is rarely a product</w:t>
            </w:r>
          </w:p>
        </w:tc>
        <w:tc>
          <w:tcPr>
            <w:tcW w:type="dxa" w:w="6360"/>
            <w:tcMar>
              <w:top w:type="dxa" w:w="75"/>
              <w:left w:type="dxa" w:w="115"/>
              <w:bottom w:type="dxa" w:w="75"/>
              <w:right w:type="dxa" w:w="115"/>
            </w:tcMar>
            <w:vAlign w:val="center"/>
          </w:tcPr>
          <w:p>
            <w:pPr>
              <w:spacing w:after="0" w:line="250"/>
            </w:pPr>
            <w:r>
              <w:rPr>
                <w:rFonts w:ascii="Calibri" w:cs="Calibri" w:eastAsia="Calibri" w:hAnsi="Calibri"/>
                <w:b w:val="false"/>
                <w:bCs w:val="false"/>
                <w:sz w:val="18"/>
                <w:szCs w:val="18"/>
              </w:rPr>
              <w:t xml:space="preserve">The closed-loop element is integration work we must own, whichever vendor is chosen</w:t>
            </w:r>
          </w:p>
        </w:tc>
      </w:tr>
      <w:tr>
        <w:trPr>
          <w:tblHeader w:val="false"/>
        </w:trPr>
        <w:tc>
          <w:tcPr>
            <w:tcW w:type="dxa" w:w="3000"/>
            <w:shd w:fill="F2F5F9" w:color="auto" w:val="clear"/>
            <w:tcMar>
              <w:top w:type="dxa" w:w="75"/>
              <w:left w:type="dxa" w:w="115"/>
              <w:bottom w:type="dxa" w:w="75"/>
              <w:right w:type="dxa" w:w="115"/>
            </w:tcMar>
            <w:vAlign w:val="center"/>
          </w:tcPr>
          <w:p>
            <w:pPr>
              <w:spacing w:after="0" w:line="250"/>
            </w:pPr>
            <w:r>
              <w:rPr>
                <w:rFonts w:ascii="Calibri" w:cs="Calibri" w:eastAsia="Calibri" w:hAnsi="Calibri"/>
                <w:b/>
                <w:bCs/>
                <w:sz w:val="18"/>
                <w:szCs w:val="18"/>
              </w:rPr>
              <w:t xml:space="preserve">Enterprise decisioning platforms may already be in the estate</w:t>
            </w:r>
          </w:p>
        </w:tc>
        <w:tc>
          <w:tcPr>
            <w:tcW w:type="dxa" w:w="6360"/>
            <w:shd w:fill="F2F5F9" w:color="auto" w:val="clear"/>
            <w:tcMar>
              <w:top w:type="dxa" w:w="75"/>
              <w:left w:type="dxa" w:w="115"/>
              <w:bottom w:type="dxa" w:w="75"/>
              <w:right w:type="dxa" w:w="115"/>
            </w:tcMar>
            <w:vAlign w:val="center"/>
          </w:tcPr>
          <w:p>
            <w:pPr>
              <w:spacing w:after="0" w:line="250"/>
            </w:pPr>
            <w:r>
              <w:rPr>
                <w:rFonts w:ascii="Calibri" w:cs="Calibri" w:eastAsia="Calibri" w:hAnsi="Calibri"/>
                <w:b w:val="false"/>
                <w:bCs w:val="false"/>
                <w:sz w:val="18"/>
                <w:szCs w:val="18"/>
              </w:rPr>
              <w:t xml:space="preserve">Check Pega, SAS and equivalents before treating this as a new purchase</w:t>
            </w:r>
          </w:p>
        </w:tc>
      </w:tr>
      <w:tr>
        <w:trPr>
          <w:tblHeader w:val="false"/>
        </w:trPr>
        <w:tc>
          <w:tcPr>
            <w:tcW w:type="dxa" w:w="3000"/>
            <w:tcMar>
              <w:top w:type="dxa" w:w="75"/>
              <w:left w:type="dxa" w:w="115"/>
              <w:bottom w:type="dxa" w:w="75"/>
              <w:right w:type="dxa" w:w="115"/>
            </w:tcMar>
            <w:vAlign w:val="center"/>
          </w:tcPr>
          <w:p>
            <w:pPr>
              <w:spacing w:after="0" w:line="250"/>
            </w:pPr>
            <w:r>
              <w:rPr>
                <w:rFonts w:ascii="Calibri" w:cs="Calibri" w:eastAsia="Calibri" w:hAnsi="Calibri"/>
                <w:b/>
                <w:bCs/>
                <w:sz w:val="18"/>
                <w:szCs w:val="18"/>
              </w:rPr>
              <w:t xml:space="preserve">Most personalisation engines have retail heritage</w:t>
            </w:r>
          </w:p>
        </w:tc>
        <w:tc>
          <w:tcPr>
            <w:tcW w:type="dxa" w:w="6360"/>
            <w:tcMar>
              <w:top w:type="dxa" w:w="75"/>
              <w:left w:type="dxa" w:w="115"/>
              <w:bottom w:type="dxa" w:w="75"/>
              <w:right w:type="dxa" w:w="115"/>
            </w:tcMar>
            <w:vAlign w:val="center"/>
          </w:tcPr>
          <w:p>
            <w:pPr>
              <w:spacing w:after="0" w:line="250"/>
            </w:pPr>
            <w:r>
              <w:rPr>
                <w:rFonts w:ascii="Calibri" w:cs="Calibri" w:eastAsia="Calibri" w:hAnsi="Calibri"/>
                <w:b w:val="false"/>
                <w:bCs w:val="false"/>
                <w:sz w:val="18"/>
                <w:szCs w:val="18"/>
              </w:rPr>
              <w:t xml:space="preserve">Regulated credit and insurance journey fit must be tested, not assumed</w:t>
            </w:r>
          </w:p>
        </w:tc>
      </w:tr>
      <w:tr>
        <w:trPr>
          <w:tblHeader w:val="false"/>
        </w:trPr>
        <w:tc>
          <w:tcPr>
            <w:tcW w:type="dxa" w:w="3000"/>
            <w:shd w:fill="F2F5F9" w:color="auto" w:val="clear"/>
            <w:tcMar>
              <w:top w:type="dxa" w:w="75"/>
              <w:left w:type="dxa" w:w="115"/>
              <w:bottom w:type="dxa" w:w="75"/>
              <w:right w:type="dxa" w:w="115"/>
            </w:tcMar>
            <w:vAlign w:val="center"/>
          </w:tcPr>
          <w:p>
            <w:pPr>
              <w:spacing w:after="0" w:line="250"/>
            </w:pPr>
            <w:r>
              <w:rPr>
                <w:rFonts w:ascii="Calibri" w:cs="Calibri" w:eastAsia="Calibri" w:hAnsi="Calibri"/>
                <w:b/>
                <w:bCs/>
                <w:sz w:val="18"/>
                <w:szCs w:val="18"/>
              </w:rPr>
              <w:t xml:space="preserve">Feature matrices do not discriminate</w:t>
            </w:r>
          </w:p>
        </w:tc>
        <w:tc>
          <w:tcPr>
            <w:tcW w:type="dxa" w:w="6360"/>
            <w:shd w:fill="F2F5F9" w:color="auto" w:val="clear"/>
            <w:tcMar>
              <w:top w:type="dxa" w:w="75"/>
              <w:left w:type="dxa" w:w="115"/>
              <w:bottom w:type="dxa" w:w="75"/>
              <w:right w:type="dxa" w:w="115"/>
            </w:tcMar>
            <w:vAlign w:val="center"/>
          </w:tcPr>
          <w:p>
            <w:pPr>
              <w:spacing w:after="0" w:line="250"/>
            </w:pPr>
            <w:r>
              <w:rPr>
                <w:rFonts w:ascii="Calibri" w:cs="Calibri" w:eastAsia="Calibri" w:hAnsi="Calibri"/>
                <w:b w:val="false"/>
                <w:bCs w:val="false"/>
                <w:sz w:val="18"/>
                <w:szCs w:val="18"/>
              </w:rPr>
              <w:t xml:space="preserve">Use the ten questions in Section 4 instead</w:t>
            </w:r>
          </w:p>
        </w:tc>
      </w:tr>
    </w:tbl>
    <w:p>
      <w:pPr>
        <w:spacing w:after="160"/>
      </w:pP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50"/>
              <w:left w:type="dxa" w:w="190"/>
              <w:bottom w:type="dxa" w:w="150"/>
              <w:right w:type="dxa" w:w="190"/>
            </w:tcMar>
          </w:tcPr>
          <w:p>
            <w:pPr>
              <w:spacing w:after="85"/>
            </w:pPr>
            <w:r>
              <w:rPr>
                <w:rFonts w:ascii="Calibri" w:cs="Calibri" w:eastAsia="Calibri" w:hAnsi="Calibri"/>
                <w:b/>
                <w:bCs/>
                <w:color w:val="1F3864"/>
                <w:sz w:val="21"/>
                <w:szCs w:val="21"/>
              </w:rPr>
              <w:t xml:space="preserve">The conclusion for BR-2</w:t>
            </w:r>
          </w:p>
          <w:p>
            <w:pPr>
              <w:spacing w:after="65" w:line="278"/>
            </w:pPr>
            <w:r>
              <w:rPr>
                <w:rFonts w:ascii="Calibri" w:cs="Calibri" w:eastAsia="Calibri" w:hAnsi="Calibri"/>
                <w:sz w:val="20"/>
                <w:szCs w:val="20"/>
              </w:rPr>
              <w:t xml:space="preserve">The market can supply every component of this capability today, from multiple credible vendors, at a range of price points and commitment levels.</w:t>
            </w:r>
          </w:p>
          <w:p>
            <w:pPr>
              <w:spacing w:after="65" w:line="278"/>
            </w:pPr>
            <w:r>
              <w:rPr>
                <w:rFonts w:ascii="Calibri" w:cs="Calibri" w:eastAsia="Calibri" w:hAnsi="Calibri"/>
                <w:sz w:val="20"/>
                <w:szCs w:val="20"/>
              </w:rPr>
              <w:t xml:space="preserve">Choosing between them is not the difficult part, and it is not the part that should be done next. The difficult part is the layer no vendor sells: getting measured outcomes back to the decision.</w:t>
            </w:r>
          </w:p>
          <w:p>
            <w:pPr>
              <w:spacing w:after="65" w:line="278"/>
            </w:pPr>
            <w:r>
              <w:rPr>
                <w:rFonts w:ascii="Calibri" w:cs="Calibri" w:eastAsia="Calibri" w:hAnsi="Calibri"/>
                <w:sz w:val="20"/>
                <w:szCs w:val="20"/>
              </w:rPr>
              <w:t xml:space="preserve">Recommendation for this phase: audit existing entitlements, establish the data position, and defer vendor selection to the post-pilot gate.</w:t>
            </w:r>
          </w:p>
        </w:tc>
      </w:tr>
    </w:tbl>
    <w:p>
      <w:pPr>
        <w:pStyle w:val="Heading1"/>
        <w:spacing w:after="150" w:before="330"/>
      </w:pPr>
      <w:r>
        <w:rPr>
          <w:rFonts w:ascii="Calibri" w:cs="Calibri" w:eastAsia="Calibri" w:hAnsi="Calibri"/>
          <w:b/>
          <w:bCs/>
          <w:color w:val="1F3864"/>
          <w:sz w:val="28"/>
          <w:szCs w:val="28"/>
        </w:rPr>
        <w:t xml:space="preserve">Sources</w:t>
      </w:r>
    </w:p>
    <w:p>
      <w:pPr>
        <w:pStyle w:val="Heading2"/>
        <w:spacing w:after="110" w:before="250"/>
      </w:pPr>
      <w:r>
        <w:rPr>
          <w:rFonts w:ascii="Calibri" w:cs="Calibri" w:eastAsia="Calibri" w:hAnsi="Calibri"/>
          <w:b/>
          <w:bCs/>
          <w:color w:val="2E74B5"/>
          <w:sz w:val="23"/>
          <w:szCs w:val="23"/>
        </w:rPr>
        <w:t xml:space="preserve">Analyst coverage</w:t>
      </w:r>
    </w:p>
    <w:p>
      <w:pPr>
        <w:pStyle w:val="ListParagraph"/>
        <w:numPr>
          <w:ilvl w:val="0"/>
          <w:numId w:val="3"/>
        </w:numPr>
        <w:spacing w:after="100" w:line="272"/>
      </w:pPr>
      <w:r>
        <w:rPr>
          <w:rFonts w:ascii="Calibri" w:cs="Calibri" w:eastAsia="Calibri" w:hAnsi="Calibri"/>
          <w:sz w:val="20"/>
          <w:szCs w:val="20"/>
        </w:rPr>
        <w:t xml:space="preserve">Adobe — 2026 Gartner Magic Quadrant for Personalization Engines.  </w:t>
      </w:r>
      <w:hyperlink w:history="1" r:id="rIdkpbddxrxxukwqcamtjs-7">
        <w:r>
          <w:rPr>
            <w:rFonts w:ascii="Calibri" w:cs="Calibri" w:eastAsia="Calibri" w:hAnsi="Calibri"/>
            <w:color w:val="0563C1"/>
            <w:sz w:val="17"/>
            <w:szCs w:val="17"/>
            <w:u w:val="single"/>
          </w:rPr>
          <w:t xml:space="preserve">https://business.adobe.com/resources/reports/gartner-mq-personalization-engines-2026.html</w:t>
        </w:r>
      </w:hyperlink>
    </w:p>
    <w:p>
      <w:pPr>
        <w:pStyle w:val="ListParagraph"/>
        <w:numPr>
          <w:ilvl w:val="0"/>
          <w:numId w:val="3"/>
        </w:numPr>
        <w:spacing w:after="100" w:line="272"/>
      </w:pPr>
      <w:r>
        <w:rPr>
          <w:rFonts w:ascii="Calibri" w:cs="Calibri" w:eastAsia="Calibri" w:hAnsi="Calibri"/>
          <w:sz w:val="20"/>
          <w:szCs w:val="20"/>
        </w:rPr>
        <w:t xml:space="preserve">Optimizely — named a Leader, 2026 Gartner Magic Quadrant for Personalization Engines.  </w:t>
      </w:r>
      <w:hyperlink w:history="1" r:id="rIdur3drg8nphyxnhk5lwytz">
        <w:r>
          <w:rPr>
            <w:rFonts w:ascii="Calibri" w:cs="Calibri" w:eastAsia="Calibri" w:hAnsi="Calibri"/>
            <w:color w:val="0563C1"/>
            <w:sz w:val="17"/>
            <w:szCs w:val="17"/>
            <w:u w:val="single"/>
          </w:rPr>
          <w:t xml:space="preserve">https://www.optimizely.com/company/press/personalization-engines-mq-2026</w:t>
        </w:r>
      </w:hyperlink>
    </w:p>
    <w:p>
      <w:pPr>
        <w:pStyle w:val="ListParagraph"/>
        <w:numPr>
          <w:ilvl w:val="0"/>
          <w:numId w:val="3"/>
        </w:numPr>
        <w:spacing w:after="100" w:line="272"/>
      </w:pPr>
      <w:r>
        <w:rPr>
          <w:rFonts w:ascii="Calibri" w:cs="Calibri" w:eastAsia="Calibri" w:hAnsi="Calibri"/>
          <w:sz w:val="20"/>
          <w:szCs w:val="20"/>
        </w:rPr>
        <w:t xml:space="preserve">SAP — named a Leader, 2026 Gartner Magic Quadrant for Personalization Engines.  </w:t>
      </w:r>
      <w:hyperlink w:history="1" r:id="rIdxshwpac7hnxelfxxudzmh">
        <w:r>
          <w:rPr>
            <w:rFonts w:ascii="Calibri" w:cs="Calibri" w:eastAsia="Calibri" w:hAnsi="Calibri"/>
            <w:color w:val="0563C1"/>
            <w:sz w:val="17"/>
            <w:szCs w:val="17"/>
            <w:u w:val="single"/>
          </w:rPr>
          <w:t xml:space="preserve">https://news.sap.com/2026/02/sap-a-leader-2026-gartner-magic-quadrant-personalization-engines/</w:t>
        </w:r>
      </w:hyperlink>
    </w:p>
    <w:p>
      <w:pPr>
        <w:pStyle w:val="ListParagraph"/>
        <w:numPr>
          <w:ilvl w:val="0"/>
          <w:numId w:val="3"/>
        </w:numPr>
        <w:spacing w:after="100" w:line="272"/>
      </w:pPr>
      <w:r>
        <w:rPr>
          <w:rFonts w:ascii="Calibri" w:cs="Calibri" w:eastAsia="Calibri" w:hAnsi="Calibri"/>
          <w:sz w:val="20"/>
          <w:szCs w:val="20"/>
        </w:rPr>
        <w:t xml:space="preserve">Insider One — named a Leader, 2026 Gartner Magic Quadrant for Personalization Engines.  </w:t>
      </w:r>
      <w:hyperlink w:history="1" r:id="rIdnxp5gntypnuw4rk7wpmxk">
        <w:r>
          <w:rPr>
            <w:rFonts w:ascii="Calibri" w:cs="Calibri" w:eastAsia="Calibri" w:hAnsi="Calibri"/>
            <w:color w:val="0563C1"/>
            <w:sz w:val="17"/>
            <w:szCs w:val="17"/>
            <w:u w:val="single"/>
          </w:rPr>
          <w:t xml:space="preserve">https://insiderone.com/gartner-magic-quadrant-2026-personalization-engines/</w:t>
        </w:r>
      </w:hyperlink>
    </w:p>
    <w:p>
      <w:pPr>
        <w:pStyle w:val="ListParagraph"/>
        <w:numPr>
          <w:ilvl w:val="0"/>
          <w:numId w:val="3"/>
        </w:numPr>
        <w:spacing w:after="100" w:line="272"/>
      </w:pPr>
      <w:r>
        <w:rPr>
          <w:rFonts w:ascii="Calibri" w:cs="Calibri" w:eastAsia="Calibri" w:hAnsi="Calibri"/>
          <w:sz w:val="20"/>
          <w:szCs w:val="20"/>
        </w:rPr>
        <w:t xml:space="preserve">Dynamic Yield by Mastercard — Gartner Magic Quadrant Leader positioning.  </w:t>
      </w:r>
      <w:hyperlink w:history="1" r:id="rIdudprxzb-1f2lflfrhr7wy">
        <w:r>
          <w:rPr>
            <w:rFonts w:ascii="Calibri" w:cs="Calibri" w:eastAsia="Calibri" w:hAnsi="Calibri"/>
            <w:color w:val="0563C1"/>
            <w:sz w:val="17"/>
            <w:szCs w:val="17"/>
            <w:u w:val="single"/>
          </w:rPr>
          <w:t xml:space="preserve">https://www.dynamicyield.com/guides/gartner/</w:t>
        </w:r>
      </w:hyperlink>
    </w:p>
    <w:p>
      <w:pPr>
        <w:pStyle w:val="Heading2"/>
        <w:spacing w:after="110" w:before="250"/>
      </w:pPr>
      <w:r>
        <w:rPr>
          <w:rFonts w:ascii="Calibri" w:cs="Calibri" w:eastAsia="Calibri" w:hAnsi="Calibri"/>
          <w:b/>
          <w:bCs/>
          <w:color w:val="2E74B5"/>
          <w:sz w:val="23"/>
          <w:szCs w:val="23"/>
        </w:rPr>
        <w:t xml:space="preserve">Vendor product information</w:t>
      </w:r>
    </w:p>
    <w:p>
      <w:pPr>
        <w:pStyle w:val="ListParagraph"/>
        <w:numPr>
          <w:ilvl w:val="0"/>
          <w:numId w:val="3"/>
        </w:numPr>
        <w:spacing w:after="100" w:line="272"/>
      </w:pPr>
      <w:r>
        <w:rPr>
          <w:rFonts w:ascii="Calibri" w:cs="Calibri" w:eastAsia="Calibri" w:hAnsi="Calibri"/>
          <w:sz w:val="20"/>
          <w:szCs w:val="20"/>
        </w:rPr>
        <w:t xml:space="preserve">Mastercard — Dynamic Yield product overview.  </w:t>
      </w:r>
      <w:hyperlink w:history="1" r:id="rIdea0ug7kdad04hekfy24en">
        <w:r>
          <w:rPr>
            <w:rFonts w:ascii="Calibri" w:cs="Calibri" w:eastAsia="Calibri" w:hAnsi="Calibri"/>
            <w:color w:val="0563C1"/>
            <w:sz w:val="17"/>
            <w:szCs w:val="17"/>
            <w:u w:val="single"/>
          </w:rPr>
          <w:t xml:space="preserve">https://www.mastercard.com/us/en/business/consumer-acquisition-and-engagement/personalization/dynamic-yield.html</w:t>
        </w:r>
      </w:hyperlink>
    </w:p>
    <w:p>
      <w:pPr>
        <w:pStyle w:val="ListParagraph"/>
        <w:numPr>
          <w:ilvl w:val="0"/>
          <w:numId w:val="3"/>
        </w:numPr>
        <w:spacing w:after="100" w:line="272"/>
      </w:pPr>
      <w:r>
        <w:rPr>
          <w:rFonts w:ascii="Calibri" w:cs="Calibri" w:eastAsia="Calibri" w:hAnsi="Calibri"/>
          <w:sz w:val="20"/>
          <w:szCs w:val="20"/>
        </w:rPr>
        <w:t xml:space="preserve">Pega — Customer Decision Hub.  </w:t>
      </w:r>
      <w:hyperlink w:history="1" r:id="rIddjm84vr4yxwcbgg2gv_tg">
        <w:r>
          <w:rPr>
            <w:rFonts w:ascii="Calibri" w:cs="Calibri" w:eastAsia="Calibri" w:hAnsi="Calibri"/>
            <w:color w:val="0563C1"/>
            <w:sz w:val="17"/>
            <w:szCs w:val="17"/>
            <w:u w:val="single"/>
          </w:rPr>
          <w:t xml:space="preserve">https://www.pega.com/products/decision-hub</w:t>
        </w:r>
      </w:hyperlink>
    </w:p>
    <w:p>
      <w:pPr>
        <w:pStyle w:val="ListParagraph"/>
        <w:numPr>
          <w:ilvl w:val="0"/>
          <w:numId w:val="3"/>
        </w:numPr>
        <w:spacing w:after="100" w:line="272"/>
      </w:pPr>
      <w:r>
        <w:rPr>
          <w:rFonts w:ascii="Calibri" w:cs="Calibri" w:eastAsia="Calibri" w:hAnsi="Calibri"/>
          <w:sz w:val="20"/>
          <w:szCs w:val="20"/>
        </w:rPr>
        <w:t xml:space="preserve">Tealium — AudienceStream customer data platform.  </w:t>
      </w:r>
      <w:hyperlink w:history="1" r:id="rIderpyc-bhlvw4ujb24m0oo">
        <w:r>
          <w:rPr>
            <w:rFonts w:ascii="Calibri" w:cs="Calibri" w:eastAsia="Calibri" w:hAnsi="Calibri"/>
            <w:color w:val="0563C1"/>
            <w:sz w:val="17"/>
            <w:szCs w:val="17"/>
            <w:u w:val="single"/>
          </w:rPr>
          <w:t xml:space="preserve">https://tealium.com/products/audiencestream/</w:t>
        </w:r>
      </w:hyperlink>
    </w:p>
    <w:p>
      <w:pPr>
        <w:pStyle w:val="ListParagraph"/>
        <w:numPr>
          <w:ilvl w:val="0"/>
          <w:numId w:val="3"/>
        </w:numPr>
        <w:spacing w:after="100" w:line="272"/>
      </w:pPr>
      <w:r>
        <w:rPr>
          <w:rFonts w:ascii="Calibri" w:cs="Calibri" w:eastAsia="Calibri" w:hAnsi="Calibri"/>
          <w:sz w:val="20"/>
          <w:szCs w:val="20"/>
        </w:rPr>
        <w:t xml:space="preserve">Unbounce — dynamic landing pages, definitions and rule-based examples.  </w:t>
      </w:r>
      <w:hyperlink w:history="1" r:id="rIdmh7jpaxi2txhsxcz8fvis">
        <w:r>
          <w:rPr>
            <w:rFonts w:ascii="Calibri" w:cs="Calibri" w:eastAsia="Calibri" w:hAnsi="Calibri"/>
            <w:color w:val="0563C1"/>
            <w:sz w:val="17"/>
            <w:szCs w:val="17"/>
            <w:u w:val="single"/>
          </w:rPr>
          <w:t xml:space="preserve">https://unbounce.com/landing-page-examples/dynamic-landing-pages/</w:t>
        </w:r>
      </w:hyperlink>
    </w:p>
    <w:p>
      <w:pPr>
        <w:spacing w:after="150"/>
      </w:pPr>
    </w:p>
    <w:p>
      <w:pPr>
        <w:spacing w:after="130" w:line="280"/>
      </w:pPr>
      <w:r>
        <w:rPr>
          <w:rFonts w:ascii="Calibri" w:cs="Calibri" w:eastAsia="Calibri" w:hAnsi="Calibri"/>
          <w:i/>
          <w:iCs/>
          <w:color w:val="595959"/>
          <w:sz w:val="18"/>
          <w:szCs w:val="18"/>
        </w:rPr>
        <w:t xml:space="preserve">All web sources accessed August 2026. Analyst quadrant placements are as reported by the vendors themselves; the primary Gartner report was not accessed directly and should be obtained through any existing subscription before it is relied upon. Vendor ownership and product naming in this market change frequently and must be re-verified at the point of evaluation.</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8"/>
      </w:pBdr>
      <w:jc w:val="center"/>
    </w:pPr>
    <w:r>
      <w:rPr>
        <w:rFonts w:ascii="Calibri" w:cs="Calibri" w:eastAsia="Calibri" w:hAnsi="Calibri"/>
        <w:color w:val="595959"/>
        <w:sz w:val="16"/>
        <w:szCs w:val="16"/>
      </w:rPr>
      <w:t xml:space="preserve">BR-2 Technology Assessment — Vendor and Tooling Landscape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70" w:hanging="225"/>
      </w:pPr>
    </w:lvl>
  </w:abstractNum>
  <w:abstractNum w:abstractNumId="3" w15:restartNumberingAfterBreak="0">
    <w:multiLevelType w:val="hybridMultilevel"/>
    <w:lvl w:ilvl="0" w15:tentative="1">
      <w:start w:val="1"/>
      <w:numFmt w:val="decimal"/>
      <w:lvlText w:val="%1."/>
      <w:lvlJc w:val="left"/>
      <w:pPr>
        <w:ind w:left="41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pbddxrxxukwqcamtjs-7" Type="http://schemas.openxmlformats.org/officeDocument/2006/relationships/hyperlink" Target="https://business.adobe.com/resources/reports/gartner-mq-personalization-engines-2026.html" TargetMode="External"/><Relationship Id="rIdur3drg8nphyxnhk5lwytz" Type="http://schemas.openxmlformats.org/officeDocument/2006/relationships/hyperlink" Target="https://www.optimizely.com/company/press/personalization-engines-mq-2026" TargetMode="External"/><Relationship Id="rIdxshwpac7hnxelfxxudzmh" Type="http://schemas.openxmlformats.org/officeDocument/2006/relationships/hyperlink" Target="https://news.sap.com/2026/02/sap-a-leader-2026-gartner-magic-quadrant-personalization-engines/" TargetMode="External"/><Relationship Id="rIdnxp5gntypnuw4rk7wpmxk" Type="http://schemas.openxmlformats.org/officeDocument/2006/relationships/hyperlink" Target="https://insiderone.com/gartner-magic-quadrant-2026-personalization-engines/" TargetMode="External"/><Relationship Id="rIdudprxzb-1f2lflfrhr7wy" Type="http://schemas.openxmlformats.org/officeDocument/2006/relationships/hyperlink" Target="https://www.dynamicyield.com/guides/gartner/" TargetMode="External"/><Relationship Id="rIdea0ug7kdad04hekfy24en" Type="http://schemas.openxmlformats.org/officeDocument/2006/relationships/hyperlink" Target="https://www.mastercard.com/us/en/business/consumer-acquisition-and-engagement/personalization/dynamic-yield.html" TargetMode="External"/><Relationship Id="rIddjm84vr4yxwcbgg2gv_tg" Type="http://schemas.openxmlformats.org/officeDocument/2006/relationships/hyperlink" Target="https://www.pega.com/products/decision-hub" TargetMode="External"/><Relationship Id="rIderpyc-bhlvw4ujb24m0oo" Type="http://schemas.openxmlformats.org/officeDocument/2006/relationships/hyperlink" Target="https://tealium.com/products/audiencestream/" TargetMode="External"/><Relationship Id="rIdmh7jpaxi2txhsxcz8fvis" Type="http://schemas.openxmlformats.org/officeDocument/2006/relationships/hyperlink" Target="https://unbounce.com/landing-page-examples/dynamic-landing-page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BR-2 Technology Assessment — Vendor and Tooling Landscape</dc:title>
  <dc:creator>Digital Acquisition</dc:creator>
  <cp:lastModifiedBy>Un-named</cp:lastModifiedBy>
  <cp:revision>1</cp:revision>
  <dcterms:created xsi:type="dcterms:W3CDTF">2026-08-10T05:37:47.882Z</dcterms:created>
  <dcterms:modified xsi:type="dcterms:W3CDTF">2026-08-10T05:37:47.882Z</dcterms:modified>
</cp:coreProperties>
</file>

<file path=docProps/custom.xml><?xml version="1.0" encoding="utf-8"?>
<Properties xmlns="http://schemas.openxmlformats.org/officeDocument/2006/custom-properties" xmlns:vt="http://schemas.openxmlformats.org/officeDocument/2006/docPropsVTypes"/>
</file>