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OMRC Alert Explanation Framework – GFX, IRD &amp; Other Products</w:t>
      </w:r>
    </w:p>
    <w:p/>
    <w:p>
      <w:r>
        <w:t>1. Purpose of This Document</w:t>
      </w:r>
    </w:p>
    <w:p/>
    <w:p>
      <w:r>
        <w:t>This document provides a detailed, practical framework for explaining OMRC (Off-Market / Off-Rate Check) alerts across GFX, IRD, and other investment banking products. It is written from an OMRC / KMRC surveillance and AI-ML SME perspective and reflects real operational practices rather than front-office trade lineage assumptions.</w:t>
      </w:r>
    </w:p>
    <w:p/>
    <w:p>
      <w:r>
        <w:t>2. What OMRC Actually Reviews</w:t>
      </w:r>
    </w:p>
    <w:p/>
    <w:p>
      <w:r>
        <w:t>OMRC is an execution-quality control. It evaluates whether a trade’s price or rate deviates unreasonably from observable market benchmarks.</w:t>
      </w:r>
    </w:p>
    <w:p/>
    <w:p>
      <w:r>
        <w:t>3. Key Principle: Alerts Are Explained by Context, Not Lineage</w:t>
      </w:r>
    </w:p>
    <w:p/>
    <w:p>
      <w:r>
        <w:t>There is no universal parent transaction ID linking products, GFX trades, and IRD trades. Products and positions are inferred as latent exposure states.</w:t>
      </w:r>
    </w:p>
    <w:p/>
    <w:p>
      <w:r>
        <w:t>4. Universal OMRC Alert Explanation Framework</w:t>
      </w:r>
    </w:p>
    <w:p/>
    <w:p>
      <w:r>
        <w:t>Every alert explanation should answer:</w:t>
      </w:r>
    </w:p>
    <w:p>
      <w:r>
        <w:t>• What triggered the alert?</w:t>
      </w:r>
    </w:p>
    <w:p>
      <w:r>
        <w:t>• What type of trade is this?</w:t>
      </w:r>
    </w:p>
    <w:p>
      <w:r>
        <w:t>• What is the execution context?</w:t>
      </w:r>
    </w:p>
    <w:p>
      <w:r>
        <w:t>• Is the deviation economically explainable?</w:t>
      </w:r>
    </w:p>
    <w:p>
      <w:r>
        <w:t>• Final OMRC outcome</w:t>
      </w:r>
    </w:p>
    <w:p/>
    <w:p>
      <w:r>
        <w:t>5. GFX Real-Time Example</w:t>
      </w:r>
    </w:p>
    <w:p/>
    <w:p>
      <w:r>
        <w:t>FXFO EUR/USD trade of EUR 300m triggered OMRC due to 6.5 bps deviation. Context showed structured product hedge and low liquidity, making execution explainable.</w:t>
      </w:r>
    </w:p>
    <w:p/>
    <w:p>
      <w:r>
        <w:t>6. IRD Real-Time Example</w:t>
      </w:r>
    </w:p>
    <w:p/>
    <w:p>
      <w:r>
        <w:t>IRS trades with same notional and opposite directions executed simultaneously indicate back-to-back risk neutralization.</w:t>
      </w:r>
    </w:p>
    <w:p/>
    <w:p>
      <w:r>
        <w:t>7. Cash Bond Example</w:t>
      </w:r>
    </w:p>
    <w:p/>
    <w:p>
      <w:r>
        <w:t>EUR cash bond traded off benchmark due to size and low liquidity.</w:t>
      </w:r>
    </w:p>
    <w:p/>
    <w:p>
      <w:r>
        <w:t>8. Money Market Example</w:t>
      </w:r>
    </w:p>
    <w:p/>
    <w:p>
      <w:r>
        <w:t>FX swap rate deviation explained by funding pressure.</w:t>
      </w:r>
    </w:p>
    <w:p/>
    <w:p>
      <w:r>
        <w:t>9. Role of AI/ML</w:t>
      </w:r>
    </w:p>
    <w:p/>
    <w:p>
      <w:r>
        <w:t>The model provides probabilistic context and does not auto-close alerts.</w:t>
      </w:r>
    </w:p>
    <w:p/>
    <w:p>
      <w:r>
        <w:t>10. Audit-Safe Positioning</w:t>
      </w:r>
    </w:p>
    <w:p/>
    <w:p>
      <w:r>
        <w:t>The model estimates intent likelihood without asserting deterministic linkage.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