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OMRC Alert Review – Peer Evidence Assisted SOP</w:t>
      </w:r>
    </w:p>
    <w:p>
      <w:pPr>
        <w:pStyle w:val="Heading2"/>
      </w:pPr>
      <w:r>
        <w:t>1. Purpose</w:t>
      </w:r>
    </w:p>
    <w:p>
      <w:r>
        <w:t>This SOP describes how OMRC Operations should use the Peer Evidence Closure File to review and close OMRC alerts efficiently, without changing existing OMRC rules.</w:t>
      </w:r>
    </w:p>
    <w:p>
      <w:pPr>
        <w:pStyle w:val="Heading2"/>
      </w:pPr>
      <w:r>
        <w:t>2. Scope</w:t>
      </w:r>
    </w:p>
    <w:p>
      <w:r>
        <w:t>Applicable to OMRC alerts across GFX and other supported products.</w:t>
      </w:r>
    </w:p>
    <w:p>
      <w:pPr>
        <w:pStyle w:val="Heading2"/>
      </w:pPr>
      <w:r>
        <w:t>3. Data Source</w:t>
      </w:r>
    </w:p>
    <w:p>
      <w:r>
        <w:t>Based on OMRC rule engine output.</w:t>
      </w:r>
    </w:p>
    <w:p>
      <w:r>
        <w:t>- alert_description blank: trade passed</w:t>
      </w:r>
    </w:p>
    <w:p>
      <w:r>
        <w:t>- alert_description populated: alert triggered</w:t>
      </w:r>
    </w:p>
    <w:p>
      <w:pPr>
        <w:pStyle w:val="Heading2"/>
      </w:pPr>
      <w:r>
        <w:t>4. Peer Reference Logic</w:t>
      </w:r>
    </w:p>
    <w:p>
      <w:r>
        <w:t>Only trades that passed OMRC rules are used as peers.</w:t>
      </w:r>
    </w:p>
    <w:p>
      <w:r>
        <w:t>Peers are matched by:</w:t>
      </w:r>
    </w:p>
    <w:p>
      <w:r>
        <w:t>- Currency pair</w:t>
      </w:r>
    </w:p>
    <w:p>
      <w:r>
        <w:t>- Product</w:t>
      </w:r>
    </w:p>
    <w:p>
      <w:r>
        <w:t>- Trade type</w:t>
      </w:r>
    </w:p>
    <w:p>
      <w:r>
        <w:t>- Desk (BUI value)</w:t>
      </w:r>
    </w:p>
    <w:p>
      <w:pPr>
        <w:pStyle w:val="Heading2"/>
      </w:pPr>
      <w:r>
        <w:t>5. Trade Date Usage</w:t>
      </w:r>
    </w:p>
    <w:p>
      <w:r>
        <w:t>Same-day passed trades are used first.</w:t>
      </w:r>
    </w:p>
    <w:p>
      <w:r>
        <w:t>If insufficient, historical passed trades are used.</w:t>
      </w:r>
    </w:p>
    <w:p>
      <w:r>
        <w:t>Future trades are never used.</w:t>
      </w:r>
    </w:p>
    <w:p>
      <w:pPr>
        <w:pStyle w:val="Heading2"/>
      </w:pPr>
      <w:r>
        <w:t>6. Evidence Provided</w:t>
      </w:r>
    </w:p>
    <w:p>
      <w:r>
        <w:t>For each alert:</w:t>
      </w:r>
    </w:p>
    <w:p>
      <w:r>
        <w:t>- Rule triggered</w:t>
      </w:r>
    </w:p>
    <w:p>
      <w:r>
        <w:t>- Observed deviation</w:t>
      </w:r>
    </w:p>
    <w:p>
      <w:r>
        <w:t>- Threshold</w:t>
      </w:r>
    </w:p>
    <w:p>
      <w:r>
        <w:t>- Peer median deviation</w:t>
      </w:r>
    </w:p>
    <w:p>
      <w:r>
        <w:t>- Reference type (Same-day / Historical)</w:t>
      </w:r>
    </w:p>
    <w:p>
      <w:r>
        <w:t>- Example peer trade IDs</w:t>
      </w:r>
    </w:p>
    <w:p>
      <w:r>
        <w:t>- Desk context</w:t>
      </w:r>
    </w:p>
    <w:p>
      <w:r>
        <w:t>- Back-to-back indicator</w:t>
      </w:r>
    </w:p>
    <w:p>
      <w:pPr>
        <w:pStyle w:val="Heading2"/>
      </w:pPr>
      <w:r>
        <w:t>7. Ops Review Steps</w:t>
      </w:r>
    </w:p>
    <w:p>
      <w:r>
        <w:t>1. Filter alerts by desk or rule</w:t>
      </w:r>
    </w:p>
    <w:p>
      <w:r>
        <w:t>2. Review closure evidence text</w:t>
      </w:r>
    </w:p>
    <w:p>
      <w:r>
        <w:t>3. Validate using peer trade IDs if required</w:t>
      </w:r>
    </w:p>
    <w:p>
      <w:r>
        <w:t>4. Close or escalate the alert</w:t>
      </w:r>
    </w:p>
    <w:p>
      <w:pPr>
        <w:pStyle w:val="Heading2"/>
      </w:pPr>
      <w:r>
        <w:t>8. Desk-Level Oversight</w:t>
      </w:r>
    </w:p>
    <w:p>
      <w:r>
        <w:t>Summary metrics show false-positive concentration by desk.</w:t>
      </w:r>
    </w:p>
    <w:p>
      <w:pPr>
        <w:pStyle w:val="Heading2"/>
      </w:pPr>
      <w:r>
        <w:t>9. ML Usage</w:t>
      </w:r>
    </w:p>
    <w:p>
      <w:r>
        <w:t>ML is used only to group similar alerts.</w:t>
      </w:r>
    </w:p>
    <w:p>
      <w:r>
        <w:t>ML does not decide alert outcomes.</w:t>
      </w:r>
    </w:p>
    <w:p>
      <w:pPr>
        <w:pStyle w:val="Heading2"/>
      </w:pPr>
      <w:r>
        <w:t>10. What This Does Not Do</w:t>
      </w:r>
    </w:p>
    <w:p>
      <w:r>
        <w:t>- No auto-closure</w:t>
      </w:r>
    </w:p>
    <w:p>
      <w:r>
        <w:t>- No rule override</w:t>
      </w:r>
    </w:p>
    <w:p>
      <w:r>
        <w:t>- No prediction</w:t>
      </w:r>
    </w:p>
    <w:p>
      <w:pPr>
        <w:pStyle w:val="Heading2"/>
      </w:pPr>
      <w:r>
        <w:t>11. Benefits</w:t>
      </w:r>
    </w:p>
    <w:p>
      <w:r>
        <w:t>- Faster review</w:t>
      </w:r>
    </w:p>
    <w:p>
      <w:r>
        <w:t>- Consistent reasoning</w:t>
      </w:r>
    </w:p>
    <w:p>
      <w:r>
        <w:t>- Improved audit trail</w:t>
      </w:r>
    </w:p>
    <w:p>
      <w:pPr>
        <w:pStyle w:val="Heading2"/>
      </w:pPr>
      <w:r>
        <w:t>12. Governance</w:t>
      </w:r>
    </w:p>
    <w:p>
      <w:r>
        <w:t>Final alert decisions remain with OMRC Operations.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