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OMRC Comprehensive Alert Explanation Guide</w:t>
      </w:r>
    </w:p>
    <w:p>
      <w:pPr>
        <w:pStyle w:val="Heading2"/>
      </w:pPr>
      <w:r>
        <w:t>1. Introduction</w:t>
      </w:r>
    </w:p>
    <w:p>
      <w:r>
        <w:t>Purpose:</w:t>
      </w:r>
    </w:p>
    <w:p>
      <w:r>
        <w:t>This document provides a comprehensive OMRC (Off-Market / Off-Rate Check) explanation framework covering GFX, IRD, and other major investment banking products. It is designed for OMRC / KMRC surveillance teams and AI-ML SMEs, focusing on explainability, audit safety, and operational realism.</w:t>
      </w:r>
    </w:p>
    <w:p/>
    <w:p>
      <w:r>
        <w:t>Scope:</w:t>
      </w:r>
    </w:p>
    <w:p>
      <w:r>
        <w:t>- GFX (FX Spot, FXF, FXFO, FXS, FXO)</w:t>
      </w:r>
    </w:p>
    <w:p>
      <w:r>
        <w:t>- IRD (IRS, FRA, Basis Swaps, Currency Swaps, Options)</w:t>
      </w:r>
    </w:p>
    <w:p>
      <w:r>
        <w:t>- Cash Bonds</w:t>
      </w:r>
    </w:p>
    <w:p>
      <w:r>
        <w:t>- Cash Equities</w:t>
      </w:r>
    </w:p>
    <w:p>
      <w:r>
        <w:t>- Money Market &amp; Funding</w:t>
      </w:r>
    </w:p>
    <w:p>
      <w:r>
        <w:t>- Repo &amp; SBL</w:t>
      </w:r>
    </w:p>
    <w:p>
      <w:r>
        <w:t>- CDS, TRS, EQD, Structured Products</w:t>
      </w:r>
    </w:p>
    <w:p/>
    <w:p>
      <w:pPr>
        <w:pStyle w:val="Heading2"/>
      </w:pPr>
      <w:r>
        <w:t>2. Core OMRC Philosophy</w:t>
      </w:r>
    </w:p>
    <w:p>
      <w:r>
        <w:t>OMRC is an execution-quality control, not a product-lineage system.</w:t>
      </w:r>
    </w:p>
    <w:p/>
    <w:p>
      <w:r>
        <w:t>Key principles:</w:t>
      </w:r>
    </w:p>
    <w:p>
      <w:r>
        <w:t>- Alerts are explained by execution context</w:t>
      </w:r>
    </w:p>
    <w:p>
      <w:r>
        <w:t>- No deterministic parent-product linkage is expected</w:t>
      </w:r>
    </w:p>
    <w:p>
      <w:r>
        <w:t>- Products/positions are latent exposure states</w:t>
      </w:r>
    </w:p>
    <w:p>
      <w:r>
        <w:t>- Human judgment remains final</w:t>
      </w:r>
    </w:p>
    <w:p/>
    <w:p>
      <w:pPr>
        <w:pStyle w:val="Heading2"/>
      </w:pPr>
      <w:r>
        <w:t>3. Universal OMRC Explanation Flow</w:t>
      </w:r>
    </w:p>
    <w:p>
      <w:r>
        <w:t>Flowchart:</w:t>
      </w:r>
    </w:p>
    <w:p>
      <w:r>
        <w:t>ALERT TRIGGERED</w:t>
      </w:r>
    </w:p>
    <w:p>
      <w:r>
        <w:t xml:space="preserve">   ↓</w:t>
      </w:r>
    </w:p>
    <w:p>
      <w:r>
        <w:t>Market Deviation Check</w:t>
      </w:r>
    </w:p>
    <w:p>
      <w:r>
        <w:t xml:space="preserve">   ↓</w:t>
      </w:r>
    </w:p>
    <w:p>
      <w:r>
        <w:t>Context Gathering (size, timing, liquidity, book, desk)</w:t>
      </w:r>
    </w:p>
    <w:p>
      <w:r>
        <w:t xml:space="preserve">   ↓</w:t>
      </w:r>
    </w:p>
    <w:p>
      <w:r>
        <w:t>Intent Inference (hedge / client / funding / portfolio / speculative)</w:t>
      </w:r>
    </w:p>
    <w:p>
      <w:r>
        <w:t xml:space="preserve">   ↓</w:t>
      </w:r>
    </w:p>
    <w:p>
      <w:r>
        <w:t>Economic Plausibility Assessment</w:t>
      </w:r>
    </w:p>
    <w:p>
      <w:r>
        <w:t xml:space="preserve">   ↓</w:t>
      </w:r>
    </w:p>
    <w:p>
      <w:r>
        <w:t>OMRC Decision</w:t>
      </w:r>
    </w:p>
    <w:p/>
    <w:p>
      <w:pPr>
        <w:pStyle w:val="Heading2"/>
      </w:pPr>
      <w:r>
        <w:t>4. GFX Product Coverage</w:t>
      </w:r>
    </w:p>
    <w:p>
      <w:r>
        <w:t>GFX products:</w:t>
      </w:r>
    </w:p>
    <w:p>
      <w:r>
        <w:t>- FX Spot</w:t>
      </w:r>
    </w:p>
    <w:p>
      <w:r>
        <w:t>- FX Forward (FXF / FXFO)</w:t>
      </w:r>
    </w:p>
    <w:p>
      <w:r>
        <w:t>- FX Swap (FXS)</w:t>
      </w:r>
    </w:p>
    <w:p>
      <w:r>
        <w:t>- FX Options (FXO)</w:t>
      </w:r>
    </w:p>
    <w:p/>
    <w:p>
      <w:r>
        <w:t>Common alert drivers:</w:t>
      </w:r>
    </w:p>
    <w:p>
      <w:r>
        <w:t>- Off-market FX rate</w:t>
      </w:r>
    </w:p>
    <w:p>
      <w:r>
        <w:t>- Large principal</w:t>
      </w:r>
    </w:p>
    <w:p>
      <w:r>
        <w:t>- Low-liquidity execution window</w:t>
      </w:r>
    </w:p>
    <w:p/>
    <w:p>
      <w:r>
        <w:t>Typical explanations:</w:t>
      </w:r>
    </w:p>
    <w:p>
      <w:r>
        <w:t>- Hedge execution for FX exposure</w:t>
      </w:r>
    </w:p>
    <w:p>
      <w:r>
        <w:t>- Funding or liquidity management</w:t>
      </w:r>
    </w:p>
    <w:p>
      <w:r>
        <w:t>- Client facilitation</w:t>
      </w:r>
    </w:p>
    <w:p/>
    <w:p>
      <w:pPr>
        <w:pStyle w:val="Heading2"/>
      </w:pPr>
      <w:r>
        <w:t>5. IRD Product Coverage</w:t>
      </w:r>
    </w:p>
    <w:p>
      <w:r>
        <w:t>IRD products:</w:t>
      </w:r>
    </w:p>
    <w:p>
      <w:r>
        <w:t>- Interest Rate Swaps (IRS)</w:t>
      </w:r>
    </w:p>
    <w:p>
      <w:r>
        <w:t>- FRAs / OIS</w:t>
      </w:r>
    </w:p>
    <w:p>
      <w:r>
        <w:t>- Basis &amp; Currency Swaps</w:t>
      </w:r>
    </w:p>
    <w:p>
      <w:r>
        <w:t>- IRD Options</w:t>
      </w:r>
    </w:p>
    <w:p/>
    <w:p>
      <w:r>
        <w:t>Common alert drivers:</w:t>
      </w:r>
    </w:p>
    <w:p>
      <w:r>
        <w:t>- Rate deviation vs curve</w:t>
      </w:r>
    </w:p>
    <w:p>
      <w:r>
        <w:t>- Unusual spread</w:t>
      </w:r>
    </w:p>
    <w:p/>
    <w:p>
      <w:r>
        <w:t>Key context:</w:t>
      </w:r>
    </w:p>
    <w:p>
      <w:r>
        <w:t>- Back-to-back trades</w:t>
      </w:r>
    </w:p>
    <w:p>
      <w:r>
        <w:t>- Portfolio curve hedging</w:t>
      </w:r>
    </w:p>
    <w:p>
      <w:r>
        <w:t>- Net exposure close to zero</w:t>
      </w:r>
    </w:p>
    <w:p/>
    <w:p>
      <w:pPr>
        <w:pStyle w:val="Heading2"/>
      </w:pPr>
      <w:r>
        <w:t>6. Cash Bonds</w:t>
      </w:r>
    </w:p>
    <w:p>
      <w:r>
        <w:t>Alert drivers:</w:t>
      </w:r>
    </w:p>
    <w:p>
      <w:r>
        <w:t>- Yield deviation vs peers</w:t>
      </w:r>
    </w:p>
    <w:p>
      <w:r>
        <w:t>- Off-the-run liquidity</w:t>
      </w:r>
    </w:p>
    <w:p/>
    <w:p>
      <w:r>
        <w:t>Explanation context:</w:t>
      </w:r>
    </w:p>
    <w:p>
      <w:r>
        <w:t>- Bond-specific liquidity</w:t>
      </w:r>
    </w:p>
    <w:p>
      <w:r>
        <w:t>- Trade size impact</w:t>
      </w:r>
    </w:p>
    <w:p>
      <w:r>
        <w:t>- Settlement constraints</w:t>
      </w:r>
    </w:p>
    <w:p/>
    <w:p>
      <w:pPr>
        <w:pStyle w:val="Heading2"/>
      </w:pPr>
      <w:r>
        <w:t>7. Cash Equities</w:t>
      </w:r>
    </w:p>
    <w:p>
      <w:r>
        <w:t>Alert drivers:</w:t>
      </w:r>
    </w:p>
    <w:p>
      <w:r>
        <w:t>- Price deviation vs VWAP</w:t>
      </w:r>
    </w:p>
    <w:p/>
    <w:p>
      <w:r>
        <w:t>Context:</w:t>
      </w:r>
    </w:p>
    <w:p>
      <w:r>
        <w:t>- Cross-border settlement FX</w:t>
      </w:r>
    </w:p>
    <w:p>
      <w:r>
        <w:t>- Low liquidity blocks</w:t>
      </w:r>
    </w:p>
    <w:p/>
    <w:p>
      <w:pPr>
        <w:pStyle w:val="Heading2"/>
      </w:pPr>
      <w:r>
        <w:t>8. Money Market &amp; Repo</w:t>
      </w:r>
    </w:p>
    <w:p>
      <w:r>
        <w:t>Products:</w:t>
      </w:r>
    </w:p>
    <w:p>
      <w:r>
        <w:t>- Deposits</w:t>
      </w:r>
    </w:p>
    <w:p>
      <w:r>
        <w:t>- FX funding swaps</w:t>
      </w:r>
    </w:p>
    <w:p>
      <w:r>
        <w:t>- Repo &amp; reverse repo</w:t>
      </w:r>
    </w:p>
    <w:p/>
    <w:p>
      <w:r>
        <w:t>Explanation context:</w:t>
      </w:r>
    </w:p>
    <w:p>
      <w:r>
        <w:t>- Funding pressure</w:t>
      </w:r>
    </w:p>
    <w:p>
      <w:r>
        <w:t>- Collateral quality</w:t>
      </w:r>
    </w:p>
    <w:p>
      <w:r>
        <w:t>- End-of-day liquidity</w:t>
      </w:r>
    </w:p>
    <w:p/>
    <w:p>
      <w:pPr>
        <w:pStyle w:val="Heading2"/>
      </w:pPr>
      <w:r>
        <w:t>9. CDS, TRS, EQD &amp; Structured Products</w:t>
      </w:r>
    </w:p>
    <w:p>
      <w:r>
        <w:t>Coverage:</w:t>
      </w:r>
    </w:p>
    <w:p>
      <w:r>
        <w:t>- CDS (single currency – limited FX relevance)</w:t>
      </w:r>
    </w:p>
    <w:p>
      <w:r>
        <w:t>- TRS (FX relevant if cross-currency)</w:t>
      </w:r>
    </w:p>
    <w:p>
      <w:r>
        <w:t>- EQD / Structured notes</w:t>
      </w:r>
    </w:p>
    <w:p/>
    <w:p>
      <w:r>
        <w:t>Explanation context:</w:t>
      </w:r>
    </w:p>
    <w:p>
      <w:r>
        <w:t>- Embedded FX or rate exposure</w:t>
      </w:r>
    </w:p>
    <w:p>
      <w:r>
        <w:t>- Client-driven structures</w:t>
      </w:r>
    </w:p>
    <w:p/>
    <w:p>
      <w:pPr>
        <w:pStyle w:val="Heading2"/>
      </w:pPr>
      <w:r>
        <w:t>10. Role of AI / ML in OMRC</w:t>
      </w:r>
    </w:p>
    <w:p>
      <w:r>
        <w:t>The AI/ML model:</w:t>
      </w:r>
    </w:p>
    <w:p>
      <w:r>
        <w:t>- Infers likely trade intent</w:t>
      </w:r>
    </w:p>
    <w:p>
      <w:r>
        <w:t>- Aggregates contextual signals</w:t>
      </w:r>
    </w:p>
    <w:p>
      <w:r>
        <w:t>- Ranks alerts by risk</w:t>
      </w:r>
    </w:p>
    <w:p>
      <w:r>
        <w:t>- Supports but never replaces analyst judgment</w:t>
      </w:r>
    </w:p>
    <w:p/>
    <w:p>
      <w:pPr>
        <w:pStyle w:val="Heading2"/>
      </w:pPr>
      <w:r>
        <w:t>11. Audit &amp; Model Governance Positioning</w:t>
      </w:r>
    </w:p>
    <w:p>
      <w:r>
        <w:t>Recommended wording:</w:t>
      </w:r>
    </w:p>
    <w:p>
      <w:r>
        <w:t>The model provides exposure-based contextual enrichment to support OMRC alert review and does not assert deterministic trade linkage or auto-close alerts.</w:t>
      </w:r>
    </w:p>
    <w:p/>
    <w:p>
      <w:pPr>
        <w:pStyle w:val="Heading2"/>
      </w:pPr>
      <w:r>
        <w:t>12. Final Summary</w:t>
      </w:r>
    </w:p>
    <w:p>
      <w:r>
        <w:t>OMRC alert explanation is a contextual, economically grounded process applied consistently across asset classes. This framework standardizes reasoning while remaining defensible to audit and regulators.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