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GFX–IRD Linkage &amp; OMRC Exception Context</w:t>
      </w:r>
    </w:p>
    <w:p/>
    <w:p>
      <w:r>
        <w:t>Purpose</w:t>
      </w:r>
    </w:p>
    <w:p>
      <w:r>
        <w:t>This document explains how GFX and IRD trades relate to upstream products/positions and how this linkage is used during OMRC (Off-Market / Off-Rate Check) exception reviews in an investment banking environment.</w:t>
      </w:r>
    </w:p>
    <w:p/>
    <w:p>
      <w:r>
        <w:t>1. Core Definitions</w:t>
      </w:r>
    </w:p>
    <w:p/>
    <w:p>
      <w:r>
        <w:t>Product / Position</w:t>
      </w:r>
    </w:p>
    <w:p>
      <w:r>
        <w:t>A product or position is the underlying exposure on the bank’s books that creates market risk. It is the reason hedging trades exist.</w:t>
      </w:r>
    </w:p>
    <w:p>
      <w:r>
        <w:t>Examples include:</w:t>
      </w:r>
    </w:p>
    <w:p>
      <w:r>
        <w:t>• Structured products (client-facing or internal)</w:t>
      </w:r>
    </w:p>
    <w:p>
      <w:r>
        <w:t>• Currency swaps</w:t>
      </w:r>
    </w:p>
    <w:p>
      <w:r>
        <w:t>• Foreign currency bonds</w:t>
      </w:r>
    </w:p>
    <w:p>
      <w:r>
        <w:t>• Treasury funding positions</w:t>
      </w:r>
    </w:p>
    <w:p>
      <w:r>
        <w:t>• Portfolio holdings</w:t>
      </w:r>
    </w:p>
    <w:p/>
    <w:p>
      <w:r>
        <w:t>GFX Trades</w:t>
      </w:r>
    </w:p>
    <w:p>
      <w:r>
        <w:t>GFX trades are executed to manage or hedge FX (currency) risk.</w:t>
      </w:r>
    </w:p>
    <w:p>
      <w:r>
        <w:t>Common GFX trade types:</w:t>
      </w:r>
    </w:p>
    <w:p>
      <w:r>
        <w:t>• FXF / FXFO – FX Forwards</w:t>
      </w:r>
    </w:p>
    <w:p>
      <w:r>
        <w:t>• FXS – FX Swaps</w:t>
      </w:r>
    </w:p>
    <w:p>
      <w:r>
        <w:t>• FX Spot</w:t>
      </w:r>
    </w:p>
    <w:p/>
    <w:p>
      <w:r>
        <w:t>IRD Trades</w:t>
      </w:r>
    </w:p>
    <w:p>
      <w:r>
        <w:t>IRD trades are executed to manage interest-rate risk and time-value-of-money effects.</w:t>
      </w:r>
    </w:p>
    <w:p>
      <w:r>
        <w:t>Common IRD products:</w:t>
      </w:r>
    </w:p>
    <w:p>
      <w:r>
        <w:t>• Interest Rate Swaps (IRS)</w:t>
      </w:r>
    </w:p>
    <w:p>
      <w:r>
        <w:t>• Basis swaps</w:t>
      </w:r>
    </w:p>
    <w:p>
      <w:r>
        <w:t>• Currency swaps</w:t>
      </w:r>
    </w:p>
    <w:p>
      <w:r>
        <w:t>• FRAs, OIS, swap options</w:t>
      </w:r>
    </w:p>
    <w:p/>
    <w:p>
      <w:r>
        <w:t>2. One Product Can Create Multiple Risks</w:t>
      </w:r>
    </w:p>
    <w:p/>
    <w:p>
      <w:r>
        <w:t>A single product or position can generate:</w:t>
      </w:r>
    </w:p>
    <w:p>
      <w:r>
        <w:t>• FX risk → Hedged using GFX trades</w:t>
      </w:r>
    </w:p>
    <w:p>
      <w:r>
        <w:t>• Interest rate risk → Hedged using IRD trades</w:t>
      </w:r>
    </w:p>
    <w:p/>
    <w:p>
      <w:r>
        <w:t>GFX and IRD trades often appear together because they hedge different dimensions of risk.</w:t>
      </w:r>
    </w:p>
    <w:p/>
    <w:p>
      <w:r>
        <w:t>3. What OMRC Alerts Check</w:t>
      </w:r>
    </w:p>
    <w:p/>
    <w:p>
      <w:r>
        <w:t>OMRC alerts trigger when:</w:t>
      </w:r>
    </w:p>
    <w:p>
      <w:r>
        <w:t>• FX execution deviates beyond threshold from market mid</w:t>
      </w:r>
    </w:p>
    <w:p>
      <w:r>
        <w:t>• Trade size amplifies potential PnL impact</w:t>
      </w:r>
    </w:p>
    <w:p>
      <w:r>
        <w:t>• Liquidity or timing is unusual</w:t>
      </w:r>
    </w:p>
    <w:p/>
    <w:p>
      <w:r>
        <w:t>OMRC focuses on FX execution quality, not intent.</w:t>
      </w:r>
    </w:p>
    <w:p/>
    <w:p>
      <w:r>
        <w:t>4. Why We Look Upstream</w:t>
      </w:r>
    </w:p>
    <w:p/>
    <w:p>
      <w:r>
        <w:t>To explain an OMRC alert, analysts must identify the upstream product or position that caused the FX hedge.</w:t>
      </w:r>
    </w:p>
    <w:p>
      <w:r>
        <w:t>This process is called “looking upstream.”</w:t>
      </w:r>
    </w:p>
    <w:p/>
    <w:p>
      <w:r>
        <w:t>5. Step-by-Step: Looking Upstream</w:t>
      </w:r>
    </w:p>
    <w:p/>
    <w:p>
      <w:r>
        <w:t>Step 1: Start with the FX trade that triggered the alert</w:t>
      </w:r>
    </w:p>
    <w:p>
      <w:r>
        <w:t>Capture:</w:t>
      </w:r>
    </w:p>
    <w:p>
      <w:r>
        <w:t>• Trade type</w:t>
      </w:r>
    </w:p>
    <w:p>
      <w:r>
        <w:t>• Currency pair</w:t>
      </w:r>
    </w:p>
    <w:p>
      <w:r>
        <w:t>• Notional</w:t>
      </w:r>
    </w:p>
    <w:p>
      <w:r>
        <w:t>• Trade time</w:t>
      </w:r>
    </w:p>
    <w:p>
      <w:r>
        <w:t>• Desk / book</w:t>
      </w:r>
    </w:p>
    <w:p>
      <w:r>
        <w:t>• Legal entity</w:t>
      </w:r>
    </w:p>
    <w:p/>
    <w:p>
      <w:r>
        <w:t>Step 2: Ask the correct question</w:t>
      </w:r>
    </w:p>
    <w:p>
      <w:r>
        <w:t>“What exposure required this FX trade?”</w:t>
      </w:r>
    </w:p>
    <w:p/>
    <w:p>
      <w:r>
        <w:t>Step 3: Identify upstream sources</w:t>
      </w:r>
    </w:p>
    <w:p>
      <w:r>
        <w:t>• IRD currency swaps</w:t>
      </w:r>
    </w:p>
    <w:p>
      <w:r>
        <w:t>• Structured products</w:t>
      </w:r>
    </w:p>
    <w:p>
      <w:r>
        <w:t>• Foreign currency bonds</w:t>
      </w:r>
    </w:p>
    <w:p>
      <w:r>
        <w:t>• Treasury funding positions</w:t>
      </w:r>
    </w:p>
    <w:p>
      <w:r>
        <w:t>• Portfolio FX exposure</w:t>
      </w:r>
    </w:p>
    <w:p/>
    <w:p>
      <w:r>
        <w:t>Step 4: Validate economic consistency</w:t>
      </w:r>
    </w:p>
    <w:p>
      <w:r>
        <w:t>• FX exposure exists</w:t>
      </w:r>
    </w:p>
    <w:p>
      <w:r>
        <w:t>• Currency matches</w:t>
      </w:r>
    </w:p>
    <w:p>
      <w:r>
        <w:t>• Size is directionally consistent</w:t>
      </w:r>
    </w:p>
    <w:p>
      <w:r>
        <w:t>• Timing is reasonable</w:t>
      </w:r>
    </w:p>
    <w:p/>
    <w:p>
      <w:r>
        <w:t>Step 5: Use context in OMRC review</w:t>
      </w:r>
    </w:p>
    <w:p>
      <w:r>
        <w:t>Upstream linkage supports explanation but does not override pricing rules.</w:t>
      </w:r>
    </w:p>
    <w:p/>
    <w:p>
      <w:r>
        <w:t>6. Real-World Investment Banking Example</w:t>
      </w:r>
    </w:p>
    <w:p/>
    <w:p>
      <w:r>
        <w:t>Scenario:</w:t>
      </w:r>
    </w:p>
    <w:p>
      <w:r>
        <w:t>Legal Entity: HBEU</w:t>
      </w:r>
    </w:p>
    <w:p>
      <w:r>
        <w:t>Desk: Structured Products</w:t>
      </w:r>
    </w:p>
    <w:p/>
    <w:p>
      <w:r>
        <w:t>A client buys a EUR-linked structured note:</w:t>
      </w:r>
    </w:p>
    <w:p>
      <w:r>
        <w:t>• Principal: EUR 400 million</w:t>
      </w:r>
    </w:p>
    <w:p>
      <w:r>
        <w:t>• Tenor: 5 years</w:t>
      </w:r>
    </w:p>
    <w:p>
      <w:r>
        <w:t>• Base currency: USD</w:t>
      </w:r>
    </w:p>
    <w:p/>
    <w:p>
      <w:r>
        <w:t>Risks created:</w:t>
      </w:r>
    </w:p>
    <w:p>
      <w:r>
        <w:t>• FX risk (EUR/USD)</w:t>
      </w:r>
    </w:p>
    <w:p>
      <w:r>
        <w:t>• Interest rate risk (EUR curve)</w:t>
      </w:r>
    </w:p>
    <w:p/>
    <w:p>
      <w:r>
        <w:t>Hedges:</w:t>
      </w:r>
    </w:p>
    <w:p>
      <w:r>
        <w:t>GFX:</w:t>
      </w:r>
    </w:p>
    <w:p>
      <w:r>
        <w:t>• FXFO EUR/USD</w:t>
      </w:r>
    </w:p>
    <w:p>
      <w:r>
        <w:t>• Notional: EUR 380 million</w:t>
      </w:r>
    </w:p>
    <w:p/>
    <w:p>
      <w:r>
        <w:t>IRD:</w:t>
      </w:r>
    </w:p>
    <w:p>
      <w:r>
        <w:t>• EUR Interest Rate Swap</w:t>
      </w:r>
    </w:p>
    <w:p/>
    <w:p>
      <w:r>
        <w:t>OMRC Alert:</w:t>
      </w:r>
    </w:p>
    <w:p>
      <w:r>
        <w:t>The FXFO trade executes slightly off-market due to size and liquidity.</w:t>
      </w:r>
    </w:p>
    <w:p/>
    <w:p>
      <w:r>
        <w:t>Upstream Analysis:</w:t>
      </w:r>
    </w:p>
    <w:p>
      <w:r>
        <w:t>• Structured note booked same day</w:t>
      </w:r>
    </w:p>
    <w:p>
      <w:r>
        <w:t>• EUR exposure confirmed</w:t>
      </w:r>
    </w:p>
    <w:p>
      <w:r>
        <w:t>• Hedge size aligned with exposure</w:t>
      </w:r>
    </w:p>
    <w:p>
      <w:r>
        <w:t>• Trade intent is risk-reducing</w:t>
      </w:r>
    </w:p>
    <w:p/>
    <w:p>
      <w:r>
        <w:t>OMRC Explanation:</w:t>
      </w:r>
    </w:p>
    <w:p>
      <w:r>
        <w:t>“The FX forward trade was executed to hedge EUR exposure arising from a structured product. Market liquidity and trade size contributed to the observed deviation.”</w:t>
      </w:r>
    </w:p>
    <w:p/>
    <w:p>
      <w:r>
        <w:t>7. What Upstream Linkage Can and Cannot Do</w:t>
      </w:r>
    </w:p>
    <w:p/>
    <w:p>
      <w:r>
        <w:t>Can:</w:t>
      </w:r>
    </w:p>
    <w:p>
      <w:r>
        <w:t>• Explain trade intent</w:t>
      </w:r>
    </w:p>
    <w:p>
      <w:r>
        <w:t>• Reduce false positives</w:t>
      </w:r>
    </w:p>
    <w:p>
      <w:r>
        <w:t>• Support manual review</w:t>
      </w:r>
    </w:p>
    <w:p/>
    <w:p>
      <w:r>
        <w:t>Cannot:</w:t>
      </w:r>
    </w:p>
    <w:p>
      <w:r>
        <w:t>• Auto-close alerts</w:t>
      </w:r>
    </w:p>
    <w:p>
      <w:r>
        <w:t>• Override pricing rules</w:t>
      </w:r>
    </w:p>
    <w:p>
      <w:r>
        <w:t>• Justify extreme deviations</w:t>
      </w:r>
    </w:p>
    <w:p/>
    <w:p>
      <w:r>
        <w:t>8. Final Summary</w:t>
      </w:r>
    </w:p>
    <w:p/>
    <w:p>
      <w:r>
        <w:t>GFX trades hedge FX risk, IRD trades hedge interest-rate risk, and upstream products create the exposures requiring these hedges. OMRC reviews must therefore look upstream to understand intent while still enforcing strict FX pricing standards.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