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Sampling Tool – Detailed Workflow &amp; Methodology (with Example)</w:t>
      </w:r>
    </w:p>
    <w:p>
      <w:pPr>
        <w:pStyle w:val="Heading1"/>
      </w:pPr>
      <w:r>
        <w:t>1. Purpose of the Tool</w:t>
      </w:r>
    </w:p>
    <w:p>
      <w:r>
        <w:rPr>
          <w:sz w:val="22"/>
        </w:rPr>
        <w:t>This tool supports Monthly QA / Audit sampling by selecting a controlled and representative sample across Region–Product combinations while preventing dominance from high-volume segments.</w:t>
      </w:r>
    </w:p>
    <w:p>
      <w:pPr>
        <w:pStyle w:val="Heading1"/>
      </w:pPr>
      <w:r>
        <w:t>2. Workflow Overview</w:t>
      </w:r>
    </w:p>
    <w:p>
      <w:r>
        <w:rPr>
          <w:sz w:val="22"/>
        </w:rPr>
        <w:t>Step 1: Load dataset.</w:t>
        <w:br/>
        <w:t>Step 2: Select Region and Product (mandatory).</w:t>
        <w:br/>
        <w:t>Step 3: Optionally select Internal Spread column (e.g., BUI).</w:t>
        <w:br/>
        <w:t>Step 4: Tool builds strata = Region | Product.</w:t>
        <w:br/>
        <w:t>Step 5: Population statistics are calculated.</w:t>
        <w:br/>
        <w:t>Step 6: Target sample size determined (between 300 and 350).</w:t>
        <w:br/>
        <w:t>Step 7: Samples allocated across strata (Balanced or Proportional mode).</w:t>
        <w:br/>
        <w:t>Step 8: Random records drawn within each stratum.</w:t>
        <w:br/>
        <w:t>Step 9: Results and exports generated.</w:t>
      </w:r>
    </w:p>
    <w:p>
      <w:pPr>
        <w:pStyle w:val="Heading1"/>
      </w:pPr>
      <w:r>
        <w:t>3. Allocation Modes</w:t>
      </w:r>
    </w:p>
    <w:p>
      <w:r>
        <w:rPr>
          <w:sz w:val="22"/>
        </w:rPr>
        <w:t>Balanced (QA Mode): Allocation proportional to √Population. Ensures fair coverage.</w:t>
        <w:br/>
        <w:t>Proportional (Statistical Mode): Allocation proportional to Population. Mirrors volume distribution.</w:t>
      </w:r>
    </w:p>
    <w:p>
      <w:pPr>
        <w:pStyle w:val="Heading1"/>
      </w:pPr>
      <w:r>
        <w:t>4. Example</w:t>
      </w:r>
    </w:p>
    <w:p>
      <w:r>
        <w:rPr>
          <w:sz w:val="22"/>
        </w:rPr>
        <w:t>Assume total population = 10,000 records across 5 strata.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Stratum</w:t>
            </w:r>
          </w:p>
        </w:tc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Balanced Sample</w:t>
            </w:r>
          </w:p>
        </w:tc>
      </w:tr>
      <w:tr>
        <w:tc>
          <w:tcPr>
            <w:tcW w:type="dxa" w:w="2880"/>
          </w:tcPr>
          <w:p>
            <w:r>
              <w:t>APAC | FX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EMEA | IRS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US | EQD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LATAM | FX</w:t>
            </w:r>
          </w:p>
        </w:tc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MEA | Options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1"/>
      </w:pPr>
      <w:r>
        <w:t>5. Internal Spread Behaviour</w:t>
      </w:r>
    </w:p>
    <w:p>
      <w:r>
        <w:rPr>
          <w:sz w:val="22"/>
        </w:rPr>
        <w:t>If an Internal Spread column is selected, sampling is diversified across its values to avoid selecting all records from a single BUI or desk while remaining random.</w:t>
      </w:r>
    </w:p>
    <w:p>
      <w:pPr>
        <w:pStyle w:val="Heading1"/>
      </w:pPr>
      <w:r>
        <w:t>6. Outputs</w:t>
      </w:r>
    </w:p>
    <w:p>
      <w:r>
        <w:rPr>
          <w:sz w:val="22"/>
        </w:rPr>
        <w:t>The tool generates sampled data, stratum statistics, allocation tables, and internal spread coverage to support QA validation and audit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