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F3864"/>
          <w:sz w:val="56"/>
          <w:szCs w:val="56"/>
        </w:rPr>
        <w:t xml:space="preserve">GDM Cash Bonds</w:t>
      </w:r>
    </w:p>
    <w:p>
      <w:pPr>
        <w:spacing w:after="100"/>
        <w:jc w:val="center"/>
      </w:pPr>
      <w:r>
        <w:rPr>
          <w:rFonts w:ascii="Arial" w:cs="Arial" w:eastAsia="Arial" w:hAnsi="Arial"/>
          <w:b/>
          <w:bCs/>
          <w:color w:val="2E75B6"/>
          <w:sz w:val="44"/>
          <w:szCs w:val="44"/>
        </w:rPr>
        <w:t xml:space="preserve">Off-Market Rate Checking</w:t>
      </w:r>
    </w:p>
    <w:p>
      <w:pPr>
        <w:spacing w:after="600"/>
        <w:jc w:val="center"/>
      </w:pPr>
      <w:r>
        <w:rPr>
          <w:rFonts w:ascii="Arial" w:cs="Arial" w:eastAsia="Arial" w:hAnsi="Arial"/>
          <w:color w:val="404040"/>
          <w:sz w:val="32"/>
          <w:szCs w:val="32"/>
        </w:rPr>
        <w:t xml:space="preserve">Threshold Calibration &amp; Control Methodology</w:t>
      </w:r>
    </w:p>
    <w:p>
      <w:pPr>
        <w:pBdr>
          <w:bottom w:val="single" w:color="2E75B6" w:sz="6" w:space="1"/>
        </w:pBdr>
        <w:spacing w:after="600"/>
        <w:jc w:val="center"/>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404040"/>
                <w:sz w:val="20"/>
                <w:szCs w:val="20"/>
              </w:rPr>
              <w:t xml:space="preserve">Department:</w:t>
            </w:r>
          </w:p>
        </w:tc>
        <w:tc>
          <w:tcPr>
            <w:tcW w:type="dxa" w:w="3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sz w:val="20"/>
                <w:szCs w:val="20"/>
              </w:rPr>
              <w:t xml:space="preserve">CIB Middle Office — OMRC AI/ML</w:t>
            </w:r>
          </w:p>
        </w:tc>
      </w:tr>
      <w:tr>
        <w:tc>
          <w:tcPr>
            <w:tcW w:type="dxa" w:w="2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404040"/>
                <w:sz w:val="20"/>
                <w:szCs w:val="20"/>
              </w:rPr>
              <w:t xml:space="preserve">Function:</w:t>
            </w:r>
          </w:p>
        </w:tc>
        <w:tc>
          <w:tcPr>
            <w:tcW w:type="dxa" w:w="3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sz w:val="20"/>
                <w:szCs w:val="20"/>
              </w:rPr>
              <w:t xml:space="preserve">TCFC Off-Market Rate Control</w:t>
            </w:r>
          </w:p>
        </w:tc>
      </w:tr>
      <w:tr>
        <w:tc>
          <w:tcPr>
            <w:tcW w:type="dxa" w:w="2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404040"/>
                <w:sz w:val="20"/>
                <w:szCs w:val="20"/>
              </w:rPr>
              <w:t xml:space="preserve">Classification:</w:t>
            </w:r>
          </w:p>
        </w:tc>
        <w:tc>
          <w:tcPr>
            <w:tcW w:type="dxa" w:w="3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sz w:val="20"/>
                <w:szCs w:val="20"/>
              </w:rPr>
              <w:t xml:space="preserve">Internal / Confidential</w:t>
            </w:r>
          </w:p>
        </w:tc>
      </w:tr>
      <w:tr>
        <w:tc>
          <w:tcPr>
            <w:tcW w:type="dxa" w:w="2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404040"/>
                <w:sz w:val="20"/>
                <w:szCs w:val="20"/>
              </w:rPr>
              <w:t xml:space="preserve">Version:</w:t>
            </w:r>
          </w:p>
        </w:tc>
        <w:tc>
          <w:tcPr>
            <w:tcW w:type="dxa" w:w="3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sz w:val="20"/>
                <w:szCs w:val="20"/>
              </w:rPr>
              <w:t xml:space="preserve">1.0 — June 2026</w:t>
            </w:r>
          </w:p>
        </w:tc>
      </w:tr>
    </w:tbl>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sz w:val="22"/>
          <w:szCs w:val="22"/>
        </w:rPr>
        <w:t xml:space="preserve">This document defines the complete end-to-end workflow for off-market rate checking of GDM Cash Bonds within the CIB Middle Office OMRC function. It covers the control objective, data pipeline architecture, threshold calibration methodology, alerting and exception processing logic, backtesting framework, and governance cadence.</w:t>
      </w:r>
    </w:p>
    <w:p>
      <w:pPr>
        <w:spacing w:after="120"/>
      </w:pPr>
      <w:r>
        <w:rPr>
          <w:rFonts w:ascii="Arial" w:cs="Arial" w:eastAsia="Arial" w:hAnsi="Arial"/>
          <w:sz w:val="22"/>
          <w:szCs w:val="22"/>
        </w:rPr>
        <w:t xml:space="preserve">The primary objective of the off-market rate control is to detect trades where the booked price deviates materially from the prevailing market price at execution time, indicating potential pricing errors, stale reference data, or unauthorized off-market dealing. This control is a regulatory and audit requirement under the Three Lines of Defence model and forms part of the TCFC (Trade Capture and Financial Control) governance framework.</w:t>
      </w:r>
    </w:p>
    <w:p>
      <w:r>
        <w:br w:type="page"/>
      </w:r>
    </w:p>
    <w:p>
      <w:pPr>
        <w:pStyle w:val="Heading1"/>
      </w:pPr>
      <w:r>
        <w:t xml:space="preserve">2. Control Objective and Scope</w:t>
      </w:r>
    </w:p>
    <w:p>
      <w:pPr>
        <w:pStyle w:val="Heading2"/>
      </w:pPr>
      <w:r>
        <w:t xml:space="preserve">2.1 Control Objective</w:t>
      </w:r>
    </w:p>
    <w:p>
      <w:pPr>
        <w:spacing w:after="120"/>
      </w:pPr>
      <w:r>
        <w:rPr>
          <w:rFonts w:ascii="Arial" w:cs="Arial" w:eastAsia="Arial" w:hAnsi="Arial"/>
          <w:sz w:val="22"/>
          <w:szCs w:val="22"/>
        </w:rPr>
        <w:t xml:space="preserve">Identify GDM Cash Bond trades where the execution price deviates beyond an acceptable threshold from the independent market reference price, and route those trades through a structured exception management process for investigation and resolution.</w:t>
      </w:r>
    </w:p>
    <w:p>
      <w:pPr>
        <w:pStyle w:val="Heading2"/>
      </w:pPr>
      <w:r>
        <w:t xml:space="preserve">2.2 In-Scope Products</w:t>
      </w:r>
    </w:p>
    <w:p>
      <w:pPr>
        <w:spacing w:after="120"/>
      </w:pPr>
      <w:r>
        <w:rPr>
          <w:rFonts w:ascii="Arial" w:cs="Arial" w:eastAsia="Arial" w:hAnsi="Arial"/>
          <w:sz w:val="22"/>
          <w:szCs w:val="22"/>
        </w:rPr>
        <w:t xml:space="preserve">The following ProductSubType classifications are in scope for this control:</w:t>
      </w:r>
    </w:p>
    <w:p>
      <w:pPr>
        <w:pStyle w:val="ListParagraph"/>
        <w:numPr>
          <w:ilvl w:val="0"/>
          <w:numId w:val="2"/>
        </w:numPr>
        <w:spacing w:after="80"/>
      </w:pPr>
      <w:r>
        <w:rPr>
          <w:rFonts w:ascii="Arial" w:cs="Arial" w:eastAsia="Arial" w:hAnsi="Arial"/>
          <w:b/>
          <w:bCs/>
          <w:sz w:val="22"/>
          <w:szCs w:val="22"/>
        </w:rPr>
        <w:t xml:space="preserve">CBO </w:t>
      </w:r>
      <w:r>
        <w:rPr>
          <w:rFonts w:ascii="Arial" w:cs="Arial" w:eastAsia="Arial" w:hAnsi="Arial"/>
          <w:sz w:val="22"/>
          <w:szCs w:val="22"/>
        </w:rPr>
        <w:t xml:space="preserve">— Corporate Bonds</w:t>
      </w:r>
    </w:p>
    <w:p>
      <w:pPr>
        <w:pStyle w:val="ListParagraph"/>
        <w:numPr>
          <w:ilvl w:val="0"/>
          <w:numId w:val="2"/>
        </w:numPr>
        <w:spacing w:after="80"/>
      </w:pPr>
      <w:r>
        <w:rPr>
          <w:rFonts w:ascii="Arial" w:cs="Arial" w:eastAsia="Arial" w:hAnsi="Arial"/>
          <w:b/>
          <w:bCs/>
          <w:sz w:val="22"/>
          <w:szCs w:val="22"/>
        </w:rPr>
        <w:t xml:space="preserve">GBO </w:t>
      </w:r>
      <w:r>
        <w:rPr>
          <w:rFonts w:ascii="Arial" w:cs="Arial" w:eastAsia="Arial" w:hAnsi="Arial"/>
          <w:sz w:val="22"/>
          <w:szCs w:val="22"/>
        </w:rPr>
        <w:t xml:space="preserve">— Government Bonds</w:t>
      </w:r>
    </w:p>
    <w:p>
      <w:pPr>
        <w:pStyle w:val="ListParagraph"/>
        <w:numPr>
          <w:ilvl w:val="0"/>
          <w:numId w:val="2"/>
        </w:numPr>
        <w:spacing w:after="160"/>
      </w:pPr>
      <w:r>
        <w:rPr>
          <w:rFonts w:ascii="Arial" w:cs="Arial" w:eastAsia="Arial" w:hAnsi="Arial"/>
          <w:b/>
          <w:bCs/>
          <w:sz w:val="22"/>
          <w:szCs w:val="22"/>
        </w:rPr>
        <w:t xml:space="preserve">ABS </w:t>
      </w:r>
      <w:r>
        <w:rPr>
          <w:rFonts w:ascii="Arial" w:cs="Arial" w:eastAsia="Arial" w:hAnsi="Arial"/>
          <w:sz w:val="22"/>
          <w:szCs w:val="22"/>
        </w:rPr>
        <w:t xml:space="preserve">— Asset-Backed Securities</w:t>
      </w:r>
    </w:p>
    <w:p>
      <w:pPr>
        <w:pStyle w:val="Heading2"/>
      </w:pPr>
      <w:r>
        <w:t xml:space="preserve">2.3 Reference Price Source</w:t>
      </w:r>
    </w:p>
    <w:p>
      <w:pPr>
        <w:spacing w:after="120"/>
      </w:pPr>
      <w:r>
        <w:rPr>
          <w:rFonts w:ascii="Arial" w:cs="Arial" w:eastAsia="Arial" w:hAnsi="Arial"/>
          <w:sz w:val="22"/>
          <w:szCs w:val="22"/>
        </w:rPr>
        <w:t xml:space="preserve">The sole approved reference price source is Reuters/LSEG. Bid and Ask prices are sourced from Reuters at the relevant execution timestamp. No other price sources (Bloomberg, internal marks, etc.) are used for threshold comparison in the current methodology. If Reuters data is unavailable for a given ISIN, the trade falls into the default threshold bucket.</w:t>
      </w:r>
    </w:p>
    <w:p>
      <w:r>
        <w:br w:type="page"/>
      </w:r>
    </w:p>
    <w:p>
      <w:pPr>
        <w:pStyle w:val="Heading1"/>
      </w:pPr>
      <w:r>
        <w:t xml:space="preserve">3. Data Pipeline Architecture</w:t>
      </w:r>
    </w:p>
    <w:p>
      <w:pPr>
        <w:pStyle w:val="Heading2"/>
      </w:pPr>
      <w:r>
        <w:t xml:space="preserve">3.1 Pipeline Overview</w:t>
      </w:r>
    </w:p>
    <w:p>
      <w:pPr>
        <w:spacing w:after="120"/>
      </w:pPr>
      <w:r>
        <w:rPr>
          <w:rFonts w:ascii="Arial" w:cs="Arial" w:eastAsia="Arial" w:hAnsi="Arial"/>
          <w:sz w:val="22"/>
          <w:szCs w:val="22"/>
        </w:rPr>
        <w:t xml:space="preserve">The off-market rate checking process operates through a three-stage pipeline: Business Rule Validation (BRV), Exception Processing Engine (EPE), and Resolution/Triage. Each stage filters and enriches the trade population progressively.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800"/>
        <w:gridCol w:w="2600"/>
      </w:tblGrid>
      <w:tr>
        <w:tc>
          <w:tcPr>
            <w:tcW w:type="dxa" w:w="156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Stage</w:t>
            </w:r>
          </w:p>
        </w:tc>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Component</w:t>
            </w:r>
          </w:p>
        </w:tc>
        <w:tc>
          <w:tcPr>
            <w:tcW w:type="dxa" w:w="2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Input</w:t>
            </w:r>
          </w:p>
        </w:tc>
        <w:tc>
          <w:tcPr>
            <w:tcW w:type="dxa" w:w="2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Output</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Stage 1</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BRV (Business Rule Validation)</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All GDM Cash Bond trades (full trade population)</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Per-trade alert_description flag: blank (pass) or breach type string</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Stage 2</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EPE (Exception Processing Engine)</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BRV output where alert_description is non-blank</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Filtered exception set with outliers removed</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Stage 3</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Resolution &amp; Triage</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EPE filtered alerts</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L1/L2 resolution status per alert</w:t>
            </w:r>
          </w:p>
        </w:tc>
      </w:tr>
    </w:tbl>
    <w:p>
      <w:pPr>
        <w:spacing w:after="120"/>
      </w:pPr>
      <w:r>
        <w:rPr>
          <w:rFonts w:ascii="Arial" w:cs="Arial" w:eastAsia="Arial" w:hAnsi="Arial"/>
          <w:sz w:val="22"/>
          <w:szCs w:val="22"/>
        </w:rPr>
        <w:t xml:space="preserve"/>
      </w:r>
    </w:p>
    <w:p>
      <w:pPr>
        <w:pStyle w:val="Heading2"/>
      </w:pPr>
      <w:r>
        <w:t xml:space="preserve">3.2 Stage 1: Business Rule Validation (BRV)</w:t>
      </w:r>
    </w:p>
    <w:p>
      <w:pPr>
        <w:spacing w:after="120"/>
      </w:pPr>
      <w:r>
        <w:rPr>
          <w:rFonts w:ascii="Arial" w:cs="Arial" w:eastAsia="Arial" w:hAnsi="Arial"/>
          <w:sz w:val="22"/>
          <w:szCs w:val="22"/>
        </w:rPr>
        <w:t xml:space="preserve">The BRV engine receives the full population of GDM Cash Bond trades and performs the following for each trade:</w:t>
      </w:r>
    </w:p>
    <w:p>
      <w:pPr>
        <w:pStyle w:val="ListParagraph"/>
        <w:numPr>
          <w:ilvl w:val="0"/>
          <w:numId w:val="3"/>
        </w:numPr>
        <w:spacing w:after="80"/>
      </w:pPr>
      <w:r>
        <w:rPr>
          <w:rFonts w:ascii="Arial" w:cs="Arial" w:eastAsia="Arial" w:hAnsi="Arial"/>
          <w:sz w:val="22"/>
          <w:szCs w:val="22"/>
        </w:rPr>
        <w:t xml:space="preserve">Retrieve the Reuters/LSEG Bid and Ask price for the trade’s ISIN at or near the execution timestamp.</w:t>
      </w:r>
    </w:p>
    <w:p>
      <w:pPr>
        <w:pStyle w:val="ListParagraph"/>
        <w:numPr>
          <w:ilvl w:val="0"/>
          <w:numId w:val="3"/>
        </w:numPr>
        <w:spacing w:after="80"/>
      </w:pPr>
      <w:r>
        <w:rPr>
          <w:rFonts w:ascii="Arial" w:cs="Arial" w:eastAsia="Arial" w:hAnsi="Arial"/>
          <w:sz w:val="22"/>
          <w:szCs w:val="22"/>
        </w:rPr>
        <w:t xml:space="preserve">Calculate the deviation between the booked execution price and the reference mid/bid/ask price (depending on trade direction: buy trades compare against ask, sell trades compare against bid).</w:t>
      </w:r>
    </w:p>
    <w:p>
      <w:pPr>
        <w:pStyle w:val="ListParagraph"/>
        <w:numPr>
          <w:ilvl w:val="0"/>
          <w:numId w:val="3"/>
        </w:numPr>
        <w:spacing w:after="80"/>
      </w:pPr>
      <w:r>
        <w:rPr>
          <w:rFonts w:ascii="Arial" w:cs="Arial" w:eastAsia="Arial" w:hAnsi="Arial"/>
          <w:sz w:val="22"/>
          <w:szCs w:val="22"/>
        </w:rPr>
        <w:t xml:space="preserve">Compare the calculated deviation against the applicable threshold for the trade’s segment key (ProductSubType × Tenor × CreditRating × IssuerRating × NotionalRange).</w:t>
      </w:r>
    </w:p>
    <w:p>
      <w:pPr>
        <w:pStyle w:val="ListParagraph"/>
        <w:numPr>
          <w:ilvl w:val="0"/>
          <w:numId w:val="3"/>
        </w:numPr>
        <w:spacing w:after="160"/>
      </w:pPr>
      <w:r>
        <w:rPr>
          <w:rFonts w:ascii="Arial" w:cs="Arial" w:eastAsia="Arial" w:hAnsi="Arial"/>
          <w:sz w:val="22"/>
          <w:szCs w:val="22"/>
        </w:rPr>
        <w:t xml:space="preserve">Populate the alert_description field based on the comparison outcome.</w:t>
      </w:r>
    </w:p>
    <w:p>
      <w:pPr>
        <w:pStyle w:val="Heading3"/>
      </w:pPr>
      <w:r>
        <w:t xml:space="preserve">3.2.1 alert_description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alert_description Value</w:t>
            </w:r>
          </w:p>
        </w:tc>
        <w:tc>
          <w:tcPr>
            <w:tcW w:type="dxa" w:w="312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Condition</w:t>
            </w:r>
          </w:p>
        </w:tc>
        <w:tc>
          <w:tcPr>
            <w:tcW w:type="dxa" w:w="312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Meaning</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Blank / Empty</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Calculated deviation ≤ applicable threshold</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Trade passed BRV check. No alert generated. Trade is considered within acceptable market deviation.</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"Threshold Breach"</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Calculated deviation &gt; applicable intraday threshold</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Intraday off-market alert. Trade price deviates beyond the calibrated threshold at execution time.</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"EOD Breach"</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Calculated deviation &gt; applicable EOD threshold</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End-of-day off-market alert. Trade price deviates beyond threshold when compared against end-of-day reference price.</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Only trades with a non-blank alert_description proceed to Stage 2 (EPE). Trades with blank alert_description are considered clean and require no further action.</w:t>
      </w:r>
    </w:p>
    <w:p>
      <w:pPr>
        <w:pStyle w:val="Heading2"/>
      </w:pPr>
      <w:r>
        <w:t xml:space="preserve">3.3 Stage 2: Exception Processing Engine (EPE)</w:t>
      </w:r>
    </w:p>
    <w:p>
      <w:pPr>
        <w:spacing w:after="120"/>
      </w:pPr>
      <w:r>
        <w:rPr>
          <w:rFonts w:ascii="Arial" w:cs="Arial" w:eastAsia="Arial" w:hAnsi="Arial"/>
          <w:sz w:val="22"/>
          <w:szCs w:val="22"/>
        </w:rPr>
        <w:t xml:space="preserve">The EPE receives the subset of BRV trades that have a non-blank alert_description (i.e., trades that breached a threshold). The EPE applies additional filtering:</w:t>
      </w:r>
    </w:p>
    <w:p>
      <w:pPr>
        <w:pStyle w:val="ListParagraph"/>
        <w:numPr>
          <w:ilvl w:val="0"/>
          <w:numId w:val="4"/>
        </w:numPr>
        <w:spacing w:after="80"/>
      </w:pPr>
      <w:r>
        <w:rPr>
          <w:rFonts w:ascii="Arial" w:cs="Arial" w:eastAsia="Arial" w:hAnsi="Arial"/>
          <w:sz w:val="22"/>
          <w:szCs w:val="22"/>
        </w:rPr>
        <w:t xml:space="preserve">Not all BRV alerts are promoted to EPE exceptions. Business filters determine which alert types and product combinations are in scope for active monitoring.</w:t>
      </w:r>
    </w:p>
    <w:p>
      <w:pPr>
        <w:pStyle w:val="ListParagraph"/>
        <w:numPr>
          <w:ilvl w:val="0"/>
          <w:numId w:val="4"/>
        </w:numPr>
        <w:spacing w:after="80"/>
      </w:pPr>
      <w:r>
        <w:rPr>
          <w:rFonts w:ascii="Arial" w:cs="Arial" w:eastAsia="Arial" w:hAnsi="Arial"/>
          <w:sz w:val="22"/>
          <w:szCs w:val="22"/>
        </w:rPr>
        <w:t xml:space="preserve">Outlier removal is applied to exclude data-quality issues (e.g., stale Reuters ticks, obviously erroneous reference prices, test trades) that would distort the exception population.</w:t>
      </w:r>
    </w:p>
    <w:p>
      <w:pPr>
        <w:pStyle w:val="ListParagraph"/>
        <w:numPr>
          <w:ilvl w:val="0"/>
          <w:numId w:val="4"/>
        </w:numPr>
        <w:spacing w:after="160"/>
      </w:pPr>
      <w:r>
        <w:rPr>
          <w:rFonts w:ascii="Arial" w:cs="Arial" w:eastAsia="Arial" w:hAnsi="Arial"/>
          <w:sz w:val="22"/>
          <w:szCs w:val="22"/>
        </w:rPr>
        <w:t xml:space="preserve">The remaining filtered exception set forms the working population for threshold calibration and for daily QA review.</w:t>
      </w:r>
    </w:p>
    <w:p>
      <w:pPr>
        <w:spacing w:after="120"/>
      </w:pPr>
      <w:r>
        <w:rPr>
          <w:rFonts w:ascii="Arial" w:cs="Arial" w:eastAsia="Arial" w:hAnsi="Arial"/>
          <w:sz w:val="22"/>
          <w:szCs w:val="22"/>
        </w:rPr>
        <w:t xml:space="preserve">Important: The EPE is a subset of BRV. The relationship is: Full Trade Population ⊃ BRV Alerts ⊃ EPE Exceptions.</w:t>
      </w:r>
    </w:p>
    <w:p>
      <w:pPr>
        <w:pStyle w:val="Heading2"/>
      </w:pPr>
      <w:r>
        <w:t xml:space="preserve">3.4 Stage 3: Resolution and Triage</w:t>
      </w:r>
    </w:p>
    <w:p>
      <w:pPr>
        <w:spacing w:after="120"/>
      </w:pPr>
      <w:r>
        <w:rPr>
          <w:rFonts w:ascii="Arial" w:cs="Arial" w:eastAsia="Arial" w:hAnsi="Arial"/>
          <w:sz w:val="22"/>
          <w:szCs w:val="22"/>
        </w:rPr>
        <w:t xml:space="preserve">Each EPE exception is assigned a resolution status through a two-level escalation process:</w:t>
      </w:r>
    </w:p>
    <w:p>
      <w:pPr>
        <w:pStyle w:val="ListParagraph"/>
        <w:numPr>
          <w:ilvl w:val="0"/>
          <w:numId w:val="2"/>
        </w:numPr>
        <w:spacing w:after="80"/>
      </w:pPr>
      <w:r>
        <w:rPr>
          <w:rFonts w:ascii="Arial" w:cs="Arial" w:eastAsia="Arial" w:hAnsi="Arial"/>
          <w:b/>
          <w:bCs/>
          <w:sz w:val="22"/>
          <w:szCs w:val="22"/>
        </w:rPr>
        <w:t xml:space="preserve">L1 Resolution: </w:t>
      </w:r>
      <w:r>
        <w:rPr>
          <w:rFonts w:ascii="Arial" w:cs="Arial" w:eastAsia="Arial" w:hAnsi="Arial"/>
          <w:sz w:val="22"/>
          <w:szCs w:val="22"/>
        </w:rPr>
        <w:t xml:space="preserve">First-line review by the QA/operations team. The majority of exceptions are resolved at L1 as false positives (legitimate market deviation, data timing mismatch, or explained spread). L1-resolved exceptions do not escalate further.</w:t>
      </w:r>
    </w:p>
    <w:p>
      <w:pPr>
        <w:pStyle w:val="ListParagraph"/>
        <w:numPr>
          <w:ilvl w:val="0"/>
          <w:numId w:val="2"/>
        </w:numPr>
        <w:spacing w:after="160"/>
      </w:pPr>
      <w:r>
        <w:rPr>
          <w:rFonts w:ascii="Arial" w:cs="Arial" w:eastAsia="Arial" w:hAnsi="Arial"/>
          <w:b/>
          <w:bCs/>
          <w:sz w:val="22"/>
          <w:szCs w:val="22"/>
        </w:rPr>
        <w:t xml:space="preserve">L2 Resolution: </w:t>
      </w:r>
      <w:r>
        <w:rPr>
          <w:rFonts w:ascii="Arial" w:cs="Arial" w:eastAsia="Arial" w:hAnsi="Arial"/>
          <w:sz w:val="22"/>
          <w:szCs w:val="22"/>
        </w:rPr>
        <w:t xml:space="preserve">Exceptions that cannot be resolved at L1 escalate to L2 for senior review and potential remediation. L2 exceptions represent genuine off-market trades requiring investigation, booking correction, or front-office engagement.</w:t>
      </w:r>
    </w:p>
    <w:p>
      <w:pPr>
        <w:spacing w:after="120"/>
      </w:pPr>
      <w:r>
        <w:rPr>
          <w:rFonts w:ascii="Arial" w:cs="Arial" w:eastAsia="Arial" w:hAnsi="Arial"/>
          <w:sz w:val="22"/>
          <w:szCs w:val="22"/>
        </w:rPr>
        <w:t xml:space="preserve">The L1/L2 resolution labels on historical data serve as the ground truth for backtesting threshold effectiveness (see Section 6).</w:t>
      </w:r>
    </w:p>
    <w:p>
      <w:r>
        <w:br w:type="page"/>
      </w:r>
    </w:p>
    <w:p>
      <w:pPr>
        <w:pStyle w:val="Heading1"/>
      </w:pPr>
      <w:r>
        <w:t xml:space="preserve">4. Segmentation Key Design</w:t>
      </w:r>
    </w:p>
    <w:p>
      <w:pPr>
        <w:spacing w:after="120"/>
      </w:pPr>
      <w:r>
        <w:rPr>
          <w:rFonts w:ascii="Arial" w:cs="Arial" w:eastAsia="Arial" w:hAnsi="Arial"/>
          <w:sz w:val="22"/>
          <w:szCs w:val="22"/>
        </w:rPr>
        <w:t xml:space="preserve">Thresholds are not applied as a single flat value across all Cash Bond trades. Instead, a composite segmentation key determines the applicable threshold for each trade, reflecting the fact that different instrument profiles have different normal price deviation ranges.</w:t>
      </w:r>
    </w:p>
    <w:p>
      <w:pPr>
        <w:pStyle w:val="Heading2"/>
      </w:pPr>
      <w:r>
        <w:t xml:space="preserve">4.1 Segmentation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Dimension</w:t>
            </w:r>
          </w:p>
        </w:tc>
        <w:tc>
          <w:tcPr>
            <w:tcW w:type="dxa" w:w="351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Values / Buckets</w:t>
            </w:r>
          </w:p>
        </w:tc>
        <w:tc>
          <w:tcPr>
            <w:tcW w:type="dxa" w:w="351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Rationale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ProductSubType</w:t>
            </w:r>
          </w:p>
        </w:tc>
        <w:tc>
          <w:tcPr>
            <w:tcW w:type="dxa" w:w="351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CBO, GBO, ABS</w:t>
            </w:r>
          </w:p>
        </w:tc>
        <w:tc>
          <w:tcPr>
            <w:tcW w:type="dxa" w:w="351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Fundamentally different liquidity profiles and spread behaviour. Government bonds trade tighter than corporates; ABS has structural complexity.</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Tenor / Maturity Bucket</w:t>
            </w:r>
          </w:p>
        </w:tc>
        <w:tc>
          <w:tcPr>
            <w:tcW w:type="dxa" w:w="351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Short (0–2Y), Medium (2–5Y), Long (5–10Y), Ultra-Long (10Y+)</w:t>
            </w:r>
          </w:p>
        </w:tc>
        <w:tc>
          <w:tcPr>
            <w:tcW w:type="dxa" w:w="351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Longer tenor instruments have greater price sensitivity to yield changes (higher duration), producing wider natural deviations.</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Credit Rating</w:t>
            </w:r>
          </w:p>
        </w:tc>
        <w:tc>
          <w:tcPr>
            <w:tcW w:type="dxa" w:w="351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AAA, AA, A, BBB, Sub-IG, Default</w:t>
            </w:r>
          </w:p>
        </w:tc>
        <w:tc>
          <w:tcPr>
            <w:tcW w:type="dxa" w:w="351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Lower credit quality correlates with wider bid-ask spreads and higher deviation volatility. Default bucket used when no rating available.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Issuer Rating</w:t>
            </w:r>
          </w:p>
        </w:tc>
        <w:tc>
          <w:tcPr>
            <w:tcW w:type="dxa" w:w="351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Investment-grade tiers, Sub-IG, Default</w:t>
            </w:r>
          </w:p>
        </w:tc>
        <w:tc>
          <w:tcPr>
            <w:tcW w:type="dxa" w:w="351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Issuer-level credit quality supplements instrument-level rating. Default bucket used when issuer rating is missing.</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Notional Range</w:t>
            </w:r>
          </w:p>
        </w:tc>
        <w:tc>
          <w:tcPr>
            <w:tcW w:type="dxa" w:w="351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Defined buckets (e.g., &lt;1M, 1–10M, 10–100M, &gt;100M in base currency equivalent)</w:t>
            </w:r>
          </w:p>
        </w:tc>
        <w:tc>
          <w:tcPr>
            <w:tcW w:type="dxa" w:w="351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Large-notional trades may experience wider execution spreads; small-notional trades in illiquid names may have stale reference prices.</w:t>
            </w:r>
          </w:p>
        </w:tc>
      </w:tr>
    </w:tbl>
    <w:p>
      <w:pPr>
        <w:spacing w:after="120"/>
      </w:pPr>
      <w:r>
        <w:rPr>
          <w:rFonts w:ascii="Arial" w:cs="Arial" w:eastAsia="Arial" w:hAnsi="Arial"/>
          <w:sz w:val="22"/>
          <w:szCs w:val="22"/>
        </w:rPr>
        <w:t xml:space="preserve"/>
      </w:r>
    </w:p>
    <w:p>
      <w:pPr>
        <w:pStyle w:val="Heading2"/>
      </w:pPr>
      <w:r>
        <w:t xml:space="preserve">4.2 Composite Key Formation</w:t>
      </w:r>
    </w:p>
    <w:p>
      <w:pPr>
        <w:spacing w:after="120"/>
      </w:pPr>
      <w:r>
        <w:rPr>
          <w:rFonts w:ascii="Arial" w:cs="Arial" w:eastAsia="Arial" w:hAnsi="Arial"/>
          <w:sz w:val="22"/>
          <w:szCs w:val="22"/>
        </w:rPr>
        <w:t xml:space="preserve">The unique segment key for threshold lookup is: ProductSubType × Tenor Bucket × Credit Rating × Issuer Rating × Notional Range. Each unique combination maps to a specific threshold value in the threshold matrix.</w:t>
      </w:r>
    </w:p>
    <w:p>
      <w:pPr>
        <w:pStyle w:val="Heading2"/>
      </w:pPr>
      <w:r>
        <w:t xml:space="preserve">4.3 Default / Fallback Logic</w:t>
      </w:r>
    </w:p>
    <w:p>
      <w:pPr>
        <w:spacing w:after="120"/>
      </w:pPr>
      <w:r>
        <w:rPr>
          <w:rFonts w:ascii="Arial" w:cs="Arial" w:eastAsia="Arial" w:hAnsi="Arial"/>
          <w:sz w:val="22"/>
          <w:szCs w:val="22"/>
        </w:rPr>
        <w:t xml:space="preserve">When a dimension value is missing or unmapped for a given trade:</w:t>
      </w:r>
    </w:p>
    <w:p>
      <w:pPr>
        <w:pStyle w:val="ListParagraph"/>
        <w:numPr>
          <w:ilvl w:val="0"/>
          <w:numId w:val="2"/>
        </w:numPr>
        <w:spacing w:after="80"/>
      </w:pPr>
      <w:r>
        <w:rPr>
          <w:rFonts w:ascii="Arial" w:cs="Arial" w:eastAsia="Arial" w:hAnsi="Arial"/>
          <w:sz w:val="22"/>
          <w:szCs w:val="22"/>
        </w:rPr>
        <w:t xml:space="preserve">If Credit Rating is missing, it is mapped to the “Default” credit rating bucket.</w:t>
      </w:r>
    </w:p>
    <w:p>
      <w:pPr>
        <w:pStyle w:val="ListParagraph"/>
        <w:numPr>
          <w:ilvl w:val="0"/>
          <w:numId w:val="2"/>
        </w:numPr>
        <w:spacing w:after="80"/>
      </w:pPr>
      <w:r>
        <w:rPr>
          <w:rFonts w:ascii="Arial" w:cs="Arial" w:eastAsia="Arial" w:hAnsi="Arial"/>
          <w:sz w:val="22"/>
          <w:szCs w:val="22"/>
        </w:rPr>
        <w:t xml:space="preserve">If Issuer Rating is missing, it is mapped to the “Default” issuer rating bucket.</w:t>
      </w:r>
    </w:p>
    <w:p>
      <w:pPr>
        <w:pStyle w:val="ListParagraph"/>
        <w:numPr>
          <w:ilvl w:val="0"/>
          <w:numId w:val="2"/>
        </w:numPr>
        <w:spacing w:after="160"/>
      </w:pPr>
      <w:r>
        <w:rPr>
          <w:rFonts w:ascii="Arial" w:cs="Arial" w:eastAsia="Arial" w:hAnsi="Arial"/>
          <w:sz w:val="22"/>
          <w:szCs w:val="22"/>
        </w:rPr>
        <w:t xml:space="preserve">The Default buckets are calibrated with wider thresholds to accommodate the higher uncertainty when rating information is absent.</w:t>
      </w:r>
    </w:p>
    <w:p>
      <w:r>
        <w:br w:type="page"/>
      </w:r>
    </w:p>
    <w:p>
      <w:pPr>
        <w:pStyle w:val="Heading1"/>
      </w:pPr>
      <w:r>
        <w:t xml:space="preserve">5. Threshold Calibration Methodology</w:t>
      </w:r>
    </w:p>
    <w:p>
      <w:pPr>
        <w:pStyle w:val="Heading2"/>
      </w:pPr>
      <w:r>
        <w:t xml:space="preserve">5.1 Calibration Data Source</w:t>
      </w:r>
    </w:p>
    <w:p>
      <w:pPr>
        <w:spacing w:after="120"/>
      </w:pPr>
      <w:r>
        <w:rPr>
          <w:rFonts w:ascii="Arial" w:cs="Arial" w:eastAsia="Arial" w:hAnsi="Arial"/>
          <w:sz w:val="22"/>
          <w:szCs w:val="22"/>
        </w:rPr>
        <w:t xml:space="preserve">Threshold calibration uses the entire BRV trade population (not the EPE subset) to avoid circularity bias. Using only exception data to calibrate thresholds would produce thresholds that merely describe the existing alert population rather than reflecting true market deviation behaviour.</w:t>
      </w:r>
    </w:p>
    <w:p>
      <w:pPr>
        <w:pStyle w:val="Heading2"/>
      </w:pPr>
      <w:r>
        <w:t xml:space="preserve">5.2 Calibration Steps</w:t>
      </w:r>
    </w:p>
    <w:p>
      <w:pPr>
        <w:spacing w:after="120"/>
      </w:pPr>
      <w:r>
        <w:rPr>
          <w:rFonts w:ascii="Arial" w:cs="Arial" w:eastAsia="Arial" w:hAnsi="Arial"/>
          <w:sz w:val="22"/>
          <w:szCs w:val="22"/>
        </w:rPr>
        <w:t xml:space="preserve">The calibration process follows these steps in sequence:</w:t>
      </w:r>
    </w:p>
    <w:p>
      <w:pPr>
        <w:spacing w:after="120"/>
      </w:pPr>
      <w:r>
        <w:rPr>
          <w:rFonts w:ascii="Arial" w:cs="Arial" w:eastAsia="Arial" w:hAnsi="Arial"/>
          <w:b/>
          <w:bCs/>
          <w:sz w:val="22"/>
          <w:szCs w:val="22"/>
        </w:rPr>
        <w:t xml:space="preserve">Step 1 — Extract Full BRV Trade Data: </w:t>
      </w:r>
      <w:r>
        <w:rPr>
          <w:rFonts w:ascii="Arial" w:cs="Arial" w:eastAsia="Arial" w:hAnsi="Arial"/>
          <w:sz w:val="22"/>
          <w:szCs w:val="22"/>
        </w:rPr>
        <w:t xml:space="preserve">Pull one full calendar year of BRV trade data covering all GDM Cash Bond trades. This includes both alerting trades (non-blank alert_description) and non-alerting trades (blank alert_description). The full population ensures the deviation distribution is representative.</w:t>
      </w:r>
    </w:p>
    <w:p>
      <w:pPr>
        <w:spacing w:after="120"/>
      </w:pPr>
      <w:r>
        <w:rPr>
          <w:rFonts w:ascii="Arial" w:cs="Arial" w:eastAsia="Arial" w:hAnsi="Arial"/>
          <w:b/>
          <w:bCs/>
          <w:sz w:val="22"/>
          <w:szCs w:val="22"/>
        </w:rPr>
        <w:t xml:space="preserve">Step 2 — Price Retrieval: </w:t>
      </w:r>
      <w:r>
        <w:rPr>
          <w:rFonts w:ascii="Arial" w:cs="Arial" w:eastAsia="Arial" w:hAnsi="Arial"/>
          <w:sz w:val="22"/>
          <w:szCs w:val="22"/>
        </w:rPr>
        <w:t xml:space="preserve">For each trade, retrieve the Reuters/LSEG Bid and Ask price at or near the execution timestamp. The prices are sourced exclusively from Reuters/LSEG. No other price sources are used.</w:t>
      </w:r>
    </w:p>
    <w:p>
      <w:pPr>
        <w:spacing w:after="120"/>
      </w:pPr>
      <w:r>
        <w:rPr>
          <w:rFonts w:ascii="Arial" w:cs="Arial" w:eastAsia="Arial" w:hAnsi="Arial"/>
          <w:b/>
          <w:bCs/>
          <w:sz w:val="22"/>
          <w:szCs w:val="22"/>
        </w:rPr>
        <w:t xml:space="preserve">Step 3 — Deviation Calculation: </w:t>
      </w:r>
      <w:r>
        <w:rPr>
          <w:rFonts w:ascii="Arial" w:cs="Arial" w:eastAsia="Arial" w:hAnsi="Arial"/>
          <w:sz w:val="22"/>
          <w:szCs w:val="22"/>
        </w:rPr>
        <w:t xml:space="preserve">For each trade, compute the deviation between the booked execution price and the reference price. Buy-side trades are compared against the Ask; sell-side trades are compared against the Bid. The average of the Bid and Ask (mid-price) may also be computed for analytical purposes.</w:t>
      </w:r>
    </w:p>
    <w:p>
      <w:pPr>
        <w:spacing w:after="120"/>
      </w:pPr>
      <w:r>
        <w:rPr>
          <w:rFonts w:ascii="Arial" w:cs="Arial" w:eastAsia="Arial" w:hAnsi="Arial"/>
          <w:b/>
          <w:bCs/>
          <w:sz w:val="22"/>
          <w:szCs w:val="22"/>
        </w:rPr>
        <w:t xml:space="preserve">Step 4 — Outlier Removal: </w:t>
      </w:r>
      <w:r>
        <w:rPr>
          <w:rFonts w:ascii="Arial" w:cs="Arial" w:eastAsia="Arial" w:hAnsi="Arial"/>
          <w:sz w:val="22"/>
          <w:szCs w:val="22"/>
        </w:rPr>
        <w:t xml:space="preserve">Remove data-quality outliers from the calibration population. Outlier removal targets bad reference-data ticks (stale or erroneous Reuters prices) rather than legitimate large deviations. The outlier removal criteria must be documented (see Section 5.3).</w:t>
      </w:r>
    </w:p>
    <w:p>
      <w:pPr>
        <w:spacing w:after="120"/>
      </w:pPr>
      <w:r>
        <w:rPr>
          <w:rFonts w:ascii="Arial" w:cs="Arial" w:eastAsia="Arial" w:hAnsi="Arial"/>
          <w:b/>
          <w:bCs/>
          <w:sz w:val="22"/>
          <w:szCs w:val="22"/>
        </w:rPr>
        <w:t xml:space="preserve">Step 5 — Segment Grouping: </w:t>
      </w:r>
      <w:r>
        <w:rPr>
          <w:rFonts w:ascii="Arial" w:cs="Arial" w:eastAsia="Arial" w:hAnsi="Arial"/>
          <w:sz w:val="22"/>
          <w:szCs w:val="22"/>
        </w:rPr>
        <w:t xml:space="preserve">Group the remaining trades by their composite segmentation key (ProductSubType × Tenor × Credit Rating × Issuer Rating × Notional Range).</w:t>
      </w:r>
    </w:p>
    <w:p>
      <w:pPr>
        <w:spacing w:after="120"/>
      </w:pPr>
      <w:r>
        <w:rPr>
          <w:rFonts w:ascii="Arial" w:cs="Arial" w:eastAsia="Arial" w:hAnsi="Arial"/>
          <w:b/>
          <w:bCs/>
          <w:sz w:val="22"/>
          <w:szCs w:val="22"/>
        </w:rPr>
        <w:t xml:space="preserve">Step 6 — Compute 99th Percentile: </w:t>
      </w:r>
      <w:r>
        <w:rPr>
          <w:rFonts w:ascii="Arial" w:cs="Arial" w:eastAsia="Arial" w:hAnsi="Arial"/>
          <w:sz w:val="22"/>
          <w:szCs w:val="22"/>
        </w:rPr>
        <w:t xml:space="preserve">Within each segment group, compute the 99th percentile of the deviation distribution. This value represents the boundary above which only 1% of historical trades have deviated — i.e., deviations beyond this are statistically unusual for the segment.</w:t>
      </w:r>
    </w:p>
    <w:p>
      <w:pPr>
        <w:spacing w:after="120"/>
      </w:pPr>
      <w:r>
        <w:rPr>
          <w:rFonts w:ascii="Arial" w:cs="Arial" w:eastAsia="Arial" w:hAnsi="Arial"/>
          <w:b/>
          <w:bCs/>
          <w:sz w:val="22"/>
          <w:szCs w:val="22"/>
        </w:rPr>
        <w:t xml:space="preserve">Step 7 — Manual Rounding: </w:t>
      </w:r>
      <w:r>
        <w:rPr>
          <w:rFonts w:ascii="Arial" w:cs="Arial" w:eastAsia="Arial" w:hAnsi="Arial"/>
          <w:sz w:val="22"/>
          <w:szCs w:val="22"/>
        </w:rPr>
        <w:t xml:space="preserve">The raw 99th percentile values are manually rounded for operational simplicity (e.g., rounding to the nearest 5bps or 10bps). This produces the final threshold values that are loaded into the BRV engine.</w:t>
      </w:r>
    </w:p>
    <w:p>
      <w:pPr>
        <w:spacing w:after="120"/>
      </w:pPr>
      <w:r>
        <w:rPr>
          <w:rFonts w:ascii="Arial" w:cs="Arial" w:eastAsia="Arial" w:hAnsi="Arial"/>
          <w:b/>
          <w:bCs/>
          <w:sz w:val="22"/>
          <w:szCs w:val="22"/>
        </w:rPr>
        <w:t xml:space="preserve">Step 8 — Threshold Matrix Construction: </w:t>
      </w:r>
      <w:r>
        <w:rPr>
          <w:rFonts w:ascii="Arial" w:cs="Arial" w:eastAsia="Arial" w:hAnsi="Arial"/>
          <w:sz w:val="22"/>
          <w:szCs w:val="22"/>
        </w:rPr>
        <w:t xml:space="preserve">Assemble the final thresholds into a matrix with Tenor/Maturity buckets in rows and Credit Rating / Issuer Rating combinations in columns. Each cell contains the applicable threshold for that segment. Cells with insufficient data adopt the Default threshold.</w:t>
      </w:r>
    </w:p>
    <w:p>
      <w:pPr>
        <w:pStyle w:val="Heading2"/>
      </w:pPr>
      <w:r>
        <w:t xml:space="preserve">5.3 Outlier Removal Criteria</w:t>
      </w:r>
    </w:p>
    <w:p>
      <w:pPr>
        <w:spacing w:after="120"/>
      </w:pPr>
      <w:r>
        <w:rPr>
          <w:rFonts w:ascii="Arial" w:cs="Arial" w:eastAsia="Arial" w:hAnsi="Arial"/>
          <w:sz w:val="22"/>
          <w:szCs w:val="22"/>
        </w:rPr>
        <w:t xml:space="preserve">Outlier removal during calibration must follow a documented, reproducible rule to ensure auditability. The following criteria are applied:</w:t>
      </w:r>
    </w:p>
    <w:p>
      <w:pPr>
        <w:pStyle w:val="ListParagraph"/>
        <w:numPr>
          <w:ilvl w:val="0"/>
          <w:numId w:val="2"/>
        </w:numPr>
        <w:spacing w:after="80"/>
      </w:pPr>
      <w:r>
        <w:rPr>
          <w:rFonts w:ascii="Arial" w:cs="Arial" w:eastAsia="Arial" w:hAnsi="Arial"/>
          <w:sz w:val="22"/>
          <w:szCs w:val="22"/>
        </w:rPr>
        <w:t xml:space="preserve">Trades where the Reuters reference price is flagged as stale (no update within a defined time window around execution).</w:t>
      </w:r>
    </w:p>
    <w:p>
      <w:pPr>
        <w:pStyle w:val="ListParagraph"/>
        <w:numPr>
          <w:ilvl w:val="0"/>
          <w:numId w:val="2"/>
        </w:numPr>
        <w:spacing w:after="80"/>
      </w:pPr>
      <w:r>
        <w:rPr>
          <w:rFonts w:ascii="Arial" w:cs="Arial" w:eastAsia="Arial" w:hAnsi="Arial"/>
          <w:sz w:val="22"/>
          <w:szCs w:val="22"/>
        </w:rPr>
        <w:t xml:space="preserve">Trades where the bid-ask spread from Reuters is abnormally wide (exceeding a product-specific maximum spread threshold), indicating data quality issues.</w:t>
      </w:r>
    </w:p>
    <w:p>
      <w:pPr>
        <w:pStyle w:val="ListParagraph"/>
        <w:numPr>
          <w:ilvl w:val="0"/>
          <w:numId w:val="2"/>
        </w:numPr>
        <w:spacing w:after="80"/>
      </w:pPr>
      <w:r>
        <w:rPr>
          <w:rFonts w:ascii="Arial" w:cs="Arial" w:eastAsia="Arial" w:hAnsi="Arial"/>
          <w:sz w:val="22"/>
          <w:szCs w:val="22"/>
        </w:rPr>
        <w:t xml:space="preserve">Test trades, cancelled trades, or trades subsequently amended and rebooked.</w:t>
      </w:r>
    </w:p>
    <w:p>
      <w:pPr>
        <w:pStyle w:val="ListParagraph"/>
        <w:numPr>
          <w:ilvl w:val="0"/>
          <w:numId w:val="2"/>
        </w:numPr>
        <w:spacing w:after="160"/>
      </w:pPr>
      <w:r>
        <w:rPr>
          <w:rFonts w:ascii="Arial" w:cs="Arial" w:eastAsia="Arial" w:hAnsi="Arial"/>
          <w:sz w:val="22"/>
          <w:szCs w:val="22"/>
        </w:rPr>
        <w:t xml:space="preserve">Outlier removal must not remove legitimate large deviations (genuine off-market trades). The intent is to clean reference-data artefacts, not to suppress true exceptions.</w:t>
      </w:r>
    </w:p>
    <w:p>
      <w:pPr>
        <w:pStyle w:val="Heading2"/>
      </w:pPr>
      <w:r>
        <w:t xml:space="preserve">5.4 Sparse Bucket Handling</w:t>
      </w:r>
    </w:p>
    <w:p>
      <w:pPr>
        <w:spacing w:after="120"/>
      </w:pPr>
      <w:r>
        <w:rPr>
          <w:rFonts w:ascii="Arial" w:cs="Arial" w:eastAsia="Arial" w:hAnsi="Arial"/>
          <w:sz w:val="22"/>
          <w:szCs w:val="22"/>
        </w:rPr>
        <w:t xml:space="preserve">The full cross-product of segmentation dimensions creates a large number of cells. Many will have insufficient trade counts for a statistically meaningful 99th percentile. The following fallback hierarchy applies when a segment has fewer than 50 trades in the calibration period:</w:t>
      </w:r>
    </w:p>
    <w:p>
      <w:pPr>
        <w:pStyle w:val="ListParagraph"/>
        <w:numPr>
          <w:ilvl w:val="0"/>
          <w:numId w:val="5"/>
        </w:numPr>
        <w:spacing w:after="80"/>
      </w:pPr>
      <w:r>
        <w:rPr>
          <w:rFonts w:ascii="Arial" w:cs="Arial" w:eastAsia="Arial" w:hAnsi="Arial"/>
          <w:sz w:val="22"/>
          <w:szCs w:val="22"/>
        </w:rPr>
        <w:t xml:space="preserve">Drop Notional Range — aggregate across all notional ranges for the same ProductSubType × Tenor × Credit Rating × Issuer Rating.</w:t>
      </w:r>
    </w:p>
    <w:p>
      <w:pPr>
        <w:pStyle w:val="ListParagraph"/>
        <w:numPr>
          <w:ilvl w:val="0"/>
          <w:numId w:val="5"/>
        </w:numPr>
        <w:spacing w:after="80"/>
      </w:pPr>
      <w:r>
        <w:rPr>
          <w:rFonts w:ascii="Arial" w:cs="Arial" w:eastAsia="Arial" w:hAnsi="Arial"/>
          <w:sz w:val="22"/>
          <w:szCs w:val="22"/>
        </w:rPr>
        <w:t xml:space="preserve">Drop Issuer Rating — aggregate to ProductSubType × Tenor × Credit Rating only.</w:t>
      </w:r>
    </w:p>
    <w:p>
      <w:pPr>
        <w:pStyle w:val="ListParagraph"/>
        <w:numPr>
          <w:ilvl w:val="0"/>
          <w:numId w:val="5"/>
        </w:numPr>
        <w:spacing w:after="80"/>
      </w:pPr>
      <w:r>
        <w:rPr>
          <w:rFonts w:ascii="Arial" w:cs="Arial" w:eastAsia="Arial" w:hAnsi="Arial"/>
          <w:sz w:val="22"/>
          <w:szCs w:val="22"/>
        </w:rPr>
        <w:t xml:space="preserve">Use ProductSubType × Tenor only.</w:t>
      </w:r>
    </w:p>
    <w:p>
      <w:pPr>
        <w:pStyle w:val="ListParagraph"/>
        <w:numPr>
          <w:ilvl w:val="0"/>
          <w:numId w:val="5"/>
        </w:numPr>
        <w:spacing w:after="160"/>
      </w:pPr>
      <w:r>
        <w:rPr>
          <w:rFonts w:ascii="Arial" w:cs="Arial" w:eastAsia="Arial" w:hAnsi="Arial"/>
          <w:sz w:val="22"/>
          <w:szCs w:val="22"/>
        </w:rPr>
        <w:t xml:space="preserve">Fall back to global Default threshold for the ProductSubType.</w:t>
      </w:r>
    </w:p>
    <w:p>
      <w:pPr>
        <w:pStyle w:val="Heading2"/>
      </w:pPr>
      <w:r>
        <w:t xml:space="preserve">5.5 Example Threshold Matrix Structure</w:t>
      </w:r>
    </w:p>
    <w:p>
      <w:pPr>
        <w:spacing w:after="120"/>
      </w:pPr>
      <w:r>
        <w:rPr>
          <w:rFonts w:ascii="Arial" w:cs="Arial" w:eastAsia="Arial" w:hAnsi="Arial"/>
          <w:sz w:val="22"/>
          <w:szCs w:val="22"/>
        </w:rPr>
        <w:t xml:space="preserve">The following illustrates the matrix layout (values are illustrative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Tenor \ Rating</w:t>
            </w:r>
          </w:p>
        </w:tc>
        <w:tc>
          <w:tcPr>
            <w:tcW w:type="dxa" w:w="1872"/>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AAA–AA</w:t>
            </w:r>
          </w:p>
        </w:tc>
        <w:tc>
          <w:tcPr>
            <w:tcW w:type="dxa" w:w="1872"/>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A–BBB</w:t>
            </w:r>
          </w:p>
        </w:tc>
        <w:tc>
          <w:tcPr>
            <w:tcW w:type="dxa" w:w="1872"/>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Sub-IG</w:t>
            </w:r>
          </w:p>
        </w:tc>
        <w:tc>
          <w:tcPr>
            <w:tcW w:type="dxa" w:w="1872"/>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Default</w:t>
            </w:r>
          </w:p>
        </w:tc>
      </w:tr>
      <w:tr>
        <w:tc>
          <w:tcPr>
            <w:tcW w:type="dxa" w:w="1872"/>
            <w:tcBorders>
              <w:top w:val="single" w:color="B0B0B0" w:sz="1"/>
              <w:left w:val="single" w:color="B0B0B0" w:sz="1"/>
              <w:bottom w:val="single" w:color="B0B0B0" w:sz="1"/>
              <w:right w:val="single" w:color="B0B0B0" w:sz="1"/>
            </w:tcBorders>
            <w:shd w:fill="E8EFF7"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0–2Y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15 bps</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25 bps</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50 bps</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75 bps</w:t>
            </w:r>
          </w:p>
        </w:tc>
      </w:tr>
      <w:tr>
        <w:tc>
          <w:tcPr>
            <w:tcW w:type="dxa" w:w="1872"/>
            <w:tcBorders>
              <w:top w:val="single" w:color="B0B0B0" w:sz="1"/>
              <w:left w:val="single" w:color="B0B0B0" w:sz="1"/>
              <w:bottom w:val="single" w:color="B0B0B0" w:sz="1"/>
              <w:right w:val="single" w:color="B0B0B0" w:sz="1"/>
            </w:tcBorders>
            <w:shd w:fill="E8EFF7"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2–5Y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20 bps</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35 bps</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65 bps</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90 bps</w:t>
            </w:r>
          </w:p>
        </w:tc>
      </w:tr>
      <w:tr>
        <w:tc>
          <w:tcPr>
            <w:tcW w:type="dxa" w:w="1872"/>
            <w:tcBorders>
              <w:top w:val="single" w:color="B0B0B0" w:sz="1"/>
              <w:left w:val="single" w:color="B0B0B0" w:sz="1"/>
              <w:bottom w:val="single" w:color="B0B0B0" w:sz="1"/>
              <w:right w:val="single" w:color="B0B0B0" w:sz="1"/>
            </w:tcBorders>
            <w:shd w:fill="E8EFF7"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5–10Y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30 bps</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50 bps</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85 bps</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120 bps</w:t>
            </w:r>
          </w:p>
        </w:tc>
      </w:tr>
      <w:tr>
        <w:tc>
          <w:tcPr>
            <w:tcW w:type="dxa" w:w="1872"/>
            <w:tcBorders>
              <w:top w:val="single" w:color="B0B0B0" w:sz="1"/>
              <w:left w:val="single" w:color="B0B0B0" w:sz="1"/>
              <w:bottom w:val="single" w:color="B0B0B0" w:sz="1"/>
              <w:right w:val="single" w:color="B0B0B0" w:sz="1"/>
            </w:tcBorders>
            <w:shd w:fill="E8EFF7"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10Y+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45 bps</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70 bps</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110 bps</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150 bps</w:t>
            </w:r>
          </w:p>
        </w:tc>
      </w:tr>
    </w:tbl>
    <w:p>
      <w:pPr>
        <w:spacing w:after="120"/>
      </w:pPr>
      <w:r>
        <w:rPr>
          <w:rFonts w:ascii="Arial" w:cs="Arial" w:eastAsia="Arial" w:hAnsi="Arial"/>
          <w:i/>
          <w:iCs/>
          <w:sz w:val="22"/>
          <w:szCs w:val="22"/>
        </w:rPr>
        <w:t xml:space="preserve">Note: Values above are illustrative. Actual thresholds are derived from the 99th percentile calibration on BRV data, post rounding.</w:t>
      </w:r>
    </w:p>
    <w:p>
      <w:r>
        <w:br w:type="page"/>
      </w:r>
    </w:p>
    <w:p>
      <w:pPr>
        <w:pStyle w:val="Heading1"/>
      </w:pPr>
      <w:r>
        <w:t xml:space="preserve">6. Backtesting Framework</w:t>
      </w:r>
    </w:p>
    <w:p>
      <w:pPr>
        <w:pStyle w:val="Heading2"/>
      </w:pPr>
      <w:r>
        <w:t xml:space="preserve">6.1 Purpose</w:t>
      </w:r>
    </w:p>
    <w:p>
      <w:pPr>
        <w:spacing w:after="120"/>
      </w:pPr>
      <w:r>
        <w:rPr>
          <w:rFonts w:ascii="Arial" w:cs="Arial" w:eastAsia="Arial" w:hAnsi="Arial"/>
          <w:sz w:val="22"/>
          <w:szCs w:val="22"/>
        </w:rPr>
        <w:t xml:space="preserve">Backtesting validates whether the calibrated thresholds effectively distinguish genuine off-market trades from normal market deviations. It is performed after calibration (pre-deployment) and periodically thereafter (post-deployment monitoring).</w:t>
      </w:r>
    </w:p>
    <w:p>
      <w:pPr>
        <w:pStyle w:val="Heading2"/>
      </w:pPr>
      <w:r>
        <w:t xml:space="preserve">6.2 Ground Truth Definition</w:t>
      </w:r>
    </w:p>
    <w:p>
      <w:pPr>
        <w:spacing w:after="120"/>
      </w:pPr>
      <w:r>
        <w:rPr>
          <w:rFonts w:ascii="Arial" w:cs="Arial" w:eastAsia="Arial" w:hAnsi="Arial"/>
          <w:sz w:val="22"/>
          <w:szCs w:val="22"/>
        </w:rPr>
        <w:t xml:space="preserve">The ground truth for backtest evaluation is derived from the L1/L2 resolution status of historical EPE exceptions:</w:t>
      </w:r>
    </w:p>
    <w:p>
      <w:pPr>
        <w:pStyle w:val="ListParagraph"/>
        <w:numPr>
          <w:ilvl w:val="0"/>
          <w:numId w:val="2"/>
        </w:numPr>
        <w:spacing w:after="80"/>
      </w:pPr>
      <w:r>
        <w:rPr>
          <w:rFonts w:ascii="Arial" w:cs="Arial" w:eastAsia="Arial" w:hAnsi="Arial"/>
          <w:b/>
          <w:bCs/>
          <w:sz w:val="22"/>
          <w:szCs w:val="22"/>
        </w:rPr>
        <w:t xml:space="preserve">True Positive: </w:t>
      </w:r>
      <w:r>
        <w:rPr>
          <w:rFonts w:ascii="Arial" w:cs="Arial" w:eastAsia="Arial" w:hAnsi="Arial"/>
          <w:sz w:val="22"/>
          <w:szCs w:val="22"/>
        </w:rPr>
        <w:t xml:space="preserve">Trade breached the threshold AND was escalated to L2 (confirmed genuine off-market trade).</w:t>
      </w:r>
    </w:p>
    <w:p>
      <w:pPr>
        <w:pStyle w:val="ListParagraph"/>
        <w:numPr>
          <w:ilvl w:val="0"/>
          <w:numId w:val="2"/>
        </w:numPr>
        <w:spacing w:after="80"/>
      </w:pPr>
      <w:r>
        <w:rPr>
          <w:rFonts w:ascii="Arial" w:cs="Arial" w:eastAsia="Arial" w:hAnsi="Arial"/>
          <w:b/>
          <w:bCs/>
          <w:sz w:val="22"/>
          <w:szCs w:val="22"/>
        </w:rPr>
        <w:t xml:space="preserve">False Positive: </w:t>
      </w:r>
      <w:r>
        <w:rPr>
          <w:rFonts w:ascii="Arial" w:cs="Arial" w:eastAsia="Arial" w:hAnsi="Arial"/>
          <w:sz w:val="22"/>
          <w:szCs w:val="22"/>
        </w:rPr>
        <w:t xml:space="preserve">Trade breached the threshold BUT was resolved at L1 as a non-issue (legitimate deviation, data timing, explained spread).</w:t>
      </w:r>
    </w:p>
    <w:p>
      <w:pPr>
        <w:pStyle w:val="ListParagraph"/>
        <w:numPr>
          <w:ilvl w:val="0"/>
          <w:numId w:val="2"/>
        </w:numPr>
        <w:spacing w:after="80"/>
      </w:pPr>
      <w:r>
        <w:rPr>
          <w:rFonts w:ascii="Arial" w:cs="Arial" w:eastAsia="Arial" w:hAnsi="Arial"/>
          <w:b/>
          <w:bCs/>
          <w:sz w:val="22"/>
          <w:szCs w:val="22"/>
        </w:rPr>
        <w:t xml:space="preserve">False Negative: </w:t>
      </w:r>
      <w:r>
        <w:rPr>
          <w:rFonts w:ascii="Arial" w:cs="Arial" w:eastAsia="Arial" w:hAnsi="Arial"/>
          <w:sz w:val="22"/>
          <w:szCs w:val="22"/>
        </w:rPr>
        <w:t xml:space="preserve">Trade did NOT breach the threshold but was subsequently identified through other means as genuinely off-market. This is the most dangerous failure mode.</w:t>
      </w:r>
    </w:p>
    <w:p>
      <w:pPr>
        <w:pStyle w:val="ListParagraph"/>
        <w:numPr>
          <w:ilvl w:val="0"/>
          <w:numId w:val="2"/>
        </w:numPr>
        <w:spacing w:after="160"/>
      </w:pPr>
      <w:r>
        <w:rPr>
          <w:rFonts w:ascii="Arial" w:cs="Arial" w:eastAsia="Arial" w:hAnsi="Arial"/>
          <w:b/>
          <w:bCs/>
          <w:sz w:val="22"/>
          <w:szCs w:val="22"/>
        </w:rPr>
        <w:t xml:space="preserve">True Negative: </w:t>
      </w:r>
      <w:r>
        <w:rPr>
          <w:rFonts w:ascii="Arial" w:cs="Arial" w:eastAsia="Arial" w:hAnsi="Arial"/>
          <w:sz w:val="22"/>
          <w:szCs w:val="22"/>
        </w:rPr>
        <w:t xml:space="preserve">Trade did not breach the threshold and is confirmed as correctly priced.</w:t>
      </w:r>
    </w:p>
    <w:p>
      <w:pPr>
        <w:pStyle w:val="Heading2"/>
      </w:pPr>
      <w:r>
        <w:t xml:space="preserve">6.3 Backtest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Metric</w:t>
            </w:r>
          </w:p>
        </w:tc>
        <w:tc>
          <w:tcPr>
            <w:tcW w:type="dxa" w:w="351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Formula</w:t>
            </w:r>
          </w:p>
        </w:tc>
        <w:tc>
          <w:tcPr>
            <w:tcW w:type="dxa" w:w="351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Target / Guidance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Precision</w:t>
            </w:r>
          </w:p>
        </w:tc>
        <w:tc>
          <w:tcPr>
            <w:tcW w:type="dxa" w:w="351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TP / (TP + FP)</w:t>
            </w:r>
          </w:p>
        </w:tc>
        <w:tc>
          <w:tcPr>
            <w:tcW w:type="dxa" w:w="351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Higher precision = fewer false alerts. Target depends on QA team capacity.</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Recall</w:t>
            </w:r>
          </w:p>
        </w:tc>
        <w:tc>
          <w:tcPr>
            <w:tcW w:type="dxa" w:w="351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TP / (TP + FN)</w:t>
            </w:r>
          </w:p>
        </w:tc>
        <w:tc>
          <w:tcPr>
            <w:tcW w:type="dxa" w:w="351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Must remain high (&gt;95%). Missing genuine off-market trades is the worst-case control failure.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False Positive Rate</w:t>
            </w:r>
          </w:p>
        </w:tc>
        <w:tc>
          <w:tcPr>
            <w:tcW w:type="dxa" w:w="351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FP / (FP + TN)</w:t>
            </w:r>
          </w:p>
        </w:tc>
        <w:tc>
          <w:tcPr>
            <w:tcW w:type="dxa" w:w="351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Monitor trend over time. A rising FP rate indicates threshold staleness.</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Alert Volume</w:t>
            </w:r>
          </w:p>
        </w:tc>
        <w:tc>
          <w:tcPr>
            <w:tcW w:type="dxa" w:w="351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Total EPE exception count per day/week</w:t>
            </w:r>
          </w:p>
        </w:tc>
        <w:tc>
          <w:tcPr>
            <w:tcW w:type="dxa" w:w="351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Must be operationally manageable for the QA team. Sudden spikes indicate regime change.</w:t>
            </w:r>
          </w:p>
        </w:tc>
      </w:tr>
    </w:tbl>
    <w:p>
      <w:pPr>
        <w:spacing w:after="120"/>
      </w:pPr>
      <w:r>
        <w:rPr>
          <w:rFonts w:ascii="Arial" w:cs="Arial" w:eastAsia="Arial" w:hAnsi="Arial"/>
          <w:sz w:val="22"/>
          <w:szCs w:val="22"/>
        </w:rPr>
        <w:t xml:space="preserve"/>
      </w:r>
    </w:p>
    <w:p>
      <w:pPr>
        <w:pStyle w:val="Heading2"/>
      </w:pPr>
      <w:r>
        <w:t xml:space="preserve">6.4 Backtest Procedure</w:t>
      </w:r>
    </w:p>
    <w:p>
      <w:pPr>
        <w:pStyle w:val="ListParagraph"/>
        <w:numPr>
          <w:ilvl w:val="0"/>
          <w:numId w:val="6"/>
        </w:numPr>
        <w:spacing w:after="80"/>
      </w:pPr>
      <w:r>
        <w:rPr>
          <w:rFonts w:ascii="Arial" w:cs="Arial" w:eastAsia="Arial" w:hAnsi="Arial"/>
          <w:sz w:val="22"/>
          <w:szCs w:val="22"/>
        </w:rPr>
        <w:t xml:space="preserve">Apply the proposed (post-rounding) thresholds to the full historical BRV trade data for the calibration period.</w:t>
      </w:r>
    </w:p>
    <w:p>
      <w:pPr>
        <w:pStyle w:val="ListParagraph"/>
        <w:numPr>
          <w:ilvl w:val="0"/>
          <w:numId w:val="6"/>
        </w:numPr>
        <w:spacing w:after="80"/>
      </w:pPr>
      <w:r>
        <w:rPr>
          <w:rFonts w:ascii="Arial" w:cs="Arial" w:eastAsia="Arial" w:hAnsi="Arial"/>
          <w:sz w:val="22"/>
          <w:szCs w:val="22"/>
        </w:rPr>
        <w:t xml:space="preserve">Identify which trades would have breached under the new thresholds vs. the old thresholds.</w:t>
      </w:r>
    </w:p>
    <w:p>
      <w:pPr>
        <w:pStyle w:val="ListParagraph"/>
        <w:numPr>
          <w:ilvl w:val="0"/>
          <w:numId w:val="6"/>
        </w:numPr>
        <w:spacing w:after="80"/>
      </w:pPr>
      <w:r>
        <w:rPr>
          <w:rFonts w:ascii="Arial" w:cs="Arial" w:eastAsia="Arial" w:hAnsi="Arial"/>
          <w:sz w:val="22"/>
          <w:szCs w:val="22"/>
        </w:rPr>
        <w:t xml:space="preserve">Join to the historical EPE resolution labels (L1/L2 outcomes) to classify each trade as TP, FP, FN, or TN.</w:t>
      </w:r>
    </w:p>
    <w:p>
      <w:pPr>
        <w:pStyle w:val="ListParagraph"/>
        <w:numPr>
          <w:ilvl w:val="0"/>
          <w:numId w:val="6"/>
        </w:numPr>
        <w:spacing w:after="80"/>
      </w:pPr>
      <w:r>
        <w:rPr>
          <w:rFonts w:ascii="Arial" w:cs="Arial" w:eastAsia="Arial" w:hAnsi="Arial"/>
          <w:sz w:val="22"/>
          <w:szCs w:val="22"/>
        </w:rPr>
        <w:t xml:space="preserve">Compute precision, recall, FP rate, and alert volume for both pre-rounding and post-rounding thresholds.</w:t>
      </w:r>
    </w:p>
    <w:p>
      <w:pPr>
        <w:pStyle w:val="ListParagraph"/>
        <w:numPr>
          <w:ilvl w:val="0"/>
          <w:numId w:val="6"/>
        </w:numPr>
        <w:spacing w:after="160"/>
      </w:pPr>
      <w:r>
        <w:rPr>
          <w:rFonts w:ascii="Arial" w:cs="Arial" w:eastAsia="Arial" w:hAnsi="Arial"/>
          <w:sz w:val="22"/>
          <w:szCs w:val="22"/>
        </w:rPr>
        <w:t xml:space="preserve">Confirm that the manual rounding step has not materially degraded recall or caused an unacceptable increase in alert volume.</w:t>
      </w:r>
    </w:p>
    <w:p>
      <w:r>
        <w:br w:type="page"/>
      </w:r>
    </w:p>
    <w:p>
      <w:pPr>
        <w:pStyle w:val="Heading1"/>
      </w:pPr>
      <w:r>
        <w:t xml:space="preserve">7. Alerting Logic and Escalation</w:t>
      </w:r>
    </w:p>
    <w:p>
      <w:pPr>
        <w:pStyle w:val="Heading2"/>
      </w:pPr>
      <w:r>
        <w:t xml:space="preserve">7.1 Alert Triggering</w:t>
      </w:r>
    </w:p>
    <w:p>
      <w:pPr>
        <w:spacing w:after="120"/>
      </w:pPr>
      <w:r>
        <w:rPr>
          <w:rFonts w:ascii="Arial" w:cs="Arial" w:eastAsia="Arial" w:hAnsi="Arial"/>
          <w:sz w:val="22"/>
          <w:szCs w:val="22"/>
        </w:rPr>
        <w:t xml:space="preserve">An alert is generated when the calculated deviation exceeds the threshold for the trade’s segment key. The alerting logic operates on a per-trade basis:</w:t>
      </w:r>
    </w:p>
    <w:p>
      <w:pPr>
        <w:pStyle w:val="ListParagraph"/>
        <w:numPr>
          <w:ilvl w:val="0"/>
          <w:numId w:val="2"/>
        </w:numPr>
        <w:spacing w:after="80"/>
      </w:pPr>
      <w:r>
        <w:rPr>
          <w:rFonts w:ascii="Arial" w:cs="Arial" w:eastAsia="Arial" w:hAnsi="Arial"/>
          <w:sz w:val="22"/>
          <w:szCs w:val="22"/>
        </w:rPr>
        <w:t xml:space="preserve">Single-source check: Reuters/LSEG is the sole reference source. There is no OR-across-sources or AND-across-sources logic in the current implementation since only one source is used.</w:t>
      </w:r>
    </w:p>
    <w:p>
      <w:pPr>
        <w:pStyle w:val="ListParagraph"/>
        <w:numPr>
          <w:ilvl w:val="0"/>
          <w:numId w:val="2"/>
        </w:numPr>
        <w:spacing w:after="80"/>
      </w:pPr>
      <w:r>
        <w:rPr>
          <w:rFonts w:ascii="Arial" w:cs="Arial" w:eastAsia="Arial" w:hAnsi="Arial"/>
          <w:sz w:val="22"/>
          <w:szCs w:val="22"/>
        </w:rPr>
        <w:t xml:space="preserve">The breach determination is binary: the deviation either exceeds the threshold (alert) or it does not (pass).</w:t>
      </w:r>
    </w:p>
    <w:p>
      <w:pPr>
        <w:pStyle w:val="ListParagraph"/>
        <w:numPr>
          <w:ilvl w:val="0"/>
          <w:numId w:val="2"/>
        </w:numPr>
        <w:spacing w:after="160"/>
      </w:pPr>
      <w:r>
        <w:rPr>
          <w:rFonts w:ascii="Arial" w:cs="Arial" w:eastAsia="Arial" w:hAnsi="Arial"/>
          <w:sz w:val="22"/>
          <w:szCs w:val="22"/>
        </w:rPr>
        <w:t xml:space="preserve">Both intraday (real-time or near-real-time) and end-of-day (EOD) checks are performed. A trade can trigger one or both alert types.</w:t>
      </w:r>
    </w:p>
    <w:p>
      <w:pPr>
        <w:pStyle w:val="Heading2"/>
      </w:pPr>
      <w:r>
        <w:t xml:space="preserve">7.2 Escalation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Level</w:t>
            </w:r>
          </w:p>
        </w:tc>
        <w:tc>
          <w:tcPr>
            <w:tcW w:type="dxa" w:w="2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Owner</w:t>
            </w:r>
          </w:p>
        </w:tc>
        <w:tc>
          <w:tcPr>
            <w:tcW w:type="dxa" w:w="2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Action</w:t>
            </w:r>
          </w:p>
        </w:tc>
        <w:tc>
          <w:tcPr>
            <w:tcW w:type="dxa" w:w="2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Outcome</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L1</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QA / Operations Team</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Review alert context: trade details, market conditions, counterparty, reference data quality. Determine if deviation is explained.</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Resolve as false positive (close) or escalate to L2.</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L2</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Senior Operations / Control Manager</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Deep investigation: contact front office, review pricing model, check for booking errors or unauthorised dealing.</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Remediate (amend booking), flag for governance reporting, or close with documented justification.</w:t>
            </w:r>
          </w:p>
        </w:tc>
      </w:tr>
    </w:tbl>
    <w:p>
      <w:pPr>
        <w:spacing w:after="120"/>
      </w:pPr>
      <w:r>
        <w:rPr>
          <w:rFonts w:ascii="Arial" w:cs="Arial" w:eastAsia="Arial" w:hAnsi="Arial"/>
          <w:sz w:val="22"/>
          <w:szCs w:val="22"/>
        </w:rPr>
        <w:t xml:space="preserve"/>
      </w:r>
    </w:p>
    <w:p>
      <w:r>
        <w:br w:type="page"/>
      </w:r>
    </w:p>
    <w:p>
      <w:pPr>
        <w:pStyle w:val="Heading1"/>
      </w:pPr>
      <w:r>
        <w:t xml:space="preserve">8. Calibration Frequency and Governance</w:t>
      </w:r>
    </w:p>
    <w:p>
      <w:pPr>
        <w:pStyle w:val="Heading2"/>
      </w:pPr>
      <w:r>
        <w:t xml:space="preserve">8.1 Current Cadence</w:t>
      </w:r>
    </w:p>
    <w:p>
      <w:pPr>
        <w:spacing w:after="120"/>
      </w:pPr>
      <w:r>
        <w:rPr>
          <w:rFonts w:ascii="Arial" w:cs="Arial" w:eastAsia="Arial" w:hAnsi="Arial"/>
          <w:sz w:val="22"/>
          <w:szCs w:val="22"/>
        </w:rPr>
        <w:t xml:space="preserve">Threshold calibration is performed annually. The calibrated thresholds are static for the entire calendar year following deployment. This provides auditability, stability, and avoids threshold churn that could complicate governance sign-off.</w:t>
      </w:r>
    </w:p>
    <w:p>
      <w:pPr>
        <w:pStyle w:val="Heading2"/>
      </w:pPr>
      <w:r>
        <w:t xml:space="preserve">8.2 Known Limitations of Annual-Static Calibration</w:t>
      </w:r>
    </w:p>
    <w:p>
      <w:pPr>
        <w:spacing w:after="120"/>
      </w:pPr>
      <w:r>
        <w:rPr>
          <w:rFonts w:ascii="Arial" w:cs="Arial" w:eastAsia="Arial" w:hAnsi="Arial"/>
          <w:sz w:val="22"/>
          <w:szCs w:val="22"/>
        </w:rPr>
        <w:t xml:space="preserve">Bond price and yield volatility is not stationary across a calendar year. Credit spreads widen and narrow with macro-economic cycles, rate moves, and idiosyncratic issuer events. An annual-static threshold will be:</w:t>
      </w:r>
    </w:p>
    <w:p>
      <w:pPr>
        <w:pStyle w:val="ListParagraph"/>
        <w:numPr>
          <w:ilvl w:val="0"/>
          <w:numId w:val="2"/>
        </w:numPr>
        <w:spacing w:after="80"/>
      </w:pPr>
      <w:r>
        <w:rPr>
          <w:rFonts w:ascii="Arial" w:cs="Arial" w:eastAsia="Arial" w:hAnsi="Arial"/>
          <w:sz w:val="22"/>
          <w:szCs w:val="22"/>
        </w:rPr>
        <w:t xml:space="preserve">Too tight during low-volatility periods — generating a surge in false positive alerts and creating alert fatigue for the QA team.</w:t>
      </w:r>
    </w:p>
    <w:p>
      <w:pPr>
        <w:pStyle w:val="ListParagraph"/>
        <w:numPr>
          <w:ilvl w:val="0"/>
          <w:numId w:val="2"/>
        </w:numPr>
        <w:spacing w:after="80"/>
      </w:pPr>
      <w:r>
        <w:rPr>
          <w:rFonts w:ascii="Arial" w:cs="Arial" w:eastAsia="Arial" w:hAnsi="Arial"/>
          <w:sz w:val="22"/>
          <w:szCs w:val="22"/>
        </w:rPr>
        <w:t xml:space="preserve">Too loose during high-volatility periods (rate shocks, credit events) — allowing genuine off-market trades to pass undetected, which is the more serious control failure.</w:t>
      </w:r>
    </w:p>
    <w:p>
      <w:pPr>
        <w:pStyle w:val="ListParagraph"/>
        <w:numPr>
          <w:ilvl w:val="0"/>
          <w:numId w:val="2"/>
        </w:numPr>
        <w:spacing w:after="160"/>
      </w:pPr>
      <w:r>
        <w:rPr>
          <w:rFonts w:ascii="Arial" w:cs="Arial" w:eastAsia="Arial" w:hAnsi="Arial"/>
          <w:sz w:val="22"/>
          <w:szCs w:val="22"/>
        </w:rPr>
        <w:t xml:space="preserve">Different segmentation buckets (tenor/rating) drift at different rates, meaning some cells go stale faster than others within the same year.</w:t>
      </w:r>
    </w:p>
    <w:p>
      <w:pPr>
        <w:pStyle w:val="Heading2"/>
      </w:pPr>
      <w:r>
        <w:t xml:space="preserve">8.3 Recommended Interim Monitoring</w:t>
      </w:r>
    </w:p>
    <w:p>
      <w:pPr>
        <w:spacing w:after="120"/>
      </w:pPr>
      <w:r>
        <w:rPr>
          <w:rFonts w:ascii="Arial" w:cs="Arial" w:eastAsia="Arial" w:hAnsi="Arial"/>
          <w:sz w:val="22"/>
          <w:szCs w:val="22"/>
        </w:rPr>
        <w:t xml:space="preserve">To mitigate the limitations of annual calibration without abandoning its governance benefits, the following interim monitoring mechanism is recommended:</w:t>
      </w:r>
    </w:p>
    <w:p>
      <w:pPr>
        <w:spacing w:after="120"/>
      </w:pPr>
      <w:r>
        <w:rPr>
          <w:rFonts w:ascii="Arial" w:cs="Arial" w:eastAsia="Arial" w:hAnsi="Arial"/>
          <w:b/>
          <w:bCs/>
          <w:sz w:val="22"/>
          <w:szCs w:val="22"/>
        </w:rPr>
        <w:t xml:space="preserve">Quarterly Health-Check: </w:t>
      </w:r>
      <w:r>
        <w:rPr>
          <w:rFonts w:ascii="Arial" w:cs="Arial" w:eastAsia="Arial" w:hAnsi="Arial"/>
          <w:sz w:val="22"/>
          <w:szCs w:val="22"/>
        </w:rPr>
        <w:t xml:space="preserve">Re-run the backtest (Section 6) quarterly against the most recent 3 months of BRV/EPE data. Compare precision, recall, and alert volume against the original calibration baseline. If false positive rate doubles or recall drops below 90%, this triggers a recalibration review.</w:t>
      </w:r>
    </w:p>
    <w:p>
      <w:pPr>
        <w:spacing w:after="120"/>
      </w:pPr>
      <w:r>
        <w:rPr>
          <w:rFonts w:ascii="Arial" w:cs="Arial" w:eastAsia="Arial" w:hAnsi="Arial"/>
          <w:b/>
          <w:bCs/>
          <w:sz w:val="22"/>
          <w:szCs w:val="22"/>
        </w:rPr>
        <w:t xml:space="preserve">Trigger-Based Recalibration: </w:t>
      </w:r>
      <w:r>
        <w:rPr>
          <w:rFonts w:ascii="Arial" w:cs="Arial" w:eastAsia="Arial" w:hAnsi="Arial"/>
          <w:sz w:val="22"/>
          <w:szCs w:val="22"/>
        </w:rPr>
        <w:t xml:space="preserve">Define explicit trigger conditions (e.g., a significant rate shock, credit market dislocation, or a sustained shift in alert volume exceeding 2x the monthly average for more than two consecutive weeks) that mandate an ad hoc recalibration outside the annual cycle.</w:t>
      </w:r>
    </w:p>
    <w:p>
      <w:pPr>
        <w:spacing w:after="120"/>
      </w:pPr>
      <w:r>
        <w:rPr>
          <w:rFonts w:ascii="Arial" w:cs="Arial" w:eastAsia="Arial" w:hAnsi="Arial"/>
          <w:b/>
          <w:bCs/>
          <w:sz w:val="22"/>
          <w:szCs w:val="22"/>
        </w:rPr>
        <w:t xml:space="preserve">Governance Approval: </w:t>
      </w:r>
      <w:r>
        <w:rPr>
          <w:rFonts w:ascii="Arial" w:cs="Arial" w:eastAsia="Arial" w:hAnsi="Arial"/>
          <w:sz w:val="22"/>
          <w:szCs w:val="22"/>
        </w:rPr>
        <w:t xml:space="preserve">Any mid-year recalibration requires the same approval workflow as the annual calibration (methodology sign-off, backtest validation, threshold matrix review) to maintain audit integrity.</w:t>
      </w:r>
    </w:p>
    <w:p>
      <w:r>
        <w:br w:type="page"/>
      </w:r>
    </w:p>
    <w:p>
      <w:pPr>
        <w:pStyle w:val="Heading1"/>
      </w:pPr>
      <w:r>
        <w:t xml:space="preserve">9. AI/ML Enhancement Roadmap</w:t>
      </w:r>
    </w:p>
    <w:p>
      <w:pPr>
        <w:spacing w:after="120"/>
      </w:pPr>
      <w:r>
        <w:rPr>
          <w:rFonts w:ascii="Arial" w:cs="Arial" w:eastAsia="Arial" w:hAnsi="Arial"/>
          <w:sz w:val="22"/>
          <w:szCs w:val="22"/>
        </w:rPr>
        <w:t xml:space="preserve">The following enhancements are proposed to address the structural limitations of static threshold calibration and to reduce the operational burden of exception processing. They are presented in recommended implementation sequence.</w:t>
      </w:r>
    </w:p>
    <w:p>
      <w:pPr>
        <w:pStyle w:val="Heading2"/>
      </w:pPr>
      <w:r>
        <w:t xml:space="preserve">9.1 Phase 1: Adaptive Threshold (No ML)</w:t>
      </w:r>
    </w:p>
    <w:p>
      <w:pPr>
        <w:spacing w:after="120"/>
      </w:pPr>
      <w:r>
        <w:rPr>
          <w:rFonts w:ascii="Arial" w:cs="Arial" w:eastAsia="Arial" w:hAnsi="Arial"/>
          <w:sz w:val="22"/>
          <w:szCs w:val="22"/>
        </w:rPr>
        <w:t xml:space="preserve">Replace the static 99th percentile with a rolling conditional threshold that reacts to market conditions automatically. The threshold is defined as: Rolling Median Deviation + K × Rolling MAD, where K is calibrated annually but the Median and MAD values update on a trailing 60–90 day window, refreshed weekly. This produces a threshold that widens automatically during volatile markets and tightens during calm periods, without requiring governance re-approval for the multiplier K.</w:t>
      </w:r>
    </w:p>
    <w:p>
      <w:pPr>
        <w:pStyle w:val="Heading2"/>
      </w:pPr>
      <w:r>
        <w:t xml:space="preserve">9.2 Phase 2: Anomaly Detection Model</w:t>
      </w:r>
    </w:p>
    <w:p>
      <w:pPr>
        <w:spacing w:after="120"/>
      </w:pPr>
      <w:r>
        <w:rPr>
          <w:rFonts w:ascii="Arial" w:cs="Arial" w:eastAsia="Arial" w:hAnsi="Arial"/>
          <w:sz w:val="22"/>
          <w:szCs w:val="22"/>
        </w:rPr>
        <w:t xml:space="preserve">Train an unsupervised Isolation Forest model per segment that learns normal deviation patterns from contextual features (price deviation, bid-ask spread, trade notional, days-to-maturity, recent segment volatility, time-of-day). The model assigns an anomaly score to each trade, replacing the binary threshold breach with a continuous risk score. SHAP explainability is applied to each flagged alert to provide transparent reasoning for the QA team.</w:t>
      </w:r>
    </w:p>
    <w:p>
      <w:pPr>
        <w:pStyle w:val="Heading2"/>
      </w:pPr>
      <w:r>
        <w:t xml:space="preserve">9.3 Phase 3: Supervised Alert Triage Classifier</w:t>
      </w:r>
    </w:p>
    <w:p>
      <w:pPr>
        <w:spacing w:after="120"/>
      </w:pPr>
      <w:r>
        <w:rPr>
          <w:rFonts w:ascii="Arial" w:cs="Arial" w:eastAsia="Arial" w:hAnsi="Arial"/>
          <w:sz w:val="22"/>
          <w:szCs w:val="22"/>
        </w:rPr>
        <w:t xml:space="preserve">Train a supervised model (XGBoost/LightGBM) on historical EPE alerts labelled by their L1/L2 resolution outcome. This model predicts the probability of each new alert being a genuine exception vs. a false positive. The QA team receives alerts ranked by probability, working the highest-confidence genuine exceptions first. Low-confidence alerts can be deprioritised or auto-resolved, reducing review workload by an estimated 40–60%.</w:t>
      </w:r>
    </w:p>
    <w:p>
      <w:pPr>
        <w:pStyle w:val="Heading2"/>
      </w:pPr>
      <w:r>
        <w:t xml:space="preserve">9.4 Phase 4: Regime Change Detection</w:t>
      </w:r>
    </w:p>
    <w:p>
      <w:pPr>
        <w:spacing w:after="120"/>
      </w:pPr>
      <w:r>
        <w:rPr>
          <w:rFonts w:ascii="Arial" w:cs="Arial" w:eastAsia="Arial" w:hAnsi="Arial"/>
          <w:sz w:val="22"/>
          <w:szCs w:val="22"/>
        </w:rPr>
        <w:t xml:space="preserve">Deploy a changepoint detection algorithm (PELT or Hidden Markov Model) on the rolling deviation distributions per segment. When a regime change is detected (calm to volatile or vice versa), the system automatically triggers a threshold recalibration using the new regime’s data, replacing the manual trigger-based process described in Section 8.3.</w:t>
      </w:r>
    </w:p>
    <w:p>
      <w:pPr>
        <w:pStyle w:val="Heading2"/>
      </w:pPr>
      <w:r>
        <w:t xml:space="preserve">9.5 Phase 5: GenAI Exception Enrichment</w:t>
      </w:r>
    </w:p>
    <w:p>
      <w:pPr>
        <w:spacing w:after="120"/>
      </w:pPr>
      <w:r>
        <w:rPr>
          <w:rFonts w:ascii="Arial" w:cs="Arial" w:eastAsia="Arial" w:hAnsi="Arial"/>
          <w:sz w:val="22"/>
          <w:szCs w:val="22"/>
        </w:rPr>
        <w:t xml:space="preserve">Integrate a GenAI layer to auto-generate root cause hypotheses per alert (stale price, illiquid ISIN, market event, booking error), suggested resolution actions, and draft Jira ticket content per ISIN. This forms the Off-Market Rate Exception Triage Agent capability, building on the QA sampling and automated Jira creation roadmap.</w:t>
      </w:r>
    </w:p>
    <w:p>
      <w:r>
        <w:br w:type="page"/>
      </w:r>
    </w:p>
    <w:p>
      <w:pPr>
        <w:pStyle w:val="Heading1"/>
      </w:pPr>
      <w:r>
        <w:t xml:space="preserve">10. Open Items and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4290"/>
        <w:gridCol w:w="2340"/>
        <w:gridCol w:w="1950"/>
      </w:tblGrid>
      <w:tr>
        <w:tc>
          <w:tcPr>
            <w:tcW w:type="dxa" w:w="78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429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Item</w:t>
            </w:r>
          </w:p>
        </w:tc>
        <w:tc>
          <w:tcPr>
            <w:tcW w:type="dxa" w:w="234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Status</w:t>
            </w:r>
          </w:p>
        </w:tc>
        <w:tc>
          <w:tcPr>
            <w:tcW w:type="dxa" w:w="195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Owner</w:t>
            </w:r>
          </w:p>
        </w:tc>
      </w:tr>
      <w:tr>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429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Confirm exact EPE status names used for L1/L2 resolution labelling in ground truth derivation.</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Pending confirmation</w:t>
            </w:r>
          </w:p>
        </w:tc>
        <w:tc>
          <w:tcPr>
            <w:tcW w:type="dxa" w:w="195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OMRC Team</w:t>
            </w:r>
          </w:p>
        </w:tc>
      </w:tr>
      <w:tr>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429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Confirm the correct Reuters source identifier ("RDAM" or other) used in the reference price feed.</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Pending confirmation</w:t>
            </w:r>
          </w:p>
        </w:tc>
        <w:tc>
          <w:tcPr>
            <w:tcW w:type="dxa" w:w="195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Market Data</w:t>
            </w:r>
          </w:p>
        </w:tc>
      </w:tr>
      <w:tr>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w:t>
            </w:r>
          </w:p>
        </w:tc>
        <w:tc>
          <w:tcPr>
            <w:tcW w:type="dxa" w:w="429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Confirm whether OR-across-sources alerting logic applies if additional price sources are introduced in future.</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Pending design decision</w:t>
            </w:r>
          </w:p>
        </w:tc>
        <w:tc>
          <w:tcPr>
            <w:tcW w:type="dxa" w:w="195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OMRC / Control</w:t>
            </w:r>
          </w:p>
        </w:tc>
      </w:tr>
      <w:tr>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w:t>
            </w:r>
          </w:p>
        </w:tc>
        <w:tc>
          <w:tcPr>
            <w:tcW w:type="dxa" w:w="429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Document the specific outlier removal rules applied during calibration (IQR, MAD multiple, or manual criteria).</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To be documented</w:t>
            </w:r>
          </w:p>
        </w:tc>
        <w:tc>
          <w:tcPr>
            <w:tcW w:type="dxa" w:w="195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OMRC AI/ML</w:t>
            </w:r>
          </w:p>
        </w:tc>
      </w:tr>
      <w:tr>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w:t>
            </w:r>
          </w:p>
        </w:tc>
        <w:tc>
          <w:tcPr>
            <w:tcW w:type="dxa" w:w="429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Define minimum sample-size rule for sparse bucket fallback hierarchy and validate fallback thresholds.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To be validated</w:t>
            </w:r>
          </w:p>
        </w:tc>
        <w:tc>
          <w:tcPr>
            <w:tcW w:type="dxa" w:w="195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OMRC AI/ML</w:t>
            </w:r>
          </w:p>
        </w:tc>
      </w:tr>
      <w:tr>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6</w:t>
            </w:r>
          </w:p>
        </w:tc>
        <w:tc>
          <w:tcPr>
            <w:tcW w:type="dxa" w:w="429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Document the manual rounding convention (e.g., round up to nearest 5bps) for reproducibility.</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To be documented</w:t>
            </w:r>
          </w:p>
        </w:tc>
        <w:tc>
          <w:tcPr>
            <w:tcW w:type="dxa" w:w="195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OMRC Team</w:t>
            </w:r>
          </w:p>
        </w:tc>
      </w:tr>
    </w:tbl>
    <w:p>
      <w:pPr>
        <w:spacing w:after="120"/>
      </w:pPr>
      <w:r>
        <w:rPr>
          <w:rFonts w:ascii="Arial" w:cs="Arial" w:eastAsia="Arial" w:hAnsi="Arial"/>
          <w:sz w:val="22"/>
          <w:szCs w:val="22"/>
        </w:rPr>
        <w:t xml:space="preserve"/>
      </w:r>
    </w:p>
    <w:p>
      <w:r>
        <w:br w:type="page"/>
      </w:r>
    </w:p>
    <w:p>
      <w:pPr>
        <w:pStyle w:val="Heading1"/>
      </w:pPr>
      <w:r>
        <w:t xml:space="preserve">11. Appendix</w:t>
      </w:r>
    </w:p>
    <w:p>
      <w:pPr>
        <w:pStyle w:val="Heading2"/>
      </w:pPr>
      <w:r>
        <w:t xml:space="preserve">11.1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Term</w:t>
            </w:r>
          </w:p>
        </w:tc>
        <w:tc>
          <w:tcPr>
            <w:tcW w:type="dxa" w:w="702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Definition</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BRV</w:t>
            </w:r>
          </w:p>
        </w:tc>
        <w:tc>
          <w:tcPr>
            <w:tcW w:type="dxa" w:w="702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Business Rule Validation. The first-stage check that compares all booked trade prices against reference market data.</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EPE</w:t>
            </w:r>
          </w:p>
        </w:tc>
        <w:tc>
          <w:tcPr>
            <w:tcW w:type="dxa" w:w="702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Exception Processing Engine. The second-stage filter that takes BRV-flagged trades and applies business filtering and outlier removal.</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TCFC</w:t>
            </w:r>
          </w:p>
        </w:tc>
        <w:tc>
          <w:tcPr>
            <w:tcW w:type="dxa" w:w="702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Trade Capture and Financial Control. The governance framework under which off-market rate checking operates.</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GDM</w:t>
            </w:r>
          </w:p>
        </w:tc>
        <w:tc>
          <w:tcPr>
            <w:tcW w:type="dxa" w:w="702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Global Debt Markets. The business line covering Cash Bonds (CBO, GBO, ABS).</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OMRC</w:t>
            </w:r>
          </w:p>
        </w:tc>
        <w:tc>
          <w:tcPr>
            <w:tcW w:type="dxa" w:w="702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Off-Market Rate Control. The specific control function within CIB Middle Office.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MAD</w:t>
            </w:r>
          </w:p>
        </w:tc>
        <w:tc>
          <w:tcPr>
            <w:tcW w:type="dxa" w:w="702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Median Absolute Deviation. A robust measure of statistical dispersion, used as an alternative to standard deviation for heavy-tailed distributions.</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Reuters/LSEG</w:t>
            </w:r>
          </w:p>
        </w:tc>
        <w:tc>
          <w:tcPr>
            <w:tcW w:type="dxa" w:w="702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The approved reference price source for Cash Bond off-market rate checking.</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L1 / L2</w:t>
            </w:r>
          </w:p>
        </w:tc>
        <w:tc>
          <w:tcPr>
            <w:tcW w:type="dxa" w:w="702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Resolution escalation levels. L1 is first-line QA review; L2 is senior investigation for confirmed exceptions.</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SHAP</w:t>
            </w:r>
          </w:p>
        </w:tc>
        <w:tc>
          <w:tcPr>
            <w:tcW w:type="dxa" w:w="702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SHapley Additive exPlanations. An ML explainability framework providing per-feature contribution to model predictions.</w:t>
            </w:r>
          </w:p>
        </w:tc>
      </w:tr>
    </w:tbl>
    <w:p>
      <w:pPr>
        <w:spacing w:after="120"/>
      </w:pPr>
      <w:r>
        <w:rPr>
          <w:rFonts w:ascii="Arial" w:cs="Arial" w:eastAsia="Arial" w:hAnsi="Arial"/>
          <w:sz w:val="22"/>
          <w:szCs w:val="22"/>
        </w:rPr>
        <w:t xml:space="preserve"/>
      </w:r>
    </w:p>
    <w:p>
      <w:pPr>
        <w:pStyle w:val="Heading2"/>
      </w:pPr>
      <w:r>
        <w:t xml:space="preserve">11.2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c>
          <w:tcPr>
            <w:tcW w:type="dxa" w:w="156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Version</w:t>
            </w:r>
          </w:p>
        </w:tc>
        <w:tc>
          <w:tcPr>
            <w:tcW w:type="dxa" w:w="156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12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312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Changes</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June 2026</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OMRC AI/ML</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Initial methodology document. Covers current calibration approach, backtesting framework, governance cadence, and AI/ML enhancement roadmap.</w:t>
            </w:r>
          </w:p>
        </w:tc>
      </w:tr>
    </w:tbl>
    <w:p>
      <w:pPr>
        <w:spacing w:after="120"/>
      </w:pPr>
      <w:r>
        <w:rPr>
          <w:rFonts w:ascii="Arial" w:cs="Arial" w:eastAsia="Arial" w:hAnsi="Arial"/>
          <w:sz w:val="22"/>
          <w:szCs w:val="22"/>
        </w:rPr>
        <w:t xml:space="preserve"/>
      </w:r>
    </w:p>
    <w:p>
      <w:pPr>
        <w:spacing w:before="400"/>
      </w:pPr>
      <w:r>
        <w:rPr>
          <w:rFonts w:ascii="Arial" w:cs="Arial" w:eastAsia="Arial" w:hAnsi="Arial"/>
          <w:i/>
          <w:iCs/>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i/>
        <w:iCs/>
        <w:color w:val="808080"/>
        <w:sz w:val="16"/>
        <w:szCs w:val="16"/>
      </w:rPr>
      <w:t xml:space="preserve">GDM Cash Bonds — Off-Market Rate Checking Methodology</w:t>
    </w:r>
    <w:r>
      <w:rPr>
        <w:rFonts w:ascii="Arial" w:cs="Arial" w:eastAsia="Arial" w:hAnsi="Arial"/>
        <w:i/>
        <w:iCs/>
        <w:color w:val="808080"/>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2026-06-29T18:55:49.727Z</dcterms:created>
  <dcterms:modified xsi:type="dcterms:W3CDTF">2026-06-29T18:55:49.727Z</dcterms:modified>
</cp:coreProperties>
</file>

<file path=docProps/custom.xml><?xml version="1.0" encoding="utf-8"?>
<Properties xmlns="http://schemas.openxmlformats.org/officeDocument/2006/custom-properties" xmlns:vt="http://schemas.openxmlformats.org/officeDocument/2006/docPropsVTypes"/>
</file>