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60"/>
        <w:jc w:val="center"/>
      </w:pPr>
      <w:r>
        <w:rPr>
          <w:rFonts w:ascii="Arial" w:cs="Arial" w:eastAsia="Arial" w:hAnsi="Arial"/>
          <w:b/>
          <w:bCs/>
          <w:color w:val="01696F"/>
          <w:sz w:val="52"/>
          <w:szCs w:val="52"/>
        </w:rPr>
        <w:t xml:space="preserve">ACCOUNTING CONTROL AI</w:t>
      </w:r>
    </w:p>
    <w:p>
      <w:pPr>
        <w:spacing w:after="200"/>
        <w:jc w:val="center"/>
      </w:pPr>
      <w:r>
        <w:rPr>
          <w:rFonts w:ascii="Arial" w:cs="Arial" w:eastAsia="Arial" w:hAnsi="Arial"/>
          <w:color w:val="28251D"/>
          <w:sz w:val="28"/>
          <w:szCs w:val="28"/>
        </w:rPr>
        <w:t xml:space="preserve">Requirement Gap Analysis &amp; Alternative Architecture</w:t>
      </w:r>
    </w:p>
    <w:p>
      <w:pPr>
        <w:spacing w:after="600"/>
        <w:jc w:val="center"/>
      </w:pPr>
      <w:r>
        <w:rPr>
          <w:rFonts w:ascii="Arial" w:cs="Arial" w:eastAsia="Arial" w:hAnsi="Arial"/>
          <w:color w:val="7A7974"/>
          <w:sz w:val="22"/>
          <w:szCs w:val="22"/>
        </w:rPr>
        <w:t xml:space="preserve">Unified AI Solution for Reconciliation Break Management</w:t>
      </w:r>
    </w:p>
    <w:p>
      <w:pPr>
        <w:spacing w:after="40"/>
        <w:jc w:val="center"/>
      </w:pPr>
      <w:r>
        <w:rPr>
          <w:rFonts w:ascii="Arial" w:cs="Arial" w:eastAsia="Arial" w:hAnsi="Arial"/>
          <w:color w:val="7A7974"/>
          <w:sz w:val="20"/>
          <w:szCs w:val="20"/>
        </w:rPr>
        <w:t xml:space="preserve">Prepared: March 2026</w:t>
      </w:r>
    </w:p>
    <w:p>
      <w:pPr>
        <w:jc w:val="center"/>
      </w:pPr>
      <w:r>
        <w:rPr>
          <w:rFonts w:ascii="Arial" w:cs="Arial" w:eastAsia="Arial" w:hAnsi="Arial"/>
          <w:color w:val="7A7974"/>
          <w:sz w:val="20"/>
          <w:szCs w:val="20"/>
        </w:rPr>
        <w:t xml:space="preserve">Classification: Internal Use Only</w:t>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01696F"/>
          <w:sz w:val="32"/>
          <w:szCs w:val="32"/>
        </w:rPr>
        <w:t xml:space="preserve">1. Executive Summary</w:t>
      </w:r>
    </w:p>
    <w:p>
      <w:pPr>
        <w:spacing w:after="80" w:line="340"/>
      </w:pPr>
      <w:r>
        <w:rPr>
          <w:rFonts w:ascii="Arial" w:cs="Arial" w:eastAsia="Arial" w:hAnsi="Arial"/>
          <w:color w:val="28251D"/>
          <w:sz w:val="21"/>
          <w:szCs w:val="21"/>
        </w:rPr>
        <w:t xml:space="preserve">This document presents a comprehensive gap analysis of the current accounting control reconciliation break management system and proposes a unified AI-based alternative architecture. The analysis is based on the existing dataset (621,804 records across 41 columns) and the documented requirements for historical trend analysis, break categorization, and manual effort reduction.</w:t>
      </w:r>
    </w:p>
    <w:p>
      <w:pPr>
        <w:spacing w:after="40"/>
      </w:pPr>
    </w:p>
    <w:p>
      <w:pPr>
        <w:spacing w:after="80" w:line="340"/>
      </w:pPr>
      <w:r>
        <w:rPr>
          <w:rFonts w:ascii="Arial" w:cs="Arial" w:eastAsia="Arial" w:hAnsi="Arial"/>
          <w:color w:val="28251D"/>
          <w:sz w:val="21"/>
          <w:szCs w:val="21"/>
        </w:rPr>
        <w:t xml:space="preserve">The current approach focuses on monthly MI report generation with manual trend analysis at the rec/product/break level. While the dataset is rich in categorical identifiers and operational metadata, several critical gaps prevent it from achieving true intelligent automation. The proposed alternative consolidates multiple standalone tools into a single AI-driven platform that addresses root cause identification, predictive forecasting, automated resolution recommendations, and NLP-powered comment mining.</w:t>
      </w:r>
    </w:p>
    <w:p>
      <w:pPr>
        <w:pStyle w:val="Heading1"/>
        <w:spacing w:after="180" w:before="360"/>
      </w:pPr>
      <w:r>
        <w:rPr>
          <w:rFonts w:ascii="Arial" w:cs="Arial" w:eastAsia="Arial" w:hAnsi="Arial"/>
          <w:b/>
          <w:bCs/>
          <w:color w:val="01696F"/>
          <w:sz w:val="32"/>
          <w:szCs w:val="32"/>
        </w:rPr>
        <w:t xml:space="preserve">2. Current State Analysis</w:t>
      </w:r>
    </w:p>
    <w:p>
      <w:pPr>
        <w:pStyle w:val="Heading2"/>
        <w:spacing w:after="120" w:before="280"/>
      </w:pPr>
      <w:r>
        <w:rPr>
          <w:rFonts w:ascii="Arial" w:cs="Arial" w:eastAsia="Arial" w:hAnsi="Arial"/>
          <w:b/>
          <w:bCs/>
          <w:color w:val="28251D"/>
          <w:sz w:val="26"/>
          <w:szCs w:val="26"/>
        </w:rPr>
        <w:t xml:space="preserve">2.1 Dataset Overview</w:t>
      </w:r>
    </w:p>
    <w:p>
      <w:pPr>
        <w:spacing w:after="80" w:line="340"/>
      </w:pPr>
      <w:r>
        <w:rPr>
          <w:rFonts w:ascii="Arial" w:cs="Arial" w:eastAsia="Arial" w:hAnsi="Arial"/>
          <w:color w:val="28251D"/>
          <w:sz w:val="21"/>
          <w:szCs w:val="21"/>
        </w:rPr>
        <w:t xml:space="preserve">The dataset contains 621,804 reconciliation break records with 41 columns spanning:</w:t>
      </w:r>
    </w:p>
    <w:p>
      <w:pPr>
        <w:pStyle w:val="ListParagraph"/>
        <w:numPr>
          <w:ilvl w:val="0"/>
          <w:numId w:val="2"/>
        </w:numPr>
        <w:spacing w:after="60" w:line="340"/>
      </w:pPr>
      <w:r>
        <w:rPr>
          <w:rFonts w:ascii="Arial" w:cs="Arial" w:eastAsia="Arial" w:hAnsi="Arial"/>
          <w:b/>
          <w:bCs/>
          <w:color w:val="28251D"/>
          <w:sz w:val="21"/>
          <w:szCs w:val="21"/>
        </w:rPr>
        <w:t xml:space="preserve">Temporal: </w:t>
      </w:r>
      <w:r>
        <w:rPr>
          <w:rFonts w:ascii="Arial" w:cs="Arial" w:eastAsia="Arial" w:hAnsi="Arial"/>
          <w:color w:val="28251D"/>
          <w:sz w:val="21"/>
          <w:szCs w:val="21"/>
        </w:rPr>
        <w:t xml:space="preserve">Period (YearMonth int64 format), Date (date of break), Age Days, Bucket</w:t>
      </w:r>
    </w:p>
    <w:p>
      <w:pPr>
        <w:pStyle w:val="ListParagraph"/>
        <w:numPr>
          <w:ilvl w:val="0"/>
          <w:numId w:val="2"/>
        </w:numPr>
        <w:spacing w:after="60" w:line="340"/>
      </w:pPr>
      <w:r>
        <w:rPr>
          <w:rFonts w:ascii="Arial" w:cs="Arial" w:eastAsia="Arial" w:hAnsi="Arial"/>
          <w:b/>
          <w:bCs/>
          <w:color w:val="28251D"/>
          <w:sz w:val="21"/>
          <w:szCs w:val="21"/>
        </w:rPr>
        <w:t xml:space="preserve">Categorical Identifiers: </w:t>
      </w:r>
      <w:r>
        <w:rPr>
          <w:rFonts w:ascii="Arial" w:cs="Arial" w:eastAsia="Arial" w:hAnsi="Arial"/>
          <w:color w:val="28251D"/>
          <w:sz w:val="21"/>
          <w:szCs w:val="21"/>
        </w:rPr>
        <w:t xml:space="preserve">Asset Class, Team, Rec Name, Entity, Account Group, Products Reconciled</w:t>
      </w:r>
    </w:p>
    <w:p>
      <w:pPr>
        <w:pStyle w:val="ListParagraph"/>
        <w:numPr>
          <w:ilvl w:val="0"/>
          <w:numId w:val="2"/>
        </w:numPr>
        <w:spacing w:after="60" w:line="340"/>
      </w:pPr>
      <w:r>
        <w:rPr>
          <w:rFonts w:ascii="Arial" w:cs="Arial" w:eastAsia="Arial" w:hAnsi="Arial"/>
          <w:b/>
          <w:bCs/>
          <w:color w:val="28251D"/>
          <w:sz w:val="21"/>
          <w:szCs w:val="21"/>
        </w:rPr>
        <w:t xml:space="preserve">Break Details: </w:t>
      </w:r>
      <w:r>
        <w:rPr>
          <w:rFonts w:ascii="Arial" w:cs="Arial" w:eastAsia="Arial" w:hAnsi="Arial"/>
          <w:color w:val="28251D"/>
          <w:sz w:val="21"/>
          <w:szCs w:val="21"/>
        </w:rPr>
        <w:t xml:space="preserve">Type of break, Trade Ref, Trade CCY, Break Amount CCY, Break Amount GBP, ABS GBP</w:t>
      </w:r>
    </w:p>
    <w:p>
      <w:pPr>
        <w:pStyle w:val="ListParagraph"/>
        <w:numPr>
          <w:ilvl w:val="0"/>
          <w:numId w:val="2"/>
        </w:numPr>
        <w:spacing w:after="60" w:line="340"/>
      </w:pPr>
      <w:r>
        <w:rPr>
          <w:rFonts w:ascii="Arial" w:cs="Arial" w:eastAsia="Arial" w:hAnsi="Arial"/>
          <w:b/>
          <w:bCs/>
          <w:color w:val="28251D"/>
          <w:sz w:val="21"/>
          <w:szCs w:val="21"/>
        </w:rPr>
        <w:t xml:space="preserve">Operational Metadata: </w:t>
      </w:r>
      <w:r>
        <w:rPr>
          <w:rFonts w:ascii="Arial" w:cs="Arial" w:eastAsia="Arial" w:hAnsi="Arial"/>
          <w:color w:val="28251D"/>
          <w:sz w:val="21"/>
          <w:szCs w:val="21"/>
        </w:rPr>
        <w:t xml:space="preserve">True/Systemic Breaks, Journals Posted, Comments, Issue Category, Issue Category 2, Jira Priority, EPIC, Jira Reference, For Del</w:t>
      </w:r>
    </w:p>
    <w:p>
      <w:pPr>
        <w:pStyle w:val="ListParagraph"/>
        <w:numPr>
          <w:ilvl w:val="0"/>
          <w:numId w:val="2"/>
        </w:numPr>
        <w:spacing w:after="60" w:line="340"/>
      </w:pPr>
      <w:r>
        <w:rPr>
          <w:rFonts w:ascii="Arial" w:cs="Arial" w:eastAsia="Arial" w:hAnsi="Arial"/>
          <w:b/>
          <w:bCs/>
          <w:color w:val="28251D"/>
          <w:sz w:val="21"/>
          <w:szCs w:val="21"/>
        </w:rPr>
        <w:t xml:space="preserve">Resolution Tracking: </w:t>
      </w:r>
      <w:r>
        <w:rPr>
          <w:rFonts w:ascii="Arial" w:cs="Arial" w:eastAsia="Arial" w:hAnsi="Arial"/>
          <w:color w:val="28251D"/>
          <w:sz w:val="21"/>
          <w:szCs w:val="21"/>
        </w:rPr>
        <w:t xml:space="preserve">Root Cause Identified (0 non-null), B/S Cert (0 non-null)</w:t>
      </w:r>
    </w:p>
    <w:p>
      <w:pPr>
        <w:spacing w:after="40"/>
      </w:pPr>
    </w:p>
    <w:p>
      <w:pPr>
        <w:pStyle w:val="Heading2"/>
        <w:spacing w:after="120" w:before="280"/>
      </w:pPr>
      <w:r>
        <w:rPr>
          <w:rFonts w:ascii="Arial" w:cs="Arial" w:eastAsia="Arial" w:hAnsi="Arial"/>
          <w:b/>
          <w:bCs/>
          <w:color w:val="28251D"/>
          <w:sz w:val="26"/>
          <w:szCs w:val="26"/>
        </w:rPr>
        <w:t xml:space="preserve">2.2 Stated Requirements (From Notes)</w:t>
      </w:r>
    </w:p>
    <w:p>
      <w:pPr>
        <w:spacing w:after="80" w:line="340"/>
      </w:pPr>
      <w:r>
        <w:rPr>
          <w:rFonts w:ascii="Arial" w:cs="Arial" w:eastAsia="Arial" w:hAnsi="Arial"/>
          <w:color w:val="28251D"/>
          <w:sz w:val="21"/>
          <w:szCs w:val="21"/>
        </w:rPr>
        <w:t xml:space="preserve">The handwritten requirements describe the following goals:</w:t>
      </w:r>
    </w:p>
    <w:p>
      <w:pPr>
        <w:pStyle w:val="ListParagraph"/>
        <w:numPr>
          <w:ilvl w:val="0"/>
          <w:numId w:val="3"/>
        </w:numPr>
        <w:spacing w:after="60" w:line="340"/>
      </w:pPr>
      <w:r>
        <w:rPr>
          <w:rFonts w:ascii="Arial" w:cs="Arial" w:eastAsia="Arial" w:hAnsi="Arial"/>
          <w:color w:val="28251D"/>
          <w:sz w:val="21"/>
          <w:szCs w:val="21"/>
        </w:rPr>
        <w:t xml:space="preserve">Use Period (YearMonth) and Date columns to compute Age Days and Bucket for each break</w:t>
      </w:r>
    </w:p>
    <w:p>
      <w:pPr>
        <w:pStyle w:val="ListParagraph"/>
        <w:numPr>
          <w:ilvl w:val="0"/>
          <w:numId w:val="3"/>
        </w:numPr>
        <w:spacing w:after="60" w:line="340"/>
      </w:pPr>
      <w:r>
        <w:rPr>
          <w:rFonts w:ascii="Arial" w:cs="Arial" w:eastAsia="Arial" w:hAnsi="Arial"/>
          <w:color w:val="28251D"/>
          <w:sz w:val="21"/>
          <w:szCs w:val="21"/>
        </w:rPr>
        <w:t xml:space="preserve">Leverage Team, Recs, Entity, Account Group, Products Reconciled as categorical identifiers for drill-down analysis</w:t>
      </w:r>
    </w:p>
    <w:p>
      <w:pPr>
        <w:pStyle w:val="ListParagraph"/>
        <w:numPr>
          <w:ilvl w:val="0"/>
          <w:numId w:val="3"/>
        </w:numPr>
        <w:spacing w:after="60" w:line="340"/>
      </w:pPr>
      <w:r>
        <w:rPr>
          <w:rFonts w:ascii="Arial" w:cs="Arial" w:eastAsia="Arial" w:hAnsi="Arial"/>
          <w:color w:val="28251D"/>
          <w:sz w:val="21"/>
          <w:szCs w:val="21"/>
        </w:rPr>
        <w:t xml:space="preserve">Track True/Systemic Breaks, Journals Posted, Comments, Issue Category, Issue Category 2, Jira Priority, EPIC, Jira Reference, For Del as systems to be used to determine the type of issue and actions taken</w:t>
      </w:r>
    </w:p>
    <w:p>
      <w:pPr>
        <w:pStyle w:val="ListParagraph"/>
        <w:numPr>
          <w:ilvl w:val="0"/>
          <w:numId w:val="3"/>
        </w:numPr>
        <w:spacing w:after="60" w:line="340"/>
      </w:pPr>
      <w:r>
        <w:rPr>
          <w:rFonts w:ascii="Arial" w:cs="Arial" w:eastAsia="Arial" w:hAnsi="Arial"/>
          <w:color w:val="28251D"/>
          <w:sz w:val="21"/>
          <w:szCs w:val="21"/>
        </w:rPr>
        <w:t xml:space="preserve">Build an AI-based solution to create a historical trending model that helps end users analyse trends of break counts for each rec/product/break level</w:t>
      </w:r>
    </w:p>
    <w:p>
      <w:pPr>
        <w:pStyle w:val="ListParagraph"/>
        <w:numPr>
          <w:ilvl w:val="0"/>
          <w:numId w:val="3"/>
        </w:numPr>
        <w:spacing w:after="60" w:line="340"/>
      </w:pPr>
      <w:r>
        <w:rPr>
          <w:rFonts w:ascii="Arial" w:cs="Arial" w:eastAsia="Arial" w:hAnsi="Arial"/>
          <w:color w:val="28251D"/>
          <w:sz w:val="21"/>
          <w:szCs w:val="21"/>
        </w:rPr>
        <w:t xml:space="preserve">Also analyse trends of the break amount (GBP) which caused the break</w:t>
      </w:r>
    </w:p>
    <w:p>
      <w:pPr>
        <w:spacing w:after="40"/>
      </w:pPr>
    </w:p>
    <w:p>
      <w:pPr>
        <w:pStyle w:val="Heading1"/>
        <w:spacing w:after="180" w:before="360"/>
      </w:pPr>
      <w:r>
        <w:rPr>
          <w:rFonts w:ascii="Arial" w:cs="Arial" w:eastAsia="Arial" w:hAnsi="Arial"/>
          <w:b/>
          <w:bCs/>
          <w:color w:val="01696F"/>
          <w:sz w:val="32"/>
          <w:szCs w:val="32"/>
        </w:rPr>
        <w:t xml:space="preserve">3. Requirement Gap Analysis</w:t>
      </w:r>
    </w:p>
    <w:p>
      <w:pPr>
        <w:spacing w:after="80" w:line="340"/>
      </w:pPr>
      <w:r>
        <w:rPr>
          <w:rFonts w:ascii="Arial" w:cs="Arial" w:eastAsia="Arial" w:hAnsi="Arial"/>
          <w:color w:val="28251D"/>
          <w:sz w:val="21"/>
          <w:szCs w:val="21"/>
        </w:rPr>
        <w:t xml:space="preserve">Below is a detailed mapping of each gap identified, the evidence from the dataset, and the risk it poses to the AI use case.</w:t>
      </w:r>
    </w:p>
    <w:p>
      <w:pPr>
        <w:spacing w:after="40"/>
      </w:pPr>
    </w:p>
    <w:p>
      <w:pPr>
        <w:pStyle w:val="Heading2"/>
        <w:spacing w:after="120" w:before="280"/>
      </w:pPr>
      <w:r>
        <w:rPr>
          <w:rFonts w:ascii="Arial" w:cs="Arial" w:eastAsia="Arial" w:hAnsi="Arial"/>
          <w:b/>
          <w:bCs/>
          <w:color w:val="28251D"/>
          <w:sz w:val="26"/>
          <w:szCs w:val="26"/>
        </w:rPr>
        <w:t xml:space="preserve">3.1 Root Cause Identification (Critical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Evidence</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"Root Cause identified" column has 0 non-null values out of 621,804 records</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Gap</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No root cause data has ever been captured. The requirement describes trending and analysis, but without root cause attribution, the AI model cannot learn why breaks happen or recommend preventive actions.</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Risk</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Without root cause labels, the system can only report what is happening (descriptive analytics) but not why (diagnostic analytics) or what will happen next (predictive analytics). This is the single largest gap blocking an intelligent accounting control platform.</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Recommendation</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Implement NLP-based root cause extraction from the Comments field as an immediate priority. Use an LLM/RAG pipeline to classify recurring themes (e.g., "timing difference", "booking error", "static data mismatch", "system outage") and retroactively populate root cause categories from historical comments.</w:t>
            </w:r>
          </w:p>
        </w:tc>
      </w:tr>
    </w:tbl>
    <w:p>
      <w:pPr>
        <w:spacing w:after="40"/>
      </w:pPr>
    </w:p>
    <w:p>
      <w:pPr>
        <w:pStyle w:val="Heading2"/>
        <w:spacing w:after="120" w:before="280"/>
      </w:pPr>
      <w:r>
        <w:rPr>
          <w:rFonts w:ascii="Arial" w:cs="Arial" w:eastAsia="Arial" w:hAnsi="Arial"/>
          <w:b/>
          <w:bCs/>
          <w:color w:val="28251D"/>
          <w:sz w:val="26"/>
          <w:szCs w:val="26"/>
        </w:rPr>
        <w:t xml:space="preserve">3.2 Data Quality Issues in Numeric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Evidence</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Break Amount CCY, Break Amount GBP, Age Days, and ABS GBP are all typed as 'object' instead of numeric (float64/int64). This indicates mixed data types, likely due to manual entries containing text, special characters, or inconsistent formatting.</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Gap</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The requirement asks for break amount trend analysis, but the amount columns cannot be used for computation without extensive cleaning. Age Days being 'object' type confirms your earlier observation about manual entries causing inconsistencies.</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Risk</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Any ML model trained on uncleaned amounts will produce unreliable predictions. Trend analysis on break amounts will be incorrect if non-numeric values are silently dropped or misinterpreted.</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Recommendation</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Build an automated data quality layer that: (a) parses and normalizes all amount fields to float64, (b) recomputes Age Days from Period and Date columns, (c) flags discrepancies between pre-populated and computed values, (d) generates a data quality report each period.</w:t>
            </w:r>
          </w:p>
        </w:tc>
      </w:tr>
    </w:tbl>
    <w:p>
      <w:pPr>
        <w:spacing w:after="40"/>
      </w:pPr>
    </w:p>
    <w:p>
      <w:pPr>
        <w:pStyle w:val="Heading2"/>
        <w:spacing w:after="120" w:before="280"/>
      </w:pPr>
      <w:r>
        <w:rPr>
          <w:rFonts w:ascii="Arial" w:cs="Arial" w:eastAsia="Arial" w:hAnsi="Arial"/>
          <w:b/>
          <w:bCs/>
          <w:color w:val="28251D"/>
          <w:sz w:val="26"/>
          <w:szCs w:val="26"/>
        </w:rPr>
        <w:t xml:space="preserve">3.3 No Predictive or Forecasting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Evidence</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Requirements describe "historical trending" and "analyse trends" only. No mention of forecasting future break volumes, predicting which recs will have the most breaks, or early warning systems.</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Gap</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The approach is purely backward-looking (descriptive). Modern accounting control AI platforms use predictive models to forecast next-month break volumes and identify recs at risk of breach before the period closes.</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Risk</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Without predictive capability, the team remains reactive rather than proactive. Break volumes cannot be anticipated, resource planning is guesswork, and systemic issues are only caught after they have already impacted the month-end close.</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Recommendation</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Add a time-series forecasting module using hierarchical forecasting (break count and amount at Team &gt; Rec &gt; Product level). This enables proactive resource allocation and early intervention on high-risk reconciliations.</w:t>
            </w:r>
          </w:p>
        </w:tc>
      </w:tr>
    </w:tbl>
    <w:p>
      <w:pPr>
        <w:spacing w:after="40"/>
      </w:pPr>
    </w:p>
    <w:p>
      <w:pPr>
        <w:pStyle w:val="Heading2"/>
        <w:spacing w:after="120" w:before="280"/>
      </w:pPr>
      <w:r>
        <w:rPr>
          <w:rFonts w:ascii="Arial" w:cs="Arial" w:eastAsia="Arial" w:hAnsi="Arial"/>
          <w:b/>
          <w:bCs/>
          <w:color w:val="28251D"/>
          <w:sz w:val="26"/>
          <w:szCs w:val="26"/>
        </w:rPr>
        <w:t xml:space="preserve">3.4 No Automated Resolution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Evidence</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Journals Posted and Jira Reference columns exist but are not linked to resolution outcomes. No feedback loop exists between break occurrence and resolution method.</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Gap</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The system cannot learn from past resolutions. When a similar break occurs again, analysts must investigate from scratch rather than receiving a recommendation like "This pattern was resolved 12 times by posting JV type X" or "Escalate to Team Y via Jira".</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Risk</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Significant manual effort duplication. The same break pattern may be investigated independently by different analysts across periods, leading to inconsistent resolution approaches and increased cycle time.</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Recommendation</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Build a resolution recommendation engine using CatBoost/XGBoost trained on historical break-to-resolution pairs. Features: break type, rec name, entity, amount bucket, age bucket. Target: resolution action (JV posting, Jira escalation, systemic write-off, etc.).</w:t>
            </w:r>
          </w:p>
        </w:tc>
      </w:tr>
    </w:tbl>
    <w:p>
      <w:pPr>
        <w:spacing w:after="40"/>
      </w:pPr>
    </w:p>
    <w:p>
      <w:pPr>
        <w:pStyle w:val="Heading2"/>
        <w:spacing w:after="120" w:before="280"/>
      </w:pPr>
      <w:r>
        <w:rPr>
          <w:rFonts w:ascii="Arial" w:cs="Arial" w:eastAsia="Arial" w:hAnsi="Arial"/>
          <w:b/>
          <w:bCs/>
          <w:color w:val="28251D"/>
          <w:sz w:val="26"/>
          <w:szCs w:val="26"/>
        </w:rPr>
        <w:t xml:space="preserve">3.5 Unstructured Comment Mining Not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Evidence</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Comments column has 621,800 non-null entries (nearly complete coverage). Yet the requirements mention Comments only as metadata, not as a primary analytical input.</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Gap</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Comments contain rich operational intelligence: reasons for breaks, resolution steps taken, escalation notes, and counterparty details. This is the most underutilized column in the dataset. Without NLP processing, this institutional knowledge remains locked in free text.</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Risk</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Loss of institutional knowledge when analysts leave. Inability to detect emerging patterns (e.g., "multiple analysts mentioning system X failures" across different recs). Manual reading of comments at 621K scale is impossible.</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Recommendation</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Deploy an NLP pipeline (LLM + Named Entity Recognition) to: (a) extract root cause themes, (b) identify resolution actions mentioned, (c) detect sentiment/urgency signals, (d) cluster similar comments across recs and periods to find systemic patterns.</w:t>
            </w:r>
          </w:p>
        </w:tc>
      </w:tr>
    </w:tbl>
    <w:p>
      <w:pPr>
        <w:spacing w:after="40"/>
      </w:pPr>
    </w:p>
    <w:p>
      <w:pPr>
        <w:pStyle w:val="Heading2"/>
        <w:spacing w:after="120" w:before="280"/>
      </w:pPr>
      <w:r>
        <w:rPr>
          <w:rFonts w:ascii="Arial" w:cs="Arial" w:eastAsia="Arial" w:hAnsi="Arial"/>
          <w:b/>
          <w:bCs/>
          <w:color w:val="28251D"/>
          <w:sz w:val="26"/>
          <w:szCs w:val="26"/>
        </w:rPr>
        <w:t xml:space="preserve">3.6 No Break Recurrence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Evidence</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Column 9: "If Duplicate Trade, provide the CC, etc details" has only 282,649 non-null values (45.5%). This column exists but is inconsistently populated, suggesting recurrence tracking is ad-hoc.</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Gap</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There is no systematic mechanism to detect whether the same break (by Trade Ref, Rec, Entity, Amount pattern) has occurred before. Recurrence detection is the foundation of moving from reactive break-fixing to proactive break prevention.</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Risk</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Same breaks keep appearing month after month without being flagged as systemic. Manual effort is wasted re-investigating known recurring issues.</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Recommendation</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Implement an automated recurrence detection engine that compares each new break against historical patterns using fuzzy matching on Trade Ref, Amount, Rec Name, and Entity. Flag recurring breaks with a recurrence score and link to the original instance.</w:t>
            </w:r>
          </w:p>
        </w:tc>
      </w:tr>
    </w:tbl>
    <w:p>
      <w:pPr>
        <w:spacing w:after="40"/>
      </w:pPr>
    </w:p>
    <w:p>
      <w:pPr>
        <w:pStyle w:val="Heading2"/>
        <w:spacing w:after="120" w:before="280"/>
      </w:pPr>
      <w:r>
        <w:rPr>
          <w:rFonts w:ascii="Arial" w:cs="Arial" w:eastAsia="Arial" w:hAnsi="Arial"/>
          <w:b/>
          <w:bCs/>
          <w:color w:val="28251D"/>
          <w:sz w:val="26"/>
          <w:szCs w:val="26"/>
        </w:rPr>
        <w:t xml:space="preserve">3.7 Missing Ageing Validation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Evidence</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Age Days is 'object' type (not numeric). Bucket is 'str'. Both are pre-populated rather than computed. Your earlier analysis identified manual entries causing inconsistencies in ageing fields.</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Gap</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The requirement says to calculate Age Days from Period and Date, but there is no validation layer to reconcile pre-populated ageing values against computed values or to flag discrepancies.</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Risk</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Incorrect ageing leads to wrong bucket assignments, which distorts the entire trending analysis. Breaks may appear younger or older than they are, affecting prioritization and regulatory reporting.</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Recommendation</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Always compute ageing programmatically. Show a discrepancy report comparing computed vs. pre-populated values. Apply colour-coded highlighting in the UI for mismatched records.</w:t>
            </w:r>
          </w:p>
        </w:tc>
      </w:tr>
    </w:tbl>
    <w:p>
      <w:pPr>
        <w:spacing w:after="40"/>
      </w:pPr>
    </w:p>
    <w:p>
      <w:pPr>
        <w:pStyle w:val="Heading2"/>
        <w:spacing w:after="120" w:before="280"/>
      </w:pPr>
      <w:r>
        <w:rPr>
          <w:rFonts w:ascii="Arial" w:cs="Arial" w:eastAsia="Arial" w:hAnsi="Arial"/>
          <w:b/>
          <w:bCs/>
          <w:color w:val="28251D"/>
          <w:sz w:val="26"/>
          <w:szCs w:val="26"/>
        </w:rPr>
        <w:t xml:space="preserve">3.8 No Anomaly Detection on Break Amounts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Evidence</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Break Amount CCY, Break Amount GBP, and ABS GBP are available but the requirements only ask for trend analysis on these amounts.</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Gap</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No mechanism for detecting outlier amounts, sudden spikes, or unusual patterns in break values that would signal a material issue requiring immediate attention.</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Risk</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 large break (e.g., &gt;3 standard deviations from mean for that rec) could go unnoticed in a trend chart if it appears as a single data point among thousands.</w:t>
            </w:r>
          </w:p>
        </w:tc>
      </w:tr>
      <w:tr>
        <w:tc>
          <w:tcPr>
            <w:tcW w:type="dxa" w:w="2340"/>
            <w:tcBorders>
              <w:top w:val="single" w:color="D4D1CA" w:sz="1"/>
              <w:left w:val="single" w:color="D4D1CA" w:sz="1"/>
              <w:bottom w:val="single" w:color="D4D1CA" w:sz="1"/>
              <w:right w:val="single" w:color="D4D1CA" w:sz="1"/>
            </w:tcBorders>
            <w:shd w:fill="F9F8F5" w:val="clear"/>
            <w:tcMar>
              <w:top w:type="dxa" w:w="60"/>
              <w:left w:type="dxa" w:w="100"/>
              <w:bottom w:type="dxa" w:w="60"/>
              <w:right w:type="dxa" w:w="100"/>
            </w:tcMar>
            <w:vAlign w:val="center"/>
          </w:tcPr>
          <w:p>
            <w:r>
              <w:rPr>
                <w:rFonts w:ascii="Arial" w:cs="Arial" w:eastAsia="Arial" w:hAnsi="Arial"/>
                <w:b/>
                <w:bCs/>
                <w:color w:val="28251D"/>
                <w:sz w:val="20"/>
                <w:szCs w:val="20"/>
              </w:rPr>
              <w:t xml:space="preserve">Recommendation</w:t>
            </w:r>
          </w:p>
        </w:tc>
        <w:tc>
          <w:tcPr>
            <w:tcW w:type="dxa" w:w="702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Implement statistical anomaly detection (Isolation Forest or Z-score based) on break amounts, with configurable thresholds per rec/entity. Generate real-time alerts when anomalous amounts are detected.</w:t>
            </w:r>
          </w:p>
        </w:tc>
      </w:tr>
    </w:tbl>
    <w:p>
      <w:pPr>
        <w:spacing w:after="40"/>
      </w:pPr>
    </w:p>
    <w:p>
      <w:r>
        <w:br w:type="page"/>
      </w:r>
    </w:p>
    <w:p>
      <w:pPr>
        <w:pStyle w:val="Heading1"/>
        <w:spacing w:after="180" w:before="360"/>
      </w:pPr>
      <w:r>
        <w:rPr>
          <w:rFonts w:ascii="Arial" w:cs="Arial" w:eastAsia="Arial" w:hAnsi="Arial"/>
          <w:b/>
          <w:bCs/>
          <w:color w:val="01696F"/>
          <w:sz w:val="32"/>
          <w:szCs w:val="32"/>
        </w:rPr>
        <w:t xml:space="preserve">4. Gap Summary Matrix</w:t>
      </w:r>
    </w:p>
    <w:p>
      <w:pPr>
        <w:spacing w:after="80" w:line="340"/>
      </w:pPr>
      <w:r>
        <w:rPr>
          <w:rFonts w:ascii="Arial" w:cs="Arial" w:eastAsia="Arial" w:hAnsi="Arial"/>
          <w:color w:val="28251D"/>
          <w:sz w:val="21"/>
          <w:szCs w:val="21"/>
        </w:rPr>
        <w:t xml:space="preserve">The following matrix summarizes all identified gaps, their severity, current state, and the effort required to close them.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60"/>
        <w:gridCol w:w="1800"/>
        <w:gridCol w:w="1800"/>
        <w:gridCol w:w="2000"/>
      </w:tblGrid>
      <w:tr>
        <w:tc>
          <w:tcPr>
            <w:tcW w:type="dxa" w:w="110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66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Gap</w:t>
            </w:r>
          </w:p>
        </w:tc>
        <w:tc>
          <w:tcPr>
            <w:tcW w:type="dxa" w:w="180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180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State</w:t>
            </w:r>
          </w:p>
        </w:tc>
        <w:tc>
          <w:tcPr>
            <w:tcW w:type="dxa" w:w="200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 to Close</w:t>
            </w:r>
          </w:p>
        </w:tc>
      </w:tr>
      <w:tr>
        <w:tc>
          <w:tcPr>
            <w:tcW w:type="dxa" w:w="11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3.1</w:t>
            </w:r>
          </w:p>
        </w:tc>
        <w:tc>
          <w:tcPr>
            <w:tcW w:type="dxa" w:w="26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Root Cause Identification</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A12C7B"/>
                <w:sz w:val="20"/>
                <w:szCs w:val="20"/>
              </w:rPr>
              <w:t xml:space="preserve">Critical</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0% populated</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High (NLP/LLM)</w:t>
            </w:r>
          </w:p>
        </w:tc>
      </w:tr>
      <w:tr>
        <w:tc>
          <w:tcPr>
            <w:tcW w:type="dxa" w:w="11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3.2</w:t>
            </w:r>
          </w:p>
        </w:tc>
        <w:tc>
          <w:tcPr>
            <w:tcW w:type="dxa" w:w="26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Data Quality (Amount/Age)</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A12C7B"/>
                <w:sz w:val="20"/>
                <w:szCs w:val="20"/>
              </w:rPr>
              <w:t xml:space="preserve">Critical</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Object dtypes</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Medium (ETL)</w:t>
            </w:r>
          </w:p>
        </w:tc>
      </w:tr>
      <w:tr>
        <w:tc>
          <w:tcPr>
            <w:tcW w:type="dxa" w:w="11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3.3</w:t>
            </w:r>
          </w:p>
        </w:tc>
        <w:tc>
          <w:tcPr>
            <w:tcW w:type="dxa" w:w="26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Predictive Forecasting</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964219"/>
                <w:sz w:val="20"/>
                <w:szCs w:val="20"/>
              </w:rPr>
              <w:t xml:space="preserve">High</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Not addressed</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High (ML + TS)</w:t>
            </w:r>
          </w:p>
        </w:tc>
      </w:tr>
      <w:tr>
        <w:tc>
          <w:tcPr>
            <w:tcW w:type="dxa" w:w="11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3.4</w:t>
            </w:r>
          </w:p>
        </w:tc>
        <w:tc>
          <w:tcPr>
            <w:tcW w:type="dxa" w:w="26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Resolution Recommendation</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964219"/>
                <w:sz w:val="20"/>
                <w:szCs w:val="20"/>
              </w:rPr>
              <w:t xml:space="preserve">High</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No feedback loop</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High (ML)</w:t>
            </w:r>
          </w:p>
        </w:tc>
      </w:tr>
      <w:tr>
        <w:tc>
          <w:tcPr>
            <w:tcW w:type="dxa" w:w="11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3.5</w:t>
            </w:r>
          </w:p>
        </w:tc>
        <w:tc>
          <w:tcPr>
            <w:tcW w:type="dxa" w:w="26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Comment Mining (NLP)</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964219"/>
                <w:sz w:val="20"/>
                <w:szCs w:val="20"/>
              </w:rPr>
              <w:t xml:space="preserve">High</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Untapped</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High (LLM/RAG)</w:t>
            </w:r>
          </w:p>
        </w:tc>
      </w:tr>
      <w:tr>
        <w:tc>
          <w:tcPr>
            <w:tcW w:type="dxa" w:w="11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3.6</w:t>
            </w:r>
          </w:p>
        </w:tc>
        <w:tc>
          <w:tcPr>
            <w:tcW w:type="dxa" w:w="26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Break Recurrence Detection</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964219"/>
                <w:sz w:val="20"/>
                <w:szCs w:val="20"/>
              </w:rPr>
              <w:t xml:space="preserve">Medium</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45% populated</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Medium (Fuzzy)</w:t>
            </w:r>
          </w:p>
        </w:tc>
      </w:tr>
      <w:tr>
        <w:tc>
          <w:tcPr>
            <w:tcW w:type="dxa" w:w="11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3.7</w:t>
            </w:r>
          </w:p>
        </w:tc>
        <w:tc>
          <w:tcPr>
            <w:tcW w:type="dxa" w:w="26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Ageing Validation</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964219"/>
                <w:sz w:val="20"/>
                <w:szCs w:val="20"/>
              </w:rPr>
              <w:t xml:space="preserve">Medium</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Manual entries</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Low (Logic)</w:t>
            </w:r>
          </w:p>
        </w:tc>
      </w:tr>
      <w:tr>
        <w:tc>
          <w:tcPr>
            <w:tcW w:type="dxa" w:w="11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3.8</w:t>
            </w:r>
          </w:p>
        </w:tc>
        <w:tc>
          <w:tcPr>
            <w:tcW w:type="dxa" w:w="26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Anomaly Detection (Amounts)</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964219"/>
                <w:sz w:val="20"/>
                <w:szCs w:val="20"/>
              </w:rPr>
              <w:t xml:space="preserve">Medium</w:t>
            </w:r>
          </w:p>
        </w:tc>
        <w:tc>
          <w:tcPr>
            <w:tcW w:type="dxa" w:w="1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Not addressed</w:t>
            </w:r>
          </w:p>
        </w:tc>
        <w:tc>
          <w:tcPr>
            <w:tcW w:type="dxa" w:w="20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Medium (ML)</w:t>
            </w:r>
          </w:p>
        </w:tc>
      </w:tr>
    </w:tbl>
    <w:p>
      <w:pPr>
        <w:spacing w:after="40"/>
      </w:pPr>
    </w:p>
    <w:p>
      <w:r>
        <w:br w:type="page"/>
      </w:r>
    </w:p>
    <w:p>
      <w:pPr>
        <w:pStyle w:val="Heading1"/>
        <w:spacing w:after="180" w:before="360"/>
      </w:pPr>
      <w:r>
        <w:rPr>
          <w:rFonts w:ascii="Arial" w:cs="Arial" w:eastAsia="Arial" w:hAnsi="Arial"/>
          <w:b/>
          <w:bCs/>
          <w:color w:val="01696F"/>
          <w:sz w:val="32"/>
          <w:szCs w:val="32"/>
        </w:rPr>
        <w:t xml:space="preserve">5. Proposed Alternative: Unified Accounting Control AI Platform</w:t>
      </w:r>
    </w:p>
    <w:p>
      <w:pPr>
        <w:spacing w:after="80" w:line="340"/>
      </w:pPr>
      <w:r>
        <w:rPr>
          <w:rFonts w:ascii="Arial" w:cs="Arial" w:eastAsia="Arial" w:hAnsi="Arial"/>
          <w:color w:val="28251D"/>
          <w:sz w:val="21"/>
          <w:szCs w:val="21"/>
        </w:rPr>
        <w:t xml:space="preserve">Instead of building isolated trending dashboards, the alternative is a unified, multi-layered AI platform that addresses the full lifecycle of a reconciliation break, from detection through resolution to prevention. This architecture consolidates the trending requirement with the identified gaps into a single coherent system.</w:t>
      </w:r>
    </w:p>
    <w:p>
      <w:pPr>
        <w:spacing w:after="40"/>
      </w:pPr>
    </w:p>
    <w:p>
      <w:pPr>
        <w:pStyle w:val="Heading2"/>
        <w:spacing w:after="120" w:before="280"/>
      </w:pPr>
      <w:r>
        <w:rPr>
          <w:rFonts w:ascii="Arial" w:cs="Arial" w:eastAsia="Arial" w:hAnsi="Arial"/>
          <w:b/>
          <w:bCs/>
          <w:color w:val="28251D"/>
          <w:sz w:val="26"/>
          <w:szCs w:val="26"/>
        </w:rPr>
        <w:t xml:space="preserve">5.1 Architecture: Four-Layer Intelligent Control Platform</w:t>
      </w:r>
    </w:p>
    <w:p>
      <w:pPr>
        <w:spacing w:after="40"/>
      </w:pPr>
    </w:p>
    <w:p>
      <w:pPr>
        <w:spacing w:after="80" w:before="200"/>
      </w:pPr>
      <w:r>
        <w:rPr>
          <w:rFonts w:ascii="Arial" w:cs="Arial" w:eastAsia="Arial" w:hAnsi="Arial"/>
          <w:b/>
          <w:bCs/>
          <w:color w:val="01696F"/>
          <w:sz w:val="22"/>
          <w:szCs w:val="22"/>
        </w:rPr>
        <w:t xml:space="preserve">Layer 1: Data Quality &amp; Ingestion Engine</w:t>
      </w:r>
    </w:p>
    <w:p>
      <w:pPr>
        <w:pStyle w:val="ListParagraph"/>
        <w:numPr>
          <w:ilvl w:val="0"/>
          <w:numId w:val="4"/>
        </w:numPr>
        <w:spacing w:after="60" w:line="340"/>
      </w:pPr>
      <w:r>
        <w:rPr>
          <w:rFonts w:ascii="Arial" w:cs="Arial" w:eastAsia="Arial" w:hAnsi="Arial"/>
          <w:color w:val="28251D"/>
          <w:sz w:val="21"/>
          <w:szCs w:val="21"/>
        </w:rPr>
        <w:t xml:space="preserve">Automated ETL pipeline that ingests the monthly MI report</w:t>
      </w:r>
    </w:p>
    <w:p>
      <w:pPr>
        <w:pStyle w:val="ListParagraph"/>
        <w:numPr>
          <w:ilvl w:val="0"/>
          <w:numId w:val="4"/>
        </w:numPr>
        <w:spacing w:after="60" w:line="340"/>
      </w:pPr>
      <w:r>
        <w:rPr>
          <w:rFonts w:ascii="Arial" w:cs="Arial" w:eastAsia="Arial" w:hAnsi="Arial"/>
          <w:color w:val="28251D"/>
          <w:sz w:val="21"/>
          <w:szCs w:val="21"/>
        </w:rPr>
        <w:t xml:space="preserve">Type enforcement: convert all amount fields to float64, dates to datetime</w:t>
      </w:r>
    </w:p>
    <w:p>
      <w:pPr>
        <w:pStyle w:val="ListParagraph"/>
        <w:numPr>
          <w:ilvl w:val="0"/>
          <w:numId w:val="4"/>
        </w:numPr>
        <w:spacing w:after="60" w:line="340"/>
      </w:pPr>
      <w:r>
        <w:rPr>
          <w:rFonts w:ascii="Arial" w:cs="Arial" w:eastAsia="Arial" w:hAnsi="Arial"/>
          <w:color w:val="28251D"/>
          <w:sz w:val="21"/>
          <w:szCs w:val="21"/>
        </w:rPr>
        <w:t xml:space="preserve">Ageing recomputation: calculate Age Days = report date minus break date, assign Bucket programmatically</w:t>
      </w:r>
    </w:p>
    <w:p>
      <w:pPr>
        <w:pStyle w:val="ListParagraph"/>
        <w:numPr>
          <w:ilvl w:val="0"/>
          <w:numId w:val="4"/>
        </w:numPr>
        <w:spacing w:after="60" w:line="340"/>
      </w:pPr>
      <w:r>
        <w:rPr>
          <w:rFonts w:ascii="Arial" w:cs="Arial" w:eastAsia="Arial" w:hAnsi="Arial"/>
          <w:color w:val="28251D"/>
          <w:sz w:val="21"/>
          <w:szCs w:val="21"/>
        </w:rPr>
        <w:t xml:space="preserve">Discrepancy flagging: compare computed vs. pre-populated Age Days, highlight mismatches</w:t>
      </w:r>
    </w:p>
    <w:p>
      <w:pPr>
        <w:pStyle w:val="ListParagraph"/>
        <w:numPr>
          <w:ilvl w:val="0"/>
          <w:numId w:val="4"/>
        </w:numPr>
        <w:spacing w:after="60" w:line="340"/>
      </w:pPr>
      <w:r>
        <w:rPr>
          <w:rFonts w:ascii="Arial" w:cs="Arial" w:eastAsia="Arial" w:hAnsi="Arial"/>
          <w:color w:val="28251D"/>
          <w:sz w:val="21"/>
          <w:szCs w:val="21"/>
        </w:rPr>
        <w:t xml:space="preserve">Data quality scorecard: per-period report on completeness, type violations, and outliers</w:t>
      </w:r>
    </w:p>
    <w:p>
      <w:pPr>
        <w:spacing w:after="40"/>
      </w:pPr>
    </w:p>
    <w:p>
      <w:pPr>
        <w:spacing w:after="80" w:before="200"/>
      </w:pPr>
      <w:r>
        <w:rPr>
          <w:rFonts w:ascii="Arial" w:cs="Arial" w:eastAsia="Arial" w:hAnsi="Arial"/>
          <w:b/>
          <w:bCs/>
          <w:color w:val="01696F"/>
          <w:sz w:val="22"/>
          <w:szCs w:val="22"/>
        </w:rPr>
        <w:t xml:space="preserve">Layer 2: Analytical Intelligence Engine</w:t>
      </w:r>
    </w:p>
    <w:p>
      <w:pPr>
        <w:pStyle w:val="ListParagraph"/>
        <w:numPr>
          <w:ilvl w:val="0"/>
          <w:numId w:val="5"/>
        </w:numPr>
        <w:spacing w:after="60" w:line="340"/>
      </w:pPr>
      <w:r>
        <w:rPr>
          <w:rFonts w:ascii="Arial" w:cs="Arial" w:eastAsia="Arial" w:hAnsi="Arial"/>
          <w:b/>
          <w:bCs/>
          <w:color w:val="28251D"/>
          <w:sz w:val="21"/>
          <w:szCs w:val="21"/>
        </w:rPr>
        <w:t xml:space="preserve">Historical Trend Analysis (existing requirement): </w:t>
      </w:r>
      <w:r>
        <w:rPr>
          <w:rFonts w:ascii="Arial" w:cs="Arial" w:eastAsia="Arial" w:hAnsi="Arial"/>
          <w:color w:val="28251D"/>
          <w:sz w:val="21"/>
          <w:szCs w:val="21"/>
        </w:rPr>
        <w:t xml:space="preserve">Break count and amount trends by Team &gt; Rec &gt; Entity &gt; Product, with drill-down and period-over-period comparisons</w:t>
      </w:r>
    </w:p>
    <w:p>
      <w:pPr>
        <w:pStyle w:val="ListParagraph"/>
        <w:numPr>
          <w:ilvl w:val="0"/>
          <w:numId w:val="5"/>
        </w:numPr>
        <w:spacing w:after="60" w:line="340"/>
      </w:pPr>
      <w:r>
        <w:rPr>
          <w:rFonts w:ascii="Arial" w:cs="Arial" w:eastAsia="Arial" w:hAnsi="Arial"/>
          <w:b/>
          <w:bCs/>
          <w:color w:val="28251D"/>
          <w:sz w:val="21"/>
          <w:szCs w:val="21"/>
        </w:rPr>
        <w:t xml:space="preserve">Hierarchical Time-Series Forecasting (new): </w:t>
      </w:r>
      <w:r>
        <w:rPr>
          <w:rFonts w:ascii="Arial" w:cs="Arial" w:eastAsia="Arial" w:hAnsi="Arial"/>
          <w:color w:val="28251D"/>
          <w:sz w:val="21"/>
          <w:szCs w:val="21"/>
        </w:rPr>
        <w:t xml:space="preserve">Predict next-period break volumes and amounts at each level of the hierarchy using ensemble models (LightGBM + Prophet), reconciled to maintain coherent forecasts across levels</w:t>
      </w:r>
    </w:p>
    <w:p>
      <w:pPr>
        <w:pStyle w:val="ListParagraph"/>
        <w:numPr>
          <w:ilvl w:val="0"/>
          <w:numId w:val="5"/>
        </w:numPr>
        <w:spacing w:after="60" w:line="340"/>
      </w:pPr>
      <w:r>
        <w:rPr>
          <w:rFonts w:ascii="Arial" w:cs="Arial" w:eastAsia="Arial" w:hAnsi="Arial"/>
          <w:b/>
          <w:bCs/>
          <w:color w:val="28251D"/>
          <w:sz w:val="21"/>
          <w:szCs w:val="21"/>
        </w:rPr>
        <w:t xml:space="preserve">Anomaly Detection (new): </w:t>
      </w:r>
      <w:r>
        <w:rPr>
          <w:rFonts w:ascii="Arial" w:cs="Arial" w:eastAsia="Arial" w:hAnsi="Arial"/>
          <w:color w:val="28251D"/>
          <w:sz w:val="21"/>
          <w:szCs w:val="21"/>
        </w:rPr>
        <w:t xml:space="preserve">Isolation Forest on break amounts per rec/entity. Z-score alerts for break count spikes. Real-time flagging of unusual patterns</w:t>
      </w:r>
    </w:p>
    <w:p>
      <w:pPr>
        <w:pStyle w:val="ListParagraph"/>
        <w:numPr>
          <w:ilvl w:val="0"/>
          <w:numId w:val="5"/>
        </w:numPr>
        <w:spacing w:after="60" w:line="340"/>
      </w:pPr>
      <w:r>
        <w:rPr>
          <w:rFonts w:ascii="Arial" w:cs="Arial" w:eastAsia="Arial" w:hAnsi="Arial"/>
          <w:b/>
          <w:bCs/>
          <w:color w:val="28251D"/>
          <w:sz w:val="21"/>
          <w:szCs w:val="21"/>
        </w:rPr>
        <w:t xml:space="preserve">Break Recurrence Engine (new): </w:t>
      </w:r>
      <w:r>
        <w:rPr>
          <w:rFonts w:ascii="Arial" w:cs="Arial" w:eastAsia="Arial" w:hAnsi="Arial"/>
          <w:color w:val="28251D"/>
          <w:sz w:val="21"/>
          <w:szCs w:val="21"/>
        </w:rPr>
        <w:t xml:space="preserve">Fuzzy matching of new breaks against historical database using Trade Ref, Amount, Rec Name, Entity. Recurrence scoring with configurable thresholds</w:t>
      </w:r>
    </w:p>
    <w:p>
      <w:pPr>
        <w:spacing w:after="40"/>
      </w:pPr>
    </w:p>
    <w:p>
      <w:pPr>
        <w:spacing w:after="80" w:before="200"/>
      </w:pPr>
      <w:r>
        <w:rPr>
          <w:rFonts w:ascii="Arial" w:cs="Arial" w:eastAsia="Arial" w:hAnsi="Arial"/>
          <w:b/>
          <w:bCs/>
          <w:color w:val="01696F"/>
          <w:sz w:val="22"/>
          <w:szCs w:val="22"/>
        </w:rPr>
        <w:t xml:space="preserve">Layer 3: NLP &amp; Root Cause Intelligence</w:t>
      </w:r>
    </w:p>
    <w:p>
      <w:pPr>
        <w:pStyle w:val="ListParagraph"/>
        <w:numPr>
          <w:ilvl w:val="0"/>
          <w:numId w:val="6"/>
        </w:numPr>
        <w:spacing w:after="60" w:line="340"/>
      </w:pPr>
      <w:r>
        <w:rPr>
          <w:rFonts w:ascii="Arial" w:cs="Arial" w:eastAsia="Arial" w:hAnsi="Arial"/>
          <w:b/>
          <w:bCs/>
          <w:color w:val="28251D"/>
          <w:sz w:val="21"/>
          <w:szCs w:val="21"/>
        </w:rPr>
        <w:t xml:space="preserve">Comment Mining Pipeline: </w:t>
      </w:r>
      <w:r>
        <w:rPr>
          <w:rFonts w:ascii="Arial" w:cs="Arial" w:eastAsia="Arial" w:hAnsi="Arial"/>
          <w:color w:val="28251D"/>
          <w:sz w:val="21"/>
          <w:szCs w:val="21"/>
        </w:rPr>
        <w:t xml:space="preserve">LLM-based extraction of root cause themes, resolution actions, counterparty references, and urgency signals from 621K+ comments</w:t>
      </w:r>
    </w:p>
    <w:p>
      <w:pPr>
        <w:pStyle w:val="ListParagraph"/>
        <w:numPr>
          <w:ilvl w:val="0"/>
          <w:numId w:val="6"/>
        </w:numPr>
        <w:spacing w:after="60" w:line="340"/>
      </w:pPr>
      <w:r>
        <w:rPr>
          <w:rFonts w:ascii="Arial" w:cs="Arial" w:eastAsia="Arial" w:hAnsi="Arial"/>
          <w:b/>
          <w:bCs/>
          <w:color w:val="28251D"/>
          <w:sz w:val="21"/>
          <w:szCs w:val="21"/>
        </w:rPr>
        <w:t xml:space="preserve">Automated Root Cause Classification: </w:t>
      </w:r>
      <w:r>
        <w:rPr>
          <w:rFonts w:ascii="Arial" w:cs="Arial" w:eastAsia="Arial" w:hAnsi="Arial"/>
          <w:color w:val="28251D"/>
          <w:sz w:val="21"/>
          <w:szCs w:val="21"/>
        </w:rPr>
        <w:t xml:space="preserve">Multi-label classifier trained on extracted themes to categorize every break (e.g., Timing Difference, Booking Error, Static Data, System Outage, Rate Mismatch, Missing Feed)</w:t>
      </w:r>
    </w:p>
    <w:p>
      <w:pPr>
        <w:pStyle w:val="ListParagraph"/>
        <w:numPr>
          <w:ilvl w:val="0"/>
          <w:numId w:val="6"/>
        </w:numPr>
        <w:spacing w:after="60" w:line="340"/>
      </w:pPr>
      <w:r>
        <w:rPr>
          <w:rFonts w:ascii="Arial" w:cs="Arial" w:eastAsia="Arial" w:hAnsi="Arial"/>
          <w:b/>
          <w:bCs/>
          <w:color w:val="28251D"/>
          <w:sz w:val="21"/>
          <w:szCs w:val="21"/>
        </w:rPr>
        <w:t xml:space="preserve">Institutional Knowledge Graph: </w:t>
      </w:r>
      <w:r>
        <w:rPr>
          <w:rFonts w:ascii="Arial" w:cs="Arial" w:eastAsia="Arial" w:hAnsi="Arial"/>
          <w:color w:val="28251D"/>
          <w:sz w:val="21"/>
          <w:szCs w:val="21"/>
        </w:rPr>
        <w:t xml:space="preserve">Build a searchable knowledge base linking break patterns to root causes, resolutions, and responsible teams. This prevents knowledge loss when analysts leave</w:t>
      </w:r>
    </w:p>
    <w:p>
      <w:pPr>
        <w:pStyle w:val="ListParagraph"/>
        <w:numPr>
          <w:ilvl w:val="0"/>
          <w:numId w:val="6"/>
        </w:numPr>
        <w:spacing w:after="60" w:line="340"/>
      </w:pPr>
      <w:r>
        <w:rPr>
          <w:rFonts w:ascii="Arial" w:cs="Arial" w:eastAsia="Arial" w:hAnsi="Arial"/>
          <w:b/>
          <w:bCs/>
          <w:color w:val="28251D"/>
          <w:sz w:val="21"/>
          <w:szCs w:val="21"/>
        </w:rPr>
        <w:t xml:space="preserve">Emerging Pattern Detection: </w:t>
      </w:r>
      <w:r>
        <w:rPr>
          <w:rFonts w:ascii="Arial" w:cs="Arial" w:eastAsia="Arial" w:hAnsi="Arial"/>
          <w:color w:val="28251D"/>
          <w:sz w:val="21"/>
          <w:szCs w:val="21"/>
        </w:rPr>
        <w:t xml:space="preserve">Cluster analysis across comments to detect new, previously unseen break patterns before they become systemic</w:t>
      </w:r>
    </w:p>
    <w:p>
      <w:pPr>
        <w:spacing w:after="40"/>
      </w:pPr>
    </w:p>
    <w:p>
      <w:pPr>
        <w:spacing w:after="80" w:before="200"/>
      </w:pPr>
      <w:r>
        <w:rPr>
          <w:rFonts w:ascii="Arial" w:cs="Arial" w:eastAsia="Arial" w:hAnsi="Arial"/>
          <w:b/>
          <w:bCs/>
          <w:color w:val="01696F"/>
          <w:sz w:val="22"/>
          <w:szCs w:val="22"/>
        </w:rPr>
        <w:t xml:space="preserve">Layer 4: Resolution Recommendation &amp; Automation</w:t>
      </w:r>
    </w:p>
    <w:p>
      <w:pPr>
        <w:pStyle w:val="ListParagraph"/>
        <w:numPr>
          <w:ilvl w:val="0"/>
          <w:numId w:val="7"/>
        </w:numPr>
        <w:spacing w:after="60" w:line="340"/>
      </w:pPr>
      <w:r>
        <w:rPr>
          <w:rFonts w:ascii="Arial" w:cs="Arial" w:eastAsia="Arial" w:hAnsi="Arial"/>
          <w:b/>
          <w:bCs/>
          <w:color w:val="28251D"/>
          <w:sz w:val="21"/>
          <w:szCs w:val="21"/>
        </w:rPr>
        <w:t xml:space="preserve">Resolution Recommendation Engine: </w:t>
      </w:r>
      <w:r>
        <w:rPr>
          <w:rFonts w:ascii="Arial" w:cs="Arial" w:eastAsia="Arial" w:hAnsi="Arial"/>
          <w:color w:val="28251D"/>
          <w:sz w:val="21"/>
          <w:szCs w:val="21"/>
        </w:rPr>
        <w:t xml:space="preserve">ML model (CatBoost/XGBoost) trained on historical break-to-resolution pairs. For each new break, suggest the most likely resolution action with confidence score</w:t>
      </w:r>
    </w:p>
    <w:p>
      <w:pPr>
        <w:pStyle w:val="ListParagraph"/>
        <w:numPr>
          <w:ilvl w:val="0"/>
          <w:numId w:val="7"/>
        </w:numPr>
        <w:spacing w:after="60" w:line="340"/>
      </w:pPr>
      <w:r>
        <w:rPr>
          <w:rFonts w:ascii="Arial" w:cs="Arial" w:eastAsia="Arial" w:hAnsi="Arial"/>
          <w:b/>
          <w:bCs/>
          <w:color w:val="28251D"/>
          <w:sz w:val="21"/>
          <w:szCs w:val="21"/>
        </w:rPr>
        <w:t xml:space="preserve">Automated Journal Posting Suggestions: </w:t>
      </w:r>
      <w:r>
        <w:rPr>
          <w:rFonts w:ascii="Arial" w:cs="Arial" w:eastAsia="Arial" w:hAnsi="Arial"/>
          <w:color w:val="28251D"/>
          <w:sz w:val="21"/>
          <w:szCs w:val="21"/>
        </w:rPr>
        <w:t xml:space="preserve">When the recommended resolution is a JV, pre-populate the journal entry details based on historical patterns</w:t>
      </w:r>
    </w:p>
    <w:p>
      <w:pPr>
        <w:pStyle w:val="ListParagraph"/>
        <w:numPr>
          <w:ilvl w:val="0"/>
          <w:numId w:val="7"/>
        </w:numPr>
        <w:spacing w:after="60" w:line="340"/>
      </w:pPr>
      <w:r>
        <w:rPr>
          <w:rFonts w:ascii="Arial" w:cs="Arial" w:eastAsia="Arial" w:hAnsi="Arial"/>
          <w:b/>
          <w:bCs/>
          <w:color w:val="28251D"/>
          <w:sz w:val="21"/>
          <w:szCs w:val="21"/>
        </w:rPr>
        <w:t xml:space="preserve">Jira Integration: </w:t>
      </w:r>
      <w:r>
        <w:rPr>
          <w:rFonts w:ascii="Arial" w:cs="Arial" w:eastAsia="Arial" w:hAnsi="Arial"/>
          <w:color w:val="28251D"/>
          <w:sz w:val="21"/>
          <w:szCs w:val="21"/>
        </w:rPr>
        <w:t xml:space="preserve">When the recommended action is escalation, auto-create or link to existing Jira tickets. Use EPIC and Priority from historical data to pre-fill</w:t>
      </w:r>
    </w:p>
    <w:p>
      <w:pPr>
        <w:pStyle w:val="ListParagraph"/>
        <w:numPr>
          <w:ilvl w:val="0"/>
          <w:numId w:val="7"/>
        </w:numPr>
        <w:spacing w:after="60" w:line="340"/>
      </w:pPr>
      <w:r>
        <w:rPr>
          <w:rFonts w:ascii="Arial" w:cs="Arial" w:eastAsia="Arial" w:hAnsi="Arial"/>
          <w:b/>
          <w:bCs/>
          <w:color w:val="28251D"/>
          <w:sz w:val="21"/>
          <w:szCs w:val="21"/>
        </w:rPr>
        <w:t xml:space="preserve">Feedback Loop: </w:t>
      </w:r>
      <w:r>
        <w:rPr>
          <w:rFonts w:ascii="Arial" w:cs="Arial" w:eastAsia="Arial" w:hAnsi="Arial"/>
          <w:color w:val="28251D"/>
          <w:sz w:val="21"/>
          <w:szCs w:val="21"/>
        </w:rPr>
        <w:t xml:space="preserve">Analyst actions (accept/reject/modify recommendation) are captured and used to retrain the model monthly, creating a continuous learning cycle</w:t>
      </w:r>
    </w:p>
    <w:p>
      <w:pPr>
        <w:spacing w:after="40"/>
      </w:pPr>
    </w:p>
    <w:p>
      <w:r>
        <w:br w:type="page"/>
      </w:r>
    </w:p>
    <w:p>
      <w:pPr>
        <w:pStyle w:val="Heading2"/>
        <w:spacing w:after="120" w:before="280"/>
      </w:pPr>
      <w:r>
        <w:rPr>
          <w:rFonts w:ascii="Arial" w:cs="Arial" w:eastAsia="Arial" w:hAnsi="Arial"/>
          <w:b/>
          <w:bCs/>
          <w:color w:val="28251D"/>
          <w:sz w:val="26"/>
          <w:szCs w:val="26"/>
        </w:rPr>
        <w:t xml:space="preserve">5.2 How This Differs From the Current Approach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51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Approach</w:t>
            </w:r>
          </w:p>
        </w:tc>
        <w:tc>
          <w:tcPr>
            <w:tcW w:type="dxa" w:w="351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Proposed Platform</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Analytics Type</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Descriptive (what happened)</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Descriptive + Diagnostic + Predictive + Prescriptive</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Root Cause</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Not captured (0% populated)</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Auto-extracted from comments via NLP, retroactively populated</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Forecasting</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None (reactive only)</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Hierarchical time-series forecasting at all levels</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Comment Analysis</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Manual reading</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LLM-powered mining, theme extraction, clustering</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Resolution</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Manual investigation each time</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ML-powered recommendations with confidence scores</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Recurrence</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Ad-hoc (45% populated)</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Automated fuzzy matching with recurrence scoring</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Data Quality</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No validation layer</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Automated quality checks, ageing recomputation, scorecards</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Anomaly Detection</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None</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Real-time alerting on break amounts and volumes</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Knowledge Retention</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Analyst-dependent</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Institutional knowledge graph from mined comments</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Manual Effort</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High (investigation, trending, reporting)</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Reduced by 60-70% through automation of investigation, recommendation, and reporting</w:t>
            </w:r>
          </w:p>
        </w:tc>
      </w:tr>
    </w:tbl>
    <w:p>
      <w:pPr>
        <w:spacing w:after="40"/>
      </w:pPr>
    </w:p>
    <w:p>
      <w:r>
        <w:br w:type="page"/>
      </w:r>
    </w:p>
    <w:p>
      <w:pPr>
        <w:pStyle w:val="Heading1"/>
        <w:spacing w:after="180" w:before="360"/>
      </w:pPr>
      <w:r>
        <w:rPr>
          <w:rFonts w:ascii="Arial" w:cs="Arial" w:eastAsia="Arial" w:hAnsi="Arial"/>
          <w:b/>
          <w:bCs/>
          <w:color w:val="01696F"/>
          <w:sz w:val="32"/>
          <w:szCs w:val="32"/>
        </w:rPr>
        <w:t xml:space="preserve">6. Phased Implementation Roadmap</w:t>
      </w:r>
    </w:p>
    <w:p>
      <w:pPr>
        <w:spacing w:after="80" w:line="340"/>
      </w:pPr>
      <w:r>
        <w:rPr>
          <w:rFonts w:ascii="Arial" w:cs="Arial" w:eastAsia="Arial" w:hAnsi="Arial"/>
          <w:color w:val="28251D"/>
          <w:sz w:val="21"/>
          <w:szCs w:val="21"/>
        </w:rPr>
        <w:t xml:space="preserve">The platform should be built incrementally. Each phase delivers standalone value while building towards the unified vision.</w:t>
      </w:r>
    </w:p>
    <w:p>
      <w:pPr>
        <w:spacing w:after="40"/>
      </w:pPr>
    </w:p>
    <w:p>
      <w:pPr>
        <w:pStyle w:val="Heading2"/>
        <w:spacing w:after="120" w:before="280"/>
      </w:pPr>
      <w:r>
        <w:rPr>
          <w:rFonts w:ascii="Arial" w:cs="Arial" w:eastAsia="Arial" w:hAnsi="Arial"/>
          <w:b/>
          <w:bCs/>
          <w:color w:val="28251D"/>
          <w:sz w:val="26"/>
          <w:szCs w:val="26"/>
        </w:rPr>
        <w:t xml:space="preserve">Phase 1: Foundation (Weeks 1-4)</w:t>
      </w:r>
    </w:p>
    <w:p>
      <w:pPr>
        <w:spacing w:after="80" w:before="200"/>
      </w:pPr>
      <w:r>
        <w:rPr>
          <w:rFonts w:ascii="Arial" w:cs="Arial" w:eastAsia="Arial" w:hAnsi="Arial"/>
          <w:b/>
          <w:bCs/>
          <w:color w:val="01696F"/>
          <w:sz w:val="22"/>
          <w:szCs w:val="22"/>
        </w:rPr>
        <w:t xml:space="preserve">Data Quality + Ageing Validation + Trending (Existing Requirement)</w:t>
      </w:r>
    </w:p>
    <w:p>
      <w:pPr>
        <w:pStyle w:val="ListParagraph"/>
        <w:numPr>
          <w:ilvl w:val="0"/>
          <w:numId w:val="8"/>
        </w:numPr>
        <w:spacing w:after="60" w:line="340"/>
      </w:pPr>
      <w:r>
        <w:rPr>
          <w:rFonts w:ascii="Arial" w:cs="Arial" w:eastAsia="Arial" w:hAnsi="Arial"/>
          <w:color w:val="28251D"/>
          <w:sz w:val="21"/>
          <w:szCs w:val="21"/>
        </w:rPr>
        <w:t xml:space="preserve">Build the data ingestion and quality engine (Layer 1)</w:t>
      </w:r>
    </w:p>
    <w:p>
      <w:pPr>
        <w:pStyle w:val="ListParagraph"/>
        <w:numPr>
          <w:ilvl w:val="0"/>
          <w:numId w:val="8"/>
        </w:numPr>
        <w:spacing w:after="60" w:line="340"/>
      </w:pPr>
      <w:r>
        <w:rPr>
          <w:rFonts w:ascii="Arial" w:cs="Arial" w:eastAsia="Arial" w:hAnsi="Arial"/>
          <w:color w:val="28251D"/>
          <w:sz w:val="21"/>
          <w:szCs w:val="21"/>
        </w:rPr>
        <w:t xml:space="preserve">Implement ageing recomputation and discrepancy flagging</w:t>
      </w:r>
    </w:p>
    <w:p>
      <w:pPr>
        <w:pStyle w:val="ListParagraph"/>
        <w:numPr>
          <w:ilvl w:val="0"/>
          <w:numId w:val="8"/>
        </w:numPr>
        <w:spacing w:after="60" w:line="340"/>
      </w:pPr>
      <w:r>
        <w:rPr>
          <w:rFonts w:ascii="Arial" w:cs="Arial" w:eastAsia="Arial" w:hAnsi="Arial"/>
          <w:color w:val="28251D"/>
          <w:sz w:val="21"/>
          <w:szCs w:val="21"/>
        </w:rPr>
        <w:t xml:space="preserve">Deliver the historical trend analysis dashboards (Streamlit-based)</w:t>
      </w:r>
    </w:p>
    <w:p>
      <w:pPr>
        <w:pStyle w:val="ListParagraph"/>
        <w:numPr>
          <w:ilvl w:val="0"/>
          <w:numId w:val="8"/>
        </w:numPr>
        <w:spacing w:after="60" w:line="340"/>
      </w:pPr>
      <w:r>
        <w:rPr>
          <w:rFonts w:ascii="Arial" w:cs="Arial" w:eastAsia="Arial" w:hAnsi="Arial"/>
          <w:color w:val="28251D"/>
          <w:sz w:val="21"/>
          <w:szCs w:val="21"/>
        </w:rPr>
        <w:t xml:space="preserve">Covers the original requirement while establishing a clean data foundation</w:t>
      </w:r>
    </w:p>
    <w:p>
      <w:pPr>
        <w:spacing w:after="40"/>
      </w:pPr>
    </w:p>
    <w:p>
      <w:pPr>
        <w:pStyle w:val="Heading2"/>
        <w:spacing w:after="120" w:before="280"/>
      </w:pPr>
      <w:r>
        <w:rPr>
          <w:rFonts w:ascii="Arial" w:cs="Arial" w:eastAsia="Arial" w:hAnsi="Arial"/>
          <w:b/>
          <w:bCs/>
          <w:color w:val="28251D"/>
          <w:sz w:val="26"/>
          <w:szCs w:val="26"/>
        </w:rPr>
        <w:t xml:space="preserve">Phase 2: Intelligence (Weeks 5-10)</w:t>
      </w:r>
    </w:p>
    <w:p>
      <w:pPr>
        <w:spacing w:after="80" w:before="200"/>
      </w:pPr>
      <w:r>
        <w:rPr>
          <w:rFonts w:ascii="Arial" w:cs="Arial" w:eastAsia="Arial" w:hAnsi="Arial"/>
          <w:b/>
          <w:bCs/>
          <w:color w:val="01696F"/>
          <w:sz w:val="22"/>
          <w:szCs w:val="22"/>
        </w:rPr>
        <w:t xml:space="preserve">NLP Comment Mining + Root Cause Classification</w:t>
      </w:r>
    </w:p>
    <w:p>
      <w:pPr>
        <w:pStyle w:val="ListParagraph"/>
        <w:numPr>
          <w:ilvl w:val="0"/>
          <w:numId w:val="9"/>
        </w:numPr>
        <w:spacing w:after="60" w:line="340"/>
      </w:pPr>
      <w:r>
        <w:rPr>
          <w:rFonts w:ascii="Arial" w:cs="Arial" w:eastAsia="Arial" w:hAnsi="Arial"/>
          <w:color w:val="28251D"/>
          <w:sz w:val="21"/>
          <w:szCs w:val="21"/>
        </w:rPr>
        <w:t xml:space="preserve">Deploy LLM pipeline on the Comments column (621K records)</w:t>
      </w:r>
    </w:p>
    <w:p>
      <w:pPr>
        <w:pStyle w:val="ListParagraph"/>
        <w:numPr>
          <w:ilvl w:val="0"/>
          <w:numId w:val="9"/>
        </w:numPr>
        <w:spacing w:after="60" w:line="340"/>
      </w:pPr>
      <w:r>
        <w:rPr>
          <w:rFonts w:ascii="Arial" w:cs="Arial" w:eastAsia="Arial" w:hAnsi="Arial"/>
          <w:color w:val="28251D"/>
          <w:sz w:val="21"/>
          <w:szCs w:val="21"/>
        </w:rPr>
        <w:t xml:space="preserve">Extract and classify root cause themes retroactively</w:t>
      </w:r>
    </w:p>
    <w:p>
      <w:pPr>
        <w:pStyle w:val="ListParagraph"/>
        <w:numPr>
          <w:ilvl w:val="0"/>
          <w:numId w:val="9"/>
        </w:numPr>
        <w:spacing w:after="60" w:line="340"/>
      </w:pPr>
      <w:r>
        <w:rPr>
          <w:rFonts w:ascii="Arial" w:cs="Arial" w:eastAsia="Arial" w:hAnsi="Arial"/>
          <w:color w:val="28251D"/>
          <w:sz w:val="21"/>
          <w:szCs w:val="21"/>
        </w:rPr>
        <w:t xml:space="preserve">Build the break recurrence detection engine</w:t>
      </w:r>
    </w:p>
    <w:p>
      <w:pPr>
        <w:pStyle w:val="ListParagraph"/>
        <w:numPr>
          <w:ilvl w:val="0"/>
          <w:numId w:val="9"/>
        </w:numPr>
        <w:spacing w:after="60" w:line="340"/>
      </w:pPr>
      <w:r>
        <w:rPr>
          <w:rFonts w:ascii="Arial" w:cs="Arial" w:eastAsia="Arial" w:hAnsi="Arial"/>
          <w:color w:val="28251D"/>
          <w:sz w:val="21"/>
          <w:szCs w:val="21"/>
        </w:rPr>
        <w:t xml:space="preserve">Populate the Root Cause Identified column systematically for the first time</w:t>
      </w:r>
    </w:p>
    <w:p>
      <w:pPr>
        <w:spacing w:after="40"/>
      </w:pPr>
    </w:p>
    <w:p>
      <w:pPr>
        <w:pStyle w:val="Heading2"/>
        <w:spacing w:after="120" w:before="280"/>
      </w:pPr>
      <w:r>
        <w:rPr>
          <w:rFonts w:ascii="Arial" w:cs="Arial" w:eastAsia="Arial" w:hAnsi="Arial"/>
          <w:b/>
          <w:bCs/>
          <w:color w:val="28251D"/>
          <w:sz w:val="26"/>
          <w:szCs w:val="26"/>
        </w:rPr>
        <w:t xml:space="preserve">Phase 3: Prediction (Weeks 11-16)</w:t>
      </w:r>
    </w:p>
    <w:p>
      <w:pPr>
        <w:spacing w:after="80" w:before="200"/>
      </w:pPr>
      <w:r>
        <w:rPr>
          <w:rFonts w:ascii="Arial" w:cs="Arial" w:eastAsia="Arial" w:hAnsi="Arial"/>
          <w:b/>
          <w:bCs/>
          <w:color w:val="01696F"/>
          <w:sz w:val="22"/>
          <w:szCs w:val="22"/>
        </w:rPr>
        <w:t xml:space="preserve">Forecasting + Anomaly Detection</w:t>
      </w:r>
    </w:p>
    <w:p>
      <w:pPr>
        <w:pStyle w:val="ListParagraph"/>
        <w:numPr>
          <w:ilvl w:val="0"/>
          <w:numId w:val="10"/>
        </w:numPr>
        <w:spacing w:after="60" w:line="340"/>
      </w:pPr>
      <w:r>
        <w:rPr>
          <w:rFonts w:ascii="Arial" w:cs="Arial" w:eastAsia="Arial" w:hAnsi="Arial"/>
          <w:color w:val="28251D"/>
          <w:sz w:val="21"/>
          <w:szCs w:val="21"/>
        </w:rPr>
        <w:t xml:space="preserve">Train hierarchical time-series forecasting models</w:t>
      </w:r>
    </w:p>
    <w:p>
      <w:pPr>
        <w:pStyle w:val="ListParagraph"/>
        <w:numPr>
          <w:ilvl w:val="0"/>
          <w:numId w:val="10"/>
        </w:numPr>
        <w:spacing w:after="60" w:line="340"/>
      </w:pPr>
      <w:r>
        <w:rPr>
          <w:rFonts w:ascii="Arial" w:cs="Arial" w:eastAsia="Arial" w:hAnsi="Arial"/>
          <w:color w:val="28251D"/>
          <w:sz w:val="21"/>
          <w:szCs w:val="21"/>
        </w:rPr>
        <w:t xml:space="preserve">Implement anomaly detection on break amounts</w:t>
      </w:r>
    </w:p>
    <w:p>
      <w:pPr>
        <w:pStyle w:val="ListParagraph"/>
        <w:numPr>
          <w:ilvl w:val="0"/>
          <w:numId w:val="10"/>
        </w:numPr>
        <w:spacing w:after="60" w:line="340"/>
      </w:pPr>
      <w:r>
        <w:rPr>
          <w:rFonts w:ascii="Arial" w:cs="Arial" w:eastAsia="Arial" w:hAnsi="Arial"/>
          <w:color w:val="28251D"/>
          <w:sz w:val="21"/>
          <w:szCs w:val="21"/>
        </w:rPr>
        <w:t xml:space="preserve">Add predictive dashboards showing next-period forecasts</w:t>
      </w:r>
    </w:p>
    <w:p>
      <w:pPr>
        <w:pStyle w:val="ListParagraph"/>
        <w:numPr>
          <w:ilvl w:val="0"/>
          <w:numId w:val="10"/>
        </w:numPr>
        <w:spacing w:after="60" w:line="340"/>
      </w:pPr>
      <w:r>
        <w:rPr>
          <w:rFonts w:ascii="Arial" w:cs="Arial" w:eastAsia="Arial" w:hAnsi="Arial"/>
          <w:color w:val="28251D"/>
          <w:sz w:val="21"/>
          <w:szCs w:val="21"/>
        </w:rPr>
        <w:t xml:space="preserve">Deploy alerting for anomalous breaks and predicted spikes</w:t>
      </w:r>
    </w:p>
    <w:p>
      <w:pPr>
        <w:spacing w:after="40"/>
      </w:pPr>
    </w:p>
    <w:p>
      <w:pPr>
        <w:pStyle w:val="Heading2"/>
        <w:spacing w:after="120" w:before="280"/>
      </w:pPr>
      <w:r>
        <w:rPr>
          <w:rFonts w:ascii="Arial" w:cs="Arial" w:eastAsia="Arial" w:hAnsi="Arial"/>
          <w:b/>
          <w:bCs/>
          <w:color w:val="28251D"/>
          <w:sz w:val="26"/>
          <w:szCs w:val="26"/>
        </w:rPr>
        <w:t xml:space="preserve">Phase 4: Automation (Weeks 17-22)</w:t>
      </w:r>
    </w:p>
    <w:p>
      <w:pPr>
        <w:spacing w:after="80" w:before="200"/>
      </w:pPr>
      <w:r>
        <w:rPr>
          <w:rFonts w:ascii="Arial" w:cs="Arial" w:eastAsia="Arial" w:hAnsi="Arial"/>
          <w:b/>
          <w:bCs/>
          <w:color w:val="01696F"/>
          <w:sz w:val="22"/>
          <w:szCs w:val="22"/>
        </w:rPr>
        <w:t xml:space="preserve">Resolution Recommendation + Feedback Loop</w:t>
      </w:r>
    </w:p>
    <w:p>
      <w:pPr>
        <w:pStyle w:val="ListParagraph"/>
        <w:numPr>
          <w:ilvl w:val="0"/>
          <w:numId w:val="11"/>
        </w:numPr>
        <w:spacing w:after="60" w:line="340"/>
      </w:pPr>
      <w:r>
        <w:rPr>
          <w:rFonts w:ascii="Arial" w:cs="Arial" w:eastAsia="Arial" w:hAnsi="Arial"/>
          <w:color w:val="28251D"/>
          <w:sz w:val="21"/>
          <w:szCs w:val="21"/>
        </w:rPr>
        <w:t xml:space="preserve">Train the resolution recommendation model on historical data</w:t>
      </w:r>
    </w:p>
    <w:p>
      <w:pPr>
        <w:pStyle w:val="ListParagraph"/>
        <w:numPr>
          <w:ilvl w:val="0"/>
          <w:numId w:val="11"/>
        </w:numPr>
        <w:spacing w:after="60" w:line="340"/>
      </w:pPr>
      <w:r>
        <w:rPr>
          <w:rFonts w:ascii="Arial" w:cs="Arial" w:eastAsia="Arial" w:hAnsi="Arial"/>
          <w:color w:val="28251D"/>
          <w:sz w:val="21"/>
          <w:szCs w:val="21"/>
        </w:rPr>
        <w:t xml:space="preserve">Integrate Jira auto-creation for escalation recommendations</w:t>
      </w:r>
    </w:p>
    <w:p>
      <w:pPr>
        <w:pStyle w:val="ListParagraph"/>
        <w:numPr>
          <w:ilvl w:val="0"/>
          <w:numId w:val="11"/>
        </w:numPr>
        <w:spacing w:after="60" w:line="340"/>
      </w:pPr>
      <w:r>
        <w:rPr>
          <w:rFonts w:ascii="Arial" w:cs="Arial" w:eastAsia="Arial" w:hAnsi="Arial"/>
          <w:color w:val="28251D"/>
          <w:sz w:val="21"/>
          <w:szCs w:val="21"/>
        </w:rPr>
        <w:t xml:space="preserve">Build the analyst feedback loop (accept/reject/modify)</w:t>
      </w:r>
    </w:p>
    <w:p>
      <w:pPr>
        <w:pStyle w:val="ListParagraph"/>
        <w:numPr>
          <w:ilvl w:val="0"/>
          <w:numId w:val="11"/>
        </w:numPr>
        <w:spacing w:after="60" w:line="340"/>
      </w:pPr>
      <w:r>
        <w:rPr>
          <w:rFonts w:ascii="Arial" w:cs="Arial" w:eastAsia="Arial" w:hAnsi="Arial"/>
          <w:color w:val="28251D"/>
          <w:sz w:val="21"/>
          <w:szCs w:val="21"/>
        </w:rPr>
        <w:t xml:space="preserve">Establish monthly model retraining pipeline</w:t>
      </w:r>
    </w:p>
    <w:p>
      <w:pPr>
        <w:spacing w:after="40"/>
      </w:pPr>
    </w:p>
    <w:p>
      <w:r>
        <w:br w:type="page"/>
      </w:r>
    </w:p>
    <w:p>
      <w:pPr>
        <w:pStyle w:val="Heading1"/>
        <w:spacing w:after="180" w:before="360"/>
      </w:pPr>
      <w:r>
        <w:rPr>
          <w:rFonts w:ascii="Arial" w:cs="Arial" w:eastAsia="Arial" w:hAnsi="Arial"/>
          <w:b/>
          <w:bCs/>
          <w:color w:val="01696F"/>
          <w:sz w:val="32"/>
          <w:szCs w:val="32"/>
        </w:rPr>
        <w:t xml:space="preserve">7. Estimated Manual Effort Reduction</w:t>
      </w:r>
    </w:p>
    <w:p>
      <w:pPr>
        <w:spacing w:after="80" w:line="340"/>
      </w:pPr>
      <w:r>
        <w:rPr>
          <w:rFonts w:ascii="Arial" w:cs="Arial" w:eastAsia="Arial" w:hAnsi="Arial"/>
          <w:color w:val="28251D"/>
          <w:sz w:val="21"/>
          <w:szCs w:val="21"/>
        </w:rPr>
        <w:t xml:space="preserve">The following estimates are based on industry benchmarks and the specific dataset characteristics.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220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(hrs/month)</w:t>
            </w:r>
          </w:p>
        </w:tc>
        <w:tc>
          <w:tcPr>
            <w:tcW w:type="dxa" w:w="220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With Platform</w:t>
            </w:r>
          </w:p>
        </w:tc>
        <w:tc>
          <w:tcPr>
            <w:tcW w:type="dxa" w:w="216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Reduction</w:t>
            </w:r>
          </w:p>
        </w:tc>
      </w:tr>
      <w:tr>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Trend analysis &amp; MI reporting</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40-60 hrs</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5-10 hrs</w:t>
            </w:r>
          </w:p>
        </w:tc>
        <w:tc>
          <w:tcPr>
            <w:tcW w:type="dxa" w:w="21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437A22"/>
                <w:sz w:val="20"/>
                <w:szCs w:val="20"/>
              </w:rPr>
              <w:t xml:space="preserve">~80%</w:t>
            </w:r>
          </w:p>
        </w:tc>
      </w:tr>
      <w:tr>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Break investigation</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80-120 hrs</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20-40 hrs</w:t>
            </w:r>
          </w:p>
        </w:tc>
        <w:tc>
          <w:tcPr>
            <w:tcW w:type="dxa" w:w="21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437A22"/>
                <w:sz w:val="20"/>
                <w:szCs w:val="20"/>
              </w:rPr>
              <w:t xml:space="preserve">~65%</w:t>
            </w:r>
          </w:p>
        </w:tc>
      </w:tr>
      <w:tr>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Root cause identification</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30-50 hrs</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5-8 hrs (review)</w:t>
            </w:r>
          </w:p>
        </w:tc>
        <w:tc>
          <w:tcPr>
            <w:tcW w:type="dxa" w:w="21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437A22"/>
                <w:sz w:val="20"/>
                <w:szCs w:val="20"/>
              </w:rPr>
              <w:t xml:space="preserve">~85%</w:t>
            </w:r>
          </w:p>
        </w:tc>
      </w:tr>
      <w:tr>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Recurrence checking</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15-25 hrs</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0 hrs (automated)</w:t>
            </w:r>
          </w:p>
        </w:tc>
        <w:tc>
          <w:tcPr>
            <w:tcW w:type="dxa" w:w="21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437A22"/>
                <w:sz w:val="20"/>
                <w:szCs w:val="20"/>
              </w:rPr>
              <w:t xml:space="preserve">~100%</w:t>
            </w:r>
          </w:p>
        </w:tc>
      </w:tr>
      <w:tr>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Ageing validation</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10-15 hrs</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0 hrs (automated)</w:t>
            </w:r>
          </w:p>
        </w:tc>
        <w:tc>
          <w:tcPr>
            <w:tcW w:type="dxa" w:w="21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437A22"/>
                <w:sz w:val="20"/>
                <w:szCs w:val="20"/>
              </w:rPr>
              <w:t xml:space="preserve">~100%</w:t>
            </w:r>
          </w:p>
        </w:tc>
      </w:tr>
      <w:tr>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Data quality checks</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10-20 hrs</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1-2 hrs (review)</w:t>
            </w:r>
          </w:p>
        </w:tc>
        <w:tc>
          <w:tcPr>
            <w:tcW w:type="dxa" w:w="21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437A22"/>
                <w:sz w:val="20"/>
                <w:szCs w:val="20"/>
              </w:rPr>
              <w:t xml:space="preserve">~90%</w:t>
            </w:r>
          </w:p>
        </w:tc>
      </w:tr>
      <w:tr>
        <w:tc>
          <w:tcPr>
            <w:tcW w:type="dxa" w:w="28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Total (estimated)</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185-290 hrs</w:t>
            </w:r>
          </w:p>
        </w:tc>
        <w:tc>
          <w:tcPr>
            <w:tcW w:type="dxa" w:w="220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31-60 hrs</w:t>
            </w:r>
          </w:p>
        </w:tc>
        <w:tc>
          <w:tcPr>
            <w:tcW w:type="dxa" w:w="216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01696F"/>
                <w:sz w:val="20"/>
                <w:szCs w:val="20"/>
              </w:rPr>
              <w:t xml:space="preserve">~75%</w:t>
            </w:r>
          </w:p>
        </w:tc>
      </w:tr>
    </w:tbl>
    <w:p>
      <w:pPr>
        <w:spacing w:after="40"/>
      </w:pPr>
    </w:p>
    <w:p>
      <w:r>
        <w:br w:type="page"/>
      </w:r>
    </w:p>
    <w:p>
      <w:pPr>
        <w:pStyle w:val="Heading1"/>
        <w:spacing w:after="180" w:before="360"/>
      </w:pPr>
      <w:r>
        <w:rPr>
          <w:rFonts w:ascii="Arial" w:cs="Arial" w:eastAsia="Arial" w:hAnsi="Arial"/>
          <w:b/>
          <w:bCs/>
          <w:color w:val="01696F"/>
          <w:sz w:val="32"/>
          <w:szCs w:val="32"/>
        </w:rPr>
        <w:t xml:space="preserve">8. Recommended Technology Stack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51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510"/>
            <w:tcBorders>
              <w:top w:val="single" w:color="D4D1CA" w:sz="1"/>
              <w:left w:val="single" w:color="D4D1CA" w:sz="1"/>
              <w:bottom w:val="single" w:color="D4D1CA" w:sz="1"/>
              <w:right w:val="single" w:color="D4D1CA" w:sz="1"/>
            </w:tcBorders>
            <w:shd w:fill="01696F"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Data Quality</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Python + Pandas + Great Expectations</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Declarative data quality rules, automated validation</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Trend Dashboard</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Streamlit + Plotly</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Matches existing Streamlit skill set, interactive drill-downs</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NLP/Root Cause</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Phi-4 (on-prem) or LLM via RAG</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Data sovereignty compliance, already exploring Phi-4</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Forecasting</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Prophet + LightGBM + HiFoReAd-style reconciliation</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Hierarchical coherence at Team &gt; Rec &gt; Product level</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Anomaly Detection</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Isolation Forest (scikit-learn)</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Well-suited for high-dimensional break data</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Resolution ML</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CatBoost</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Handles categorical features natively, proven in your prior work</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Recurrence</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FuzzyWuzzy + FAISS</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Fast similarity search across 600K+ records</w:t>
            </w:r>
          </w:p>
        </w:tc>
      </w:tr>
      <w:tr>
        <w:tc>
          <w:tcPr>
            <w:tcW w:type="dxa" w:w="234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bCs/>
                <w:color w:val="28251D"/>
                <w:sz w:val="20"/>
                <w:szCs w:val="20"/>
              </w:rPr>
              <w:t xml:space="preserve">Integration</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Jira API + Outlook/EWS</w:t>
            </w:r>
          </w:p>
        </w:tc>
        <w:tc>
          <w:tcPr>
            <w:tcW w:type="dxa" w:w="3510"/>
            <w:tcBorders>
              <w:top w:val="single" w:color="D4D1CA" w:sz="1"/>
              <w:left w:val="single" w:color="D4D1CA" w:sz="1"/>
              <w:bottom w:val="single" w:color="D4D1CA" w:sz="1"/>
              <w:right w:val="single" w:color="D4D1CA" w:sz="1"/>
            </w:tcBorders>
            <w:tcMar>
              <w:top w:type="dxa" w:w="60"/>
              <w:left w:type="dxa" w:w="100"/>
              <w:bottom w:type="dxa" w:w="60"/>
              <w:right w:type="dxa" w:w="100"/>
            </w:tcMar>
            <w:vAlign w:val="center"/>
          </w:tcPr>
          <w:p>
            <w:r>
              <w:rPr>
                <w:rFonts w:ascii="Arial" w:cs="Arial" w:eastAsia="Arial" w:hAnsi="Arial"/>
                <w:b w:val="false"/>
                <w:bCs w:val="false"/>
                <w:color w:val="28251D"/>
                <w:sz w:val="20"/>
                <w:szCs w:val="20"/>
              </w:rPr>
              <w:t xml:space="preserve">Existing enterprise tools, already have EWS experience</w:t>
            </w:r>
          </w:p>
        </w:tc>
      </w:tr>
    </w:tbl>
    <w:p>
      <w:pPr>
        <w:spacing w:after="40"/>
      </w:pPr>
    </w:p>
    <w:p>
      <w:r>
        <w:br w:type="page"/>
      </w:r>
    </w:p>
    <w:p>
      <w:pPr>
        <w:pStyle w:val="Heading1"/>
        <w:spacing w:after="180" w:before="360"/>
      </w:pPr>
      <w:r>
        <w:rPr>
          <w:rFonts w:ascii="Arial" w:cs="Arial" w:eastAsia="Arial" w:hAnsi="Arial"/>
          <w:b/>
          <w:bCs/>
          <w:color w:val="01696F"/>
          <w:sz w:val="32"/>
          <w:szCs w:val="32"/>
        </w:rPr>
        <w:t xml:space="preserve">9. AI Governance Alignment</w:t>
      </w:r>
    </w:p>
    <w:p>
      <w:pPr>
        <w:spacing w:after="80" w:line="340"/>
      </w:pPr>
      <w:r>
        <w:rPr>
          <w:rFonts w:ascii="Arial" w:cs="Arial" w:eastAsia="Arial" w:hAnsi="Arial"/>
          <w:color w:val="28251D"/>
          <w:sz w:val="21"/>
          <w:szCs w:val="21"/>
        </w:rPr>
        <w:t xml:space="preserve">This unified platform strengthens the AI governance case because:</w:t>
      </w:r>
    </w:p>
    <w:p>
      <w:pPr>
        <w:spacing w:after="40"/>
      </w:pPr>
    </w:p>
    <w:p>
      <w:pPr>
        <w:pStyle w:val="ListParagraph"/>
        <w:numPr>
          <w:ilvl w:val="0"/>
          <w:numId w:val="12"/>
        </w:numPr>
        <w:spacing w:after="60" w:line="340"/>
      </w:pPr>
      <w:r>
        <w:rPr>
          <w:rFonts w:ascii="Arial" w:cs="Arial" w:eastAsia="Arial" w:hAnsi="Arial"/>
          <w:b/>
          <w:bCs/>
          <w:color w:val="28251D"/>
          <w:sz w:val="21"/>
          <w:szCs w:val="21"/>
        </w:rPr>
        <w:t xml:space="preserve">Single Use Case, Multiple Capabilities: </w:t>
      </w:r>
      <w:r>
        <w:rPr>
          <w:rFonts w:ascii="Arial" w:cs="Arial" w:eastAsia="Arial" w:hAnsi="Arial"/>
          <w:color w:val="28251D"/>
          <w:sz w:val="21"/>
          <w:szCs w:val="21"/>
        </w:rPr>
        <w:t xml:space="preserve">Rather than seeking approval for 4-5 separate AI tools, this is one coherent use case ("Intelligent Accounting Control") with a clear problem statement and measurable outcomes.</w:t>
      </w:r>
    </w:p>
    <w:p>
      <w:pPr>
        <w:pStyle w:val="ListParagraph"/>
        <w:numPr>
          <w:ilvl w:val="0"/>
          <w:numId w:val="12"/>
        </w:numPr>
        <w:spacing w:after="60" w:line="340"/>
      </w:pPr>
      <w:r>
        <w:rPr>
          <w:rFonts w:ascii="Arial" w:cs="Arial" w:eastAsia="Arial" w:hAnsi="Arial"/>
          <w:b/>
          <w:bCs/>
          <w:color w:val="28251D"/>
          <w:sz w:val="21"/>
          <w:szCs w:val="21"/>
        </w:rPr>
        <w:t xml:space="preserve">Human-in-the-Loop: </w:t>
      </w:r>
      <w:r>
        <w:rPr>
          <w:rFonts w:ascii="Arial" w:cs="Arial" w:eastAsia="Arial" w:hAnsi="Arial"/>
          <w:color w:val="28251D"/>
          <w:sz w:val="21"/>
          <w:szCs w:val="21"/>
        </w:rPr>
        <w:t xml:space="preserve">Every AI recommendation requires analyst approval before action. The system suggests, the human decides. This satisfies governance requirements for human oversight.</w:t>
      </w:r>
    </w:p>
    <w:p>
      <w:pPr>
        <w:pStyle w:val="ListParagraph"/>
        <w:numPr>
          <w:ilvl w:val="0"/>
          <w:numId w:val="12"/>
        </w:numPr>
        <w:spacing w:after="60" w:line="340"/>
      </w:pPr>
      <w:r>
        <w:rPr>
          <w:rFonts w:ascii="Arial" w:cs="Arial" w:eastAsia="Arial" w:hAnsi="Arial"/>
          <w:b/>
          <w:bCs/>
          <w:color w:val="28251D"/>
          <w:sz w:val="21"/>
          <w:szCs w:val="21"/>
        </w:rPr>
        <w:t xml:space="preserve">Explainability: </w:t>
      </w:r>
      <w:r>
        <w:rPr>
          <w:rFonts w:ascii="Arial" w:cs="Arial" w:eastAsia="Arial" w:hAnsi="Arial"/>
          <w:color w:val="28251D"/>
          <w:sz w:val="21"/>
          <w:szCs w:val="21"/>
        </w:rPr>
        <w:t xml:space="preserve">Each recommendation comes with a confidence score and historical evidence trail ("This recommendation is based on 12 similar breaks resolved the same way"). Full auditability of AI decisions.</w:t>
      </w:r>
    </w:p>
    <w:p>
      <w:pPr>
        <w:pStyle w:val="ListParagraph"/>
        <w:numPr>
          <w:ilvl w:val="0"/>
          <w:numId w:val="12"/>
        </w:numPr>
        <w:spacing w:after="60" w:line="340"/>
      </w:pPr>
      <w:r>
        <w:rPr>
          <w:rFonts w:ascii="Arial" w:cs="Arial" w:eastAsia="Arial" w:hAnsi="Arial"/>
          <w:b/>
          <w:bCs/>
          <w:color w:val="28251D"/>
          <w:sz w:val="21"/>
          <w:szCs w:val="21"/>
        </w:rPr>
        <w:t xml:space="preserve">Data Sovereignty: </w:t>
      </w:r>
      <w:r>
        <w:rPr>
          <w:rFonts w:ascii="Arial" w:cs="Arial" w:eastAsia="Arial" w:hAnsi="Arial"/>
          <w:color w:val="28251D"/>
          <w:sz w:val="21"/>
          <w:szCs w:val="21"/>
        </w:rPr>
        <w:t xml:space="preserve">All data stays on-premises. LLM processing uses on-prem models (Phi-4) or API calls within the bank's approved infrastructure.</w:t>
      </w:r>
    </w:p>
    <w:p>
      <w:pPr>
        <w:pStyle w:val="ListParagraph"/>
        <w:numPr>
          <w:ilvl w:val="0"/>
          <w:numId w:val="12"/>
        </w:numPr>
        <w:spacing w:after="60" w:line="340"/>
      </w:pPr>
      <w:r>
        <w:rPr>
          <w:rFonts w:ascii="Arial" w:cs="Arial" w:eastAsia="Arial" w:hAnsi="Arial"/>
          <w:b/>
          <w:bCs/>
          <w:color w:val="28251D"/>
          <w:sz w:val="21"/>
          <w:szCs w:val="21"/>
        </w:rPr>
        <w:t xml:space="preserve">Measurable ROI: </w:t>
      </w:r>
      <w:r>
        <w:rPr>
          <w:rFonts w:ascii="Arial" w:cs="Arial" w:eastAsia="Arial" w:hAnsi="Arial"/>
          <w:color w:val="28251D"/>
          <w:sz w:val="21"/>
          <w:szCs w:val="21"/>
        </w:rPr>
        <w:t xml:space="preserve">75% manual effort reduction, from 185-290 hrs/month to 31-60 hrs/month. Quantifiable improvement in break resolution time and root cause identification accuracy.</w:t>
      </w:r>
    </w:p>
    <w:p>
      <w:pPr>
        <w:pStyle w:val="ListParagraph"/>
        <w:numPr>
          <w:ilvl w:val="0"/>
          <w:numId w:val="12"/>
        </w:numPr>
        <w:spacing w:after="60" w:line="340"/>
      </w:pPr>
      <w:r>
        <w:rPr>
          <w:rFonts w:ascii="Arial" w:cs="Arial" w:eastAsia="Arial" w:hAnsi="Arial"/>
          <w:b/>
          <w:bCs/>
          <w:color w:val="28251D"/>
          <w:sz w:val="21"/>
          <w:szCs w:val="21"/>
        </w:rPr>
        <w:t xml:space="preserve">Continuous Improvement: </w:t>
      </w:r>
      <w:r>
        <w:rPr>
          <w:rFonts w:ascii="Arial" w:cs="Arial" w:eastAsia="Arial" w:hAnsi="Arial"/>
          <w:color w:val="28251D"/>
          <w:sz w:val="21"/>
          <w:szCs w:val="21"/>
        </w:rPr>
        <w:t xml:space="preserve">Monthly retraining using analyst feedback ensures the model improves over time and adapts to new break patterns.</w:t>
      </w:r>
    </w:p>
    <w:p>
      <w:pPr>
        <w:spacing w:after="40"/>
      </w:pPr>
    </w:p>
    <w:p>
      <w:pPr>
        <w:pStyle w:val="Heading1"/>
        <w:spacing w:after="180" w:before="360"/>
      </w:pPr>
      <w:r>
        <w:rPr>
          <w:rFonts w:ascii="Arial" w:cs="Arial" w:eastAsia="Arial" w:hAnsi="Arial"/>
          <w:b/>
          <w:bCs/>
          <w:color w:val="01696F"/>
          <w:sz w:val="32"/>
          <w:szCs w:val="32"/>
        </w:rPr>
        <w:t xml:space="preserve">10. Conclusion &amp; Recommendation</w:t>
      </w:r>
    </w:p>
    <w:p>
      <w:pPr>
        <w:spacing w:after="80" w:line="340"/>
      </w:pPr>
      <w:r>
        <w:rPr>
          <w:rFonts w:ascii="Arial" w:cs="Arial" w:eastAsia="Arial" w:hAnsi="Arial"/>
          <w:color w:val="28251D"/>
          <w:sz w:val="21"/>
          <w:szCs w:val="21"/>
        </w:rPr>
        <w:t xml:space="preserve">The current requirement for historical trending is a necessary but insufficient component of an intelligent accounting control system. The dataset has the richness to support a far more ambitious vision. The 8 gaps identified in this analysis represent the difference between a reporting tool and a true AI-powered operational platform.</w:t>
      </w:r>
    </w:p>
    <w:p>
      <w:pPr>
        <w:spacing w:after="40"/>
      </w:pPr>
    </w:p>
    <w:p>
      <w:pPr>
        <w:spacing w:after="80" w:line="340"/>
      </w:pPr>
      <w:r>
        <w:rPr>
          <w:rFonts w:ascii="Arial" w:cs="Arial" w:eastAsia="Arial" w:hAnsi="Arial"/>
          <w:color w:val="28251D"/>
          <w:sz w:val="21"/>
          <w:szCs w:val="21"/>
        </w:rPr>
        <w:t xml:space="preserve">The recommended approach is to proceed with the phased implementation that delivers the original trending requirement in Phase 1 (weeks 1-4) while progressively building toward the full unified platform. Each phase is independently valuable and can be presented as incremental progress to stakeholders.</w:t>
      </w:r>
    </w:p>
    <w:p>
      <w:pPr>
        <w:spacing w:after="40"/>
      </w:pPr>
    </w:p>
    <w:p>
      <w:pPr>
        <w:spacing w:after="80" w:line="340"/>
      </w:pPr>
      <w:r>
        <w:rPr>
          <w:rFonts w:ascii="Arial" w:cs="Arial" w:eastAsia="Arial" w:hAnsi="Arial"/>
          <w:color w:val="28251D"/>
          <w:sz w:val="21"/>
          <w:szCs w:val="21"/>
        </w:rPr>
        <w:t xml:space="preserve">This approach also serves the PhD research objective, as it provides a rich, real-world case study in applying ML, NLP, and time-series forecasting to a genuine operational problem in investment banking middle office operations, with measurable before-and-after metrics at each phase.</w:t>
      </w:r>
    </w:p>
    <w:p>
      <w:pPr>
        <w:spacing w:after="40"/>
      </w:pPr>
    </w:p>
    <w:p>
      <w:pPr>
        <w:pStyle w:val="Heading1"/>
        <w:spacing w:after="180" w:before="360"/>
      </w:pPr>
      <w:r>
        <w:rPr>
          <w:rFonts w:ascii="Arial" w:cs="Arial" w:eastAsia="Arial" w:hAnsi="Arial"/>
          <w:b/>
          <w:bCs/>
          <w:color w:val="01696F"/>
          <w:sz w:val="32"/>
          <w:szCs w:val="32"/>
        </w:rPr>
        <w:t xml:space="preserve">Sources</w:t>
      </w:r>
    </w:p>
    <w:p>
      <w:pPr>
        <w:spacing w:after="60"/>
      </w:pPr>
      <w:r>
        <w:rPr>
          <w:rFonts w:ascii="Arial" w:cs="Arial" w:eastAsia="Arial" w:hAnsi="Arial"/>
          <w:color w:val="7A7974"/>
          <w:sz w:val="19"/>
          <w:szCs w:val="19"/>
        </w:rPr>
        <w:t xml:space="preserve">1. Acceldata, "How Agentic AI Automates Cross-System Data Reconciliation," March 2026 - </w:t>
      </w:r>
      <w:hyperlink w:history="1" r:id="rIdabd2akjgxvuyfw_cv354z">
        <w:r>
          <w:rPr>
            <w:rStyle w:val="Hyperlink"/>
            <w:rFonts w:ascii="Arial" w:cs="Arial" w:eastAsia="Arial" w:hAnsi="Arial"/>
            <w:sz w:val="19"/>
            <w:szCs w:val="19"/>
          </w:rPr>
          <w:t xml:space="preserve">https://www.acceldata.io/blog/the-future-of-recon-workflows-how-agentic-ai-delivers-autonomous-data-reconciliation</w:t>
        </w:r>
      </w:hyperlink>
    </w:p>
    <w:p>
      <w:pPr>
        <w:spacing w:after="60"/>
      </w:pPr>
      <w:r>
        <w:rPr>
          <w:rFonts w:ascii="Arial" w:cs="Arial" w:eastAsia="Arial" w:hAnsi="Arial"/>
          <w:color w:val="7A7974"/>
          <w:sz w:val="19"/>
          <w:szCs w:val="19"/>
        </w:rPr>
        <w:t xml:space="preserve">2. Phacet Labs, "Finance Process Automation: A Strategic Imperative for 2026," December 2025 - </w:t>
      </w:r>
      <w:hyperlink w:history="1" r:id="rIdpbgirc1roaw1y6f_xfjer">
        <w:r>
          <w:rPr>
            <w:rStyle w:val="Hyperlink"/>
            <w:rFonts w:ascii="Arial" w:cs="Arial" w:eastAsia="Arial" w:hAnsi="Arial"/>
            <w:sz w:val="19"/>
            <w:szCs w:val="19"/>
          </w:rPr>
          <w:t xml:space="preserve">https://www.phacetlabs.com/blog/finance-process-automation-2026</w:t>
        </w:r>
      </w:hyperlink>
    </w:p>
    <w:p>
      <w:pPr>
        <w:spacing w:after="60"/>
      </w:pPr>
      <w:r>
        <w:rPr>
          <w:rFonts w:ascii="Arial" w:cs="Arial" w:eastAsia="Arial" w:hAnsi="Arial"/>
          <w:color w:val="7A7974"/>
          <w:sz w:val="19"/>
          <w:szCs w:val="19"/>
        </w:rPr>
        <w:t xml:space="preserve">3. Kani Payments, "When Reconciliation Breaks: Mastering Exception Management," August 2025 - </w:t>
      </w:r>
      <w:hyperlink w:history="1" r:id="rIdon7r3a8ejeaqxz-zwrtmx">
        <w:r>
          <w:rPr>
            <w:rStyle w:val="Hyperlink"/>
            <w:rFonts w:ascii="Arial" w:cs="Arial" w:eastAsia="Arial" w:hAnsi="Arial"/>
            <w:sz w:val="19"/>
            <w:szCs w:val="19"/>
          </w:rPr>
          <w:t xml:space="preserve">https://kanipayments.com/blog/when-reconciliation-breaks-mastering-exception-management/</w:t>
        </w:r>
      </w:hyperlink>
    </w:p>
    <w:p>
      <w:pPr>
        <w:spacing w:after="60"/>
      </w:pPr>
      <w:r>
        <w:rPr>
          <w:rFonts w:ascii="Arial" w:cs="Arial" w:eastAsia="Arial" w:hAnsi="Arial"/>
          <w:color w:val="7A7974"/>
          <w:sz w:val="19"/>
          <w:szCs w:val="19"/>
        </w:rPr>
        <w:t xml:space="preserve">4. SS&amp;C Technologies, "The Middle Office Revolution Driving Modernization," December 2025 - </w:t>
      </w:r>
      <w:hyperlink w:history="1" r:id="rIdjxwinvlfinn-hi8qdmzdi">
        <w:r>
          <w:rPr>
            <w:rStyle w:val="Hyperlink"/>
            <w:rFonts w:ascii="Arial" w:cs="Arial" w:eastAsia="Arial" w:hAnsi="Arial"/>
            <w:sz w:val="19"/>
            <w:szCs w:val="19"/>
          </w:rPr>
          <w:t xml:space="preserve">https://www.ssctech.com/blog/the-middle-office-revolution-driving-modernization</w:t>
        </w:r>
      </w:hyperlink>
    </w:p>
    <w:p>
      <w:pPr>
        <w:spacing w:after="60"/>
      </w:pPr>
      <w:r>
        <w:rPr>
          <w:rFonts w:ascii="Arial" w:cs="Arial" w:eastAsia="Arial" w:hAnsi="Arial"/>
          <w:color w:val="7A7974"/>
          <w:sz w:val="19"/>
          <w:szCs w:val="19"/>
        </w:rPr>
        <w:t xml:space="preserve">5. BizTech Magazine, "How AI Is Reshaping Financial Workflows in 2026," March 2026 - </w:t>
      </w:r>
      <w:hyperlink w:history="1" r:id="rIdzwp0a76r-mz0dnagtz_3p">
        <w:r>
          <w:rPr>
            <w:rStyle w:val="Hyperlink"/>
            <w:rFonts w:ascii="Arial" w:cs="Arial" w:eastAsia="Arial" w:hAnsi="Arial"/>
            <w:sz w:val="19"/>
            <w:szCs w:val="19"/>
          </w:rPr>
          <w:t xml:space="preserve">https://biztechmagazine.com/article/2026/03/how-artificial-intelligence-reshaping-financial-workflows-2026</w:t>
        </w:r>
      </w:hyperlink>
    </w:p>
    <w:p>
      <w:pPr>
        <w:spacing w:after="60"/>
      </w:pPr>
      <w:r>
        <w:rPr>
          <w:rFonts w:ascii="Arial" w:cs="Arial" w:eastAsia="Arial" w:hAnsi="Arial"/>
          <w:color w:val="7A7974"/>
          <w:sz w:val="19"/>
          <w:szCs w:val="19"/>
        </w:rPr>
        <w:t xml:space="preserve">6. Moxo, "10 Agentic AI Trends for 2026," March 2026 - </w:t>
      </w:r>
      <w:hyperlink w:history="1" r:id="rId-chzhjqurspwv8lrobdpd">
        <w:r>
          <w:rPr>
            <w:rStyle w:val="Hyperlink"/>
            <w:rFonts w:ascii="Arial" w:cs="Arial" w:eastAsia="Arial" w:hAnsi="Arial"/>
            <w:sz w:val="19"/>
            <w:szCs w:val="19"/>
          </w:rPr>
          <w:t xml:space="preserve">https://www.moxo.com/blog/agentic-ai-trends</w:t>
        </w:r>
      </w:hyperlink>
    </w:p>
    <w:p>
      <w:pPr>
        <w:spacing w:after="60"/>
      </w:pPr>
      <w:r>
        <w:rPr>
          <w:rFonts w:ascii="Arial" w:cs="Arial" w:eastAsia="Arial" w:hAnsi="Arial"/>
          <w:color w:val="7A7974"/>
          <w:sz w:val="19"/>
          <w:szCs w:val="19"/>
        </w:rPr>
        <w:t xml:space="preserve">7. Terra Insight, "What Is Automated Reconciliation?," March 2026 - </w:t>
      </w:r>
      <w:hyperlink w:history="1" r:id="rIdyy30t4oxibgl6_nbyxy4k">
        <w:r>
          <w:rPr>
            <w:rStyle w:val="Hyperlink"/>
            <w:rFonts w:ascii="Arial" w:cs="Arial" w:eastAsia="Arial" w:hAnsi="Arial"/>
            <w:sz w:val="19"/>
            <w:szCs w:val="19"/>
          </w:rPr>
          <w:t xml:space="preserve">https://www.terra-insight.com/insights/what-is-automated-reconciliation/</w:t>
        </w:r>
      </w:hyperlink>
    </w:p>
    <w:p>
      <w:pPr>
        <w:spacing w:after="60"/>
      </w:pPr>
      <w:r>
        <w:rPr>
          <w:rFonts w:ascii="Arial" w:cs="Arial" w:eastAsia="Arial" w:hAnsi="Arial"/>
          <w:color w:val="7A7974"/>
          <w:sz w:val="19"/>
          <w:szCs w:val="19"/>
        </w:rPr>
        <w:t xml:space="preserve">8. Ledge, "The Definitive Guide to Automated Reconciliation with AI," June 2025 - </w:t>
      </w:r>
      <w:hyperlink w:history="1" r:id="rId18mv3kdln9_fjqu96idao">
        <w:r>
          <w:rPr>
            <w:rStyle w:val="Hyperlink"/>
            <w:rFonts w:ascii="Arial" w:cs="Arial" w:eastAsia="Arial" w:hAnsi="Arial"/>
            <w:sz w:val="19"/>
            <w:szCs w:val="19"/>
          </w:rPr>
          <w:t xml:space="preserve">https://www.ledge.co/content/the-definitive-guide-to-automated-reconciliation-with-ai</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974"/>
        <w:sz w:val="16"/>
        <w:szCs w:val="16"/>
      </w:rPr>
      <w:t xml:space="preserve">Page </w:t>
    </w:r>
    <w:r>
      <w:rPr>
        <w:rFonts w:ascii="Arial" w:cs="Arial" w:eastAsia="Arial" w:hAnsi="Arial"/>
        <w:color w:val="7A7974"/>
        <w:sz w:val="16"/>
        <w:szCs w:val="16"/>
      </w:rPr>
      <w:fldChar w:fldCharType="begin"/>
      <w:instrText xml:space="preserve">PAGE</w:instrText>
      <w:fldChar w:fldCharType="separate"/>
      <w:fldChar w:fldCharType="end"/>
    </w:r>
    <w:r>
      <w:rPr>
        <w:rFonts w:ascii="Arial" w:cs="Arial" w:eastAsia="Arial" w:hAnsi="Arial"/>
        <w:color w:val="7A7974"/>
        <w:sz w:val="16"/>
        <w:szCs w:val="16"/>
      </w:rPr>
      <w:t xml:space="preserve"> of </w:t>
    </w:r>
    <w:r>
      <w:rPr>
        <w:rFonts w:ascii="Arial" w:cs="Arial" w:eastAsia="Arial" w:hAnsi="Arial"/>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7974"/>
        <w:sz w:val="16"/>
        <w:szCs w:val="16"/>
      </w:rPr>
      <w:t xml:space="preserve">Accounting Control AI  |  Gap Analysis &amp; Alternatives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1696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825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bd2akjgxvuyfw_cv354z" Type="http://schemas.openxmlformats.org/officeDocument/2006/relationships/hyperlink" Target="https://www.acceldata.io/blog/the-future-of-recon-workflows-how-agentic-ai-delivers-autonomous-data-reconciliation" TargetMode="External"/><Relationship Id="rIdpbgirc1roaw1y6f_xfjer" Type="http://schemas.openxmlformats.org/officeDocument/2006/relationships/hyperlink" Target="https://www.phacetlabs.com/blog/finance-process-automation-2026" TargetMode="External"/><Relationship Id="rIdon7r3a8ejeaqxz-zwrtmx" Type="http://schemas.openxmlformats.org/officeDocument/2006/relationships/hyperlink" Target="https://kanipayments.com/blog/when-reconciliation-breaks-mastering-exception-management/" TargetMode="External"/><Relationship Id="rIdjxwinvlfinn-hi8qdmzdi" Type="http://schemas.openxmlformats.org/officeDocument/2006/relationships/hyperlink" Target="https://www.ssctech.com/blog/the-middle-office-revolution-driving-modernization" TargetMode="External"/><Relationship Id="rIdzwp0a76r-mz0dnagtz_3p" Type="http://schemas.openxmlformats.org/officeDocument/2006/relationships/hyperlink" Target="https://biztechmagazine.com/article/2026/03/how-artificial-intelligence-reshaping-financial-workflows-2026" TargetMode="External"/><Relationship Id="rId-chzhjqurspwv8lrobdpd" Type="http://schemas.openxmlformats.org/officeDocument/2006/relationships/hyperlink" Target="https://www.moxo.com/blog/agentic-ai-trends" TargetMode="External"/><Relationship Id="rIdyy30t4oxibgl6_nbyxy4k" Type="http://schemas.openxmlformats.org/officeDocument/2006/relationships/hyperlink" Target="https://www.terra-insight.com/insights/what-is-automated-reconciliation/" TargetMode="External"/><Relationship Id="rId18mv3kdln9_fjqu96idao" Type="http://schemas.openxmlformats.org/officeDocument/2006/relationships/hyperlink" Target="https://www.ledge.co/content/the-definitive-guide-to-automated-reconciliation-with-ai"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2026-03-16T08:11:39.120Z</dcterms:created>
  <dcterms:modified xsi:type="dcterms:W3CDTF">2026-03-16T08:11:39.136Z</dcterms:modified>
</cp:coreProperties>
</file>

<file path=docProps/custom.xml><?xml version="1.0" encoding="utf-8"?>
<Properties xmlns="http://schemas.openxmlformats.org/officeDocument/2006/custom-properties" xmlns:vt="http://schemas.openxmlformats.org/officeDocument/2006/docPropsVTypes"/>
</file>