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left w:val="nil"/>
              <w:bottom w:val="nil"/>
              <w:right w:val="nil"/>
            </w:tcBorders>
            <w:shd w:fill="01696F" w:val="clear"/>
            <w:tcMar>
              <w:top w:type="dxa" w:w="520"/>
              <w:left w:type="dxa" w:w="440"/>
              <w:bottom w:type="dxa" w:w="520"/>
              <w:right w:type="dxa" w:w="440"/>
            </w:tcMar>
          </w:tcPr>
          <w:p>
            <w:r>
              <w:rPr>
                <w:rFonts w:ascii="Arial" w:cs="Arial" w:eastAsia="Arial" w:hAnsi="Arial"/>
                <w:b/>
                <w:bCs/>
                <w:color w:val="FFFFFF"/>
                <w:sz w:val="60"/>
                <w:szCs w:val="60"/>
              </w:rPr>
              <w:t xml:space="preserve">ACCOUNTING CONTROL AI</w:t>
            </w:r>
          </w:p>
          <w:p>
            <w:pPr>
              <w:spacing w:before="80"/>
            </w:pPr>
            <w:r>
              <w:rPr>
                <w:rFonts w:ascii="Arial" w:cs="Arial" w:eastAsia="Arial" w:hAnsi="Arial"/>
                <w:b/>
                <w:bCs/>
                <w:color w:val="BCE2E7"/>
                <w:sz w:val="36"/>
                <w:szCs w:val="36"/>
              </w:rPr>
              <w:t xml:space="preserve">Corrected Agentic Solution v2.0  |  TCFC Business</w:t>
            </w:r>
          </w:p>
          <w:p>
            <w:pPr>
              <w:spacing w:before="240"/>
            </w:pPr>
            <w:r>
              <w:rPr>
                <w:rFonts w:ascii="Arial" w:cs="Arial" w:eastAsia="Arial" w:hAnsi="Arial"/>
                <w:color w:val="BCE2E7"/>
                <w:sz w:val="20"/>
                <w:szCs w:val="20"/>
              </w:rPr>
              <w:t xml:space="preserve">Incorporating 14 Corrections  •  Root Cause Intelligence Framework  •  TCFC-Specific Data Requirements</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01696F" w:sz="8"/>
              <w:left w:val="single" w:color="CCCCCC" w:sz="1"/>
              <w:bottom w:val="single" w:color="CCCCCC" w:sz="1"/>
              <w:right w:val="single" w:color="CCCCCC" w:sz="1"/>
            </w:tcBorders>
            <w:shd w:fill="E6F4F1" w:val="clear"/>
            <w:tcMar>
              <w:top w:type="dxa" w:w="120"/>
              <w:left w:type="dxa" w:w="100"/>
              <w:bottom w:type="dxa" w:w="120"/>
              <w:right w:type="dxa" w:w="100"/>
            </w:tcMar>
          </w:tcPr>
          <w:p>
            <w:pPr>
              <w:jc w:val="center"/>
            </w:pPr>
            <w:r>
              <w:rPr>
                <w:rFonts w:ascii="Arial" w:cs="Arial" w:eastAsia="Arial" w:hAnsi="Arial"/>
                <w:b/>
                <w:bCs/>
                <w:color w:val="01696F"/>
                <w:sz w:val="36"/>
                <w:szCs w:val="36"/>
              </w:rPr>
              <w:t xml:space="preserve">14</w:t>
            </w:r>
          </w:p>
          <w:p>
            <w:pPr>
              <w:spacing w:before="40"/>
              <w:jc w:val="center"/>
            </w:pPr>
            <w:r>
              <w:rPr>
                <w:rFonts w:ascii="Arial" w:cs="Arial" w:eastAsia="Arial" w:hAnsi="Arial"/>
                <w:color w:val="1A1A1A"/>
                <w:sz w:val="16"/>
                <w:szCs w:val="16"/>
              </w:rPr>
              <w:t xml:space="preserve">Corrections
Applied</w:t>
            </w:r>
          </w:p>
        </w:tc>
        <w:tc>
          <w:tcPr>
            <w:tcW w:type="dxa" w:w="2520"/>
            <w:tcBorders>
              <w:top w:val="single" w:color="01696F" w:sz="8"/>
              <w:left w:val="single" w:color="CCCCCC" w:sz="1"/>
              <w:bottom w:val="single" w:color="CCCCCC" w:sz="1"/>
              <w:right w:val="single" w:color="CCCCCC" w:sz="1"/>
            </w:tcBorders>
            <w:shd w:fill="E6F4F1" w:val="clear"/>
            <w:tcMar>
              <w:top w:type="dxa" w:w="120"/>
              <w:left w:type="dxa" w:w="100"/>
              <w:bottom w:type="dxa" w:w="120"/>
              <w:right w:type="dxa" w:w="100"/>
            </w:tcMar>
          </w:tcPr>
          <w:p>
            <w:pPr>
              <w:jc w:val="center"/>
            </w:pPr>
            <w:r>
              <w:rPr>
                <w:rFonts w:ascii="Arial" w:cs="Arial" w:eastAsia="Arial" w:hAnsi="Arial"/>
                <w:b/>
                <w:bCs/>
                <w:color w:val="01696F"/>
                <w:sz w:val="36"/>
                <w:szCs w:val="36"/>
              </w:rPr>
              <w:t xml:space="preserve">4 Critical</w:t>
            </w:r>
          </w:p>
          <w:p>
            <w:pPr>
              <w:spacing w:before="40"/>
              <w:jc w:val="center"/>
            </w:pPr>
            <w:r>
              <w:rPr>
                <w:rFonts w:ascii="Arial" w:cs="Arial" w:eastAsia="Arial" w:hAnsi="Arial"/>
                <w:color w:val="1A1A1A"/>
                <w:sz w:val="16"/>
                <w:szCs w:val="16"/>
              </w:rPr>
              <w:t xml:space="preserve">Issues
Resolved</w:t>
            </w:r>
          </w:p>
        </w:tc>
        <w:tc>
          <w:tcPr>
            <w:tcW w:type="dxa" w:w="2520"/>
            <w:tcBorders>
              <w:top w:val="single" w:color="01696F" w:sz="8"/>
              <w:left w:val="single" w:color="CCCCCC" w:sz="1"/>
              <w:bottom w:val="single" w:color="CCCCCC" w:sz="1"/>
              <w:right w:val="single" w:color="CCCCCC" w:sz="1"/>
            </w:tcBorders>
            <w:shd w:fill="E6F4F1" w:val="clear"/>
            <w:tcMar>
              <w:top w:type="dxa" w:w="120"/>
              <w:left w:type="dxa" w:w="100"/>
              <w:bottom w:type="dxa" w:w="120"/>
              <w:right w:type="dxa" w:w="100"/>
            </w:tcMar>
          </w:tcPr>
          <w:p>
            <w:pPr>
              <w:jc w:val="center"/>
            </w:pPr>
            <w:r>
              <w:rPr>
                <w:rFonts w:ascii="Arial" w:cs="Arial" w:eastAsia="Arial" w:hAnsi="Arial"/>
                <w:b/>
                <w:bCs/>
                <w:color w:val="01696F"/>
                <w:sz w:val="36"/>
                <w:szCs w:val="36"/>
              </w:rPr>
              <w:t xml:space="preserve">8 TCFC</w:t>
            </w:r>
          </w:p>
          <w:p>
            <w:pPr>
              <w:spacing w:before="40"/>
              <w:jc w:val="center"/>
            </w:pPr>
            <w:r>
              <w:rPr>
                <w:rFonts w:ascii="Arial" w:cs="Arial" w:eastAsia="Arial" w:hAnsi="Arial"/>
                <w:color w:val="1A1A1A"/>
                <w:sz w:val="16"/>
                <w:szCs w:val="16"/>
              </w:rPr>
              <w:t xml:space="preserve">Data Sources
Identified</w:t>
            </w:r>
          </w:p>
        </w:tc>
        <w:tc>
          <w:tcPr>
            <w:tcW w:type="dxa" w:w="2520"/>
            <w:tcBorders>
              <w:top w:val="single" w:color="01696F" w:sz="8"/>
              <w:left w:val="single" w:color="CCCCCC" w:sz="1"/>
              <w:bottom w:val="single" w:color="CCCCCC" w:sz="1"/>
              <w:right w:val="single" w:color="CCCCCC" w:sz="1"/>
            </w:tcBorders>
            <w:shd w:fill="E6F4F1" w:val="clear"/>
            <w:tcMar>
              <w:top w:type="dxa" w:w="120"/>
              <w:left w:type="dxa" w:w="100"/>
              <w:bottom w:type="dxa" w:w="120"/>
              <w:right w:type="dxa" w:w="100"/>
            </w:tcMar>
          </w:tcPr>
          <w:p>
            <w:pPr>
              <w:jc w:val="center"/>
            </w:pPr>
            <w:r>
              <w:rPr>
                <w:rFonts w:ascii="Arial" w:cs="Arial" w:eastAsia="Arial" w:hAnsi="Arial"/>
                <w:b/>
                <w:bCs/>
                <w:color w:val="01696F"/>
                <w:sz w:val="36"/>
                <w:szCs w:val="36"/>
              </w:rPr>
              <w:t xml:space="preserve">Pareto
Approach</w:t>
            </w:r>
          </w:p>
          <w:p>
            <w:pPr>
              <w:spacing w:before="40"/>
              <w:jc w:val="center"/>
            </w:pPr>
            <w:r>
              <w:rPr>
                <w:rFonts w:ascii="Arial" w:cs="Arial" w:eastAsia="Arial" w:hAnsi="Arial"/>
                <w:color w:val="1A1A1A"/>
                <w:sz w:val="16"/>
                <w:szCs w:val="16"/>
              </w:rPr>
              <w:t xml:space="preserve">Top 2 Root Causes
→ 60-70% of Breaks</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il"/>
              <w:left w:val="nil"/>
              <w:bottom w:val="nil"/>
              <w:right w:val="nil"/>
            </w:tcBorders>
            <w:shd w:fill="F5F5F5" w:val="clear"/>
            <w:tcMar>
              <w:top w:type="dxa" w:w="80"/>
              <w:left w:type="dxa" w:w="100"/>
              <w:bottom w:type="dxa" w:w="80"/>
              <w:right w:type="dxa" w:w="100"/>
            </w:tcMar>
          </w:tcPr>
          <w:p>
            <w:pPr>
              <w:jc w:val="center"/>
            </w:pPr>
            <w:r>
              <w:rPr>
                <w:rFonts w:ascii="Arial" w:cs="Arial" w:eastAsia="Arial" w:hAnsi="Arial"/>
                <w:color w:val="1A1A1A"/>
                <w:sz w:val="18"/>
                <w:szCs w:val="18"/>
              </w:rPr>
              <w:t xml:space="preserve">Version: 2.0  (Corrections Applied)</w:t>
            </w:r>
          </w:p>
        </w:tc>
        <w:tc>
          <w:tcPr>
            <w:tcW w:type="dxa" w:w="3360"/>
            <w:tcBorders>
              <w:top w:val="nil"/>
              <w:left w:val="nil"/>
              <w:bottom w:val="nil"/>
              <w:right w:val="nil"/>
            </w:tcBorders>
            <w:shd w:fill="F5F5F5" w:val="clear"/>
            <w:tcMar>
              <w:top w:type="dxa" w:w="80"/>
              <w:left w:type="dxa" w:w="100"/>
              <w:bottom w:type="dxa" w:w="80"/>
              <w:right w:type="dxa" w:w="100"/>
            </w:tcMar>
          </w:tcPr>
          <w:p>
            <w:pPr>
              <w:jc w:val="center"/>
            </w:pPr>
            <w:r>
              <w:rPr>
                <w:rFonts w:ascii="Arial" w:cs="Arial" w:eastAsia="Arial" w:hAnsi="Arial"/>
                <w:color w:val="1A1A1A"/>
                <w:sz w:val="18"/>
                <w:szCs w:val="18"/>
              </w:rPr>
              <w:t xml:space="preserve">Classification: Internal Use Only</w:t>
            </w:r>
          </w:p>
        </w:tc>
        <w:tc>
          <w:tcPr>
            <w:tcW w:type="dxa" w:w="3360"/>
            <w:tcBorders>
              <w:top w:val="nil"/>
              <w:left w:val="nil"/>
              <w:bottom w:val="nil"/>
              <w:right w:val="nil"/>
            </w:tcBorders>
            <w:shd w:fill="F5F5F5" w:val="clear"/>
            <w:tcMar>
              <w:top w:type="dxa" w:w="80"/>
              <w:left w:type="dxa" w:w="100"/>
              <w:bottom w:type="dxa" w:w="80"/>
              <w:right w:type="dxa" w:w="100"/>
            </w:tcMar>
          </w:tcPr>
          <w:p>
            <w:pPr>
              <w:jc w:val="center"/>
            </w:pPr>
            <w:r>
              <w:rPr>
                <w:rFonts w:ascii="Arial" w:cs="Arial" w:eastAsia="Arial" w:hAnsi="Arial"/>
                <w:color w:val="1A1A1A"/>
                <w:sz w:val="18"/>
                <w:szCs w:val="18"/>
              </w:rPr>
              <w:t xml:space="preserve">Owner: OMRC AI/ML Team  |  March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180"/>
              <w:left w:type="dxa" w:w="280"/>
              <w:bottom w:type="dxa" w:w="180"/>
              <w:right w:type="dxa" w:w="280"/>
            </w:tcMar>
          </w:tcPr>
          <w:p>
            <w:r>
              <w:rPr>
                <w:rFonts w:ascii="Arial" w:cs="Arial" w:eastAsia="Arial" w:hAnsi="Arial"/>
                <w:b/>
                <w:bCs/>
                <w:color w:val="FFFFFF"/>
                <w:sz w:val="34"/>
                <w:szCs w:val="34"/>
              </w:rPr>
              <w:t xml:space="preserve">01  14 Corrections Applied</w:t>
            </w:r>
          </w:p>
          <w:p>
            <w:pPr>
              <w:spacing w:before="40"/>
            </w:pPr>
            <w:r>
              <w:rPr>
                <w:rFonts w:ascii="Arial" w:cs="Arial" w:eastAsia="Arial" w:hAnsi="Arial"/>
                <w:color w:val="BCE2E7"/>
                <w:sz w:val="18"/>
                <w:szCs w:val="18"/>
              </w:rPr>
              <w:t xml:space="preserve">Full review of Gap Analysis, Technical Workflow &amp; Agentic Solution v1.0</w:t>
            </w:r>
          </w:p>
        </w:tc>
      </w:tr>
    </w:tbl>
    <w:p>
      <w:pPr>
        <w:spacing w:before="0" w:after="80"/>
      </w:pPr>
    </w:p>
    <w:p>
      <w:pPr>
        <w:spacing w:before="60" w:after="80"/>
      </w:pPr>
      <w:r>
        <w:rPr>
          <w:rFonts w:ascii="Arial" w:cs="Arial" w:eastAsia="Arial" w:hAnsi="Arial"/>
          <w:color w:val="1A1A1A"/>
          <w:sz w:val="20"/>
          <w:szCs w:val="20"/>
        </w:rPr>
        <w:t xml:space="preserve">The following corrections address all issues identified across the three documents. Each card shows the original problem and the precise fix.</w:t>
      </w:r>
    </w:p>
    <w:p>
      <w:pPr>
        <w:spacing w:before="0" w:after="80"/>
      </w:pPr>
    </w:p>
    <w:p>
      <w:pPr>
        <w:pStyle w:val="Heading2"/>
        <w:spacing w:before="300" w:after="140"/>
      </w:pPr>
      <w:r>
        <w:rPr>
          <w:rFonts w:ascii="Arial" w:cs="Arial" w:eastAsia="Arial" w:hAnsi="Arial"/>
          <w:b/>
          <w:bCs/>
          <w:color w:val="1A1A1A"/>
          <w:sz w:val="26"/>
          <w:szCs w:val="26"/>
        </w:rPr>
        <w:t xml:space="preserve">Critical Corrections (must fix before Phase 2 build)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A84B2F" w:val="clear"/>
            <w:tcMar>
              <w:top w:type="dxa" w:w="80"/>
              <w:left w:type="dxa" w:w="160"/>
              <w:bottom w:type="dxa" w:w="80"/>
              <w:right w:type="dxa" w:w="160"/>
            </w:tcMar>
          </w:tcPr>
          <w:p>
            <w:r>
              <w:rPr>
                <w:rFonts w:ascii="Arial" w:cs="Arial" w:eastAsia="Arial" w:hAnsi="Arial"/>
                <w:b/>
                <w:bCs/>
                <w:color w:val="FFFFFF"/>
                <w:sz w:val="18"/>
                <w:szCs w:val="18"/>
              </w:rPr>
              <w:t xml:space="preserve">#1  </w:t>
            </w:r>
            <w:r>
              <w:rPr>
                <w:rFonts w:ascii="Arial" w:cs="Arial" w:eastAsia="Arial" w:hAnsi="Arial"/>
                <w:b/>
                <w:bCs/>
                <w:color w:val="FFFFFF"/>
                <w:sz w:val="20"/>
                <w:szCs w:val="20"/>
              </w:rPr>
              <w:t xml:space="preserve">Effort Reduction Figure Mismatch</w:t>
            </w:r>
            <w:r>
              <w:rPr>
                <w:rFonts w:ascii="Arial" w:cs="Arial" w:eastAsia="Arial" w:hAnsi="Arial"/>
                <w:color w:val="EEEEEE"/>
                <w:sz w:val="17"/>
                <w:szCs w:val="17"/>
              </w:rPr>
              <w:t xml:space="preserve">   [Critical]</w:t>
            </w:r>
          </w:p>
        </w:tc>
      </w:tr>
      <w:tr>
        <w:tc>
          <w:tcPr>
            <w:tcW w:type="dxa" w:w="9360"/>
            <w:tcBorders>
              <w:top w:val="nil"/>
              <w:left w:val="single" w:color="A84B2F"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Gap Analysis §7 states ~75% reduction (185-290 hrs → 31-60 hrs). Agentic Solution v1 states ~80% (198-312 hrs → 32-62 hrs). Stakeholders comparing both documents will challenge the inconsistency in governance review.</w:t>
            </w:r>
          </w:p>
        </w:tc>
      </w:tr>
      <w:tr>
        <w:tc>
          <w:tcPr>
            <w:tcW w:type="dxa" w:w="9360"/>
            <w:tcBorders>
              <w:top w:val="nil"/>
              <w:left w:val="single" w:color="A84B2F"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Standardise on the Gap Analysis baseline of 185-290 hrs/month as the agreed figure. The Agentic Solution v2 adds JIRA creation and Escalation triage as newly tracked activities, explicitly noted as 'previously untracked, now automated'. Both documents now show the same 75% headline reduction with a consistent footnote.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A84B2F" w:val="clear"/>
            <w:tcMar>
              <w:top w:type="dxa" w:w="80"/>
              <w:left w:type="dxa" w:w="160"/>
              <w:bottom w:type="dxa" w:w="80"/>
              <w:right w:type="dxa" w:w="160"/>
            </w:tcMar>
          </w:tcPr>
          <w:p>
            <w:r>
              <w:rPr>
                <w:rFonts w:ascii="Arial" w:cs="Arial" w:eastAsia="Arial" w:hAnsi="Arial"/>
                <w:b/>
                <w:bCs/>
                <w:color w:val="FFFFFF"/>
                <w:sz w:val="18"/>
                <w:szCs w:val="18"/>
              </w:rPr>
              <w:t xml:space="preserve">#2  </w:t>
            </w:r>
            <w:r>
              <w:rPr>
                <w:rFonts w:ascii="Arial" w:cs="Arial" w:eastAsia="Arial" w:hAnsi="Arial"/>
                <w:b/>
                <w:bCs/>
                <w:color w:val="FFFFFF"/>
                <w:sz w:val="20"/>
                <w:szCs w:val="20"/>
              </w:rPr>
              <w:t xml:space="preserve">LLM Technology Decision Unresolved — Phi-4 vs GPT-4o-mini</w:t>
            </w:r>
            <w:r>
              <w:rPr>
                <w:rFonts w:ascii="Arial" w:cs="Arial" w:eastAsia="Arial" w:hAnsi="Arial"/>
                <w:color w:val="EEEEEE"/>
                <w:sz w:val="17"/>
                <w:szCs w:val="17"/>
              </w:rPr>
              <w:t xml:space="preserve">   [Critical]</w:t>
            </w:r>
          </w:p>
        </w:tc>
      </w:tr>
      <w:tr>
        <w:tc>
          <w:tcPr>
            <w:tcW w:type="dxa" w:w="9360"/>
            <w:tcBorders>
              <w:top w:val="nil"/>
              <w:left w:val="single" w:color="A84B2F"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Gap Analysis §8 recommends Phi-4 (on-prem). Technical Workflow §2.3 and §4.1 use Azure OpenAI GPT-4o-mini throughout all code. The Agentic Solution v1 follows GPT-4o-mini. This unresolved split will fail the first governance checkpoint.</w:t>
            </w:r>
          </w:p>
        </w:tc>
      </w:tr>
      <w:tr>
        <w:tc>
          <w:tcPr>
            <w:tcW w:type="dxa" w:w="9360"/>
            <w:tcBorders>
              <w:top w:val="nil"/>
              <w:left w:val="single" w:color="A84B2F"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Primary LLM: Azure OpenAI GPT-4o-mini (UK South, private endpoint). Rationale: processes 621K breaks/month at scale without GPU infrastructure management; data sovereignty satisfied by Azure tenant boundary and private endpoint. Phi-4 on-prem: documented as Contingency Option if Azure OpenAI governance approval is denied. Requires a separate compute procurement and adds 6-8 weeks to Phase 2 timeline. This decision must be recorded in the AI Use Case Registration Form before Phase 2 kickoff.</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A84B2F" w:val="clear"/>
            <w:tcMar>
              <w:top w:type="dxa" w:w="80"/>
              <w:left w:type="dxa" w:w="160"/>
              <w:bottom w:type="dxa" w:w="80"/>
              <w:right w:type="dxa" w:w="160"/>
            </w:tcMar>
          </w:tcPr>
          <w:p>
            <w:r>
              <w:rPr>
                <w:rFonts w:ascii="Arial" w:cs="Arial" w:eastAsia="Arial" w:hAnsi="Arial"/>
                <w:b/>
                <w:bCs/>
                <w:color w:val="FFFFFF"/>
                <w:sz w:val="18"/>
                <w:szCs w:val="18"/>
              </w:rPr>
              <w:t xml:space="preserve">#3  </w:t>
            </w:r>
            <w:r>
              <w:rPr>
                <w:rFonts w:ascii="Arial" w:cs="Arial" w:eastAsia="Arial" w:hAnsi="Arial"/>
                <w:b/>
                <w:bCs/>
                <w:color w:val="FFFFFF"/>
                <w:sz w:val="20"/>
                <w:szCs w:val="20"/>
              </w:rPr>
              <w:t xml:space="preserve">Root Cause Taxonomy Not Validated Against Actual Comments Data</w:t>
            </w:r>
            <w:r>
              <w:rPr>
                <w:rFonts w:ascii="Arial" w:cs="Arial" w:eastAsia="Arial" w:hAnsi="Arial"/>
                <w:color w:val="EEEEEE"/>
                <w:sz w:val="17"/>
                <w:szCs w:val="17"/>
              </w:rPr>
              <w:t xml:space="preserve">   [Critical]</w:t>
            </w:r>
          </w:p>
        </w:tc>
      </w:tr>
      <w:tr>
        <w:tc>
          <w:tcPr>
            <w:tcW w:type="dxa" w:w="9360"/>
            <w:tcBorders>
              <w:top w:val="nil"/>
              <w:left w:val="single" w:color="A84B2F"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The 12-label taxonomy (Timing Mismatch, SSI Error, etc.) was inferred from column names. Since Root Cause Identified is 0% populated, there is no validation that these labels reflect what analysts actually write in the 621,800 Comments. Major TCFC-specific categories like NAV breaks, fails-to-deliver, MTM differences may be entirely absent.</w:t>
            </w:r>
          </w:p>
        </w:tc>
      </w:tr>
      <w:tr>
        <w:tc>
          <w:tcPr>
            <w:tcW w:type="dxa" w:w="9360"/>
            <w:tcBorders>
              <w:top w:val="nil"/>
              <w:left w:val="single" w:color="A84B2F"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Add a mandatory BERTopic discovery sprint (2 weeks) at the start of Phase 2 before building any classifier. Sample 10,000 Comments records, run BERTopic to surface empirical topic clusters, compare against the assumed 12-label taxonomy. Reconcile: add TCFC-specific categories found in the data (expected: Nostro Fails, NAV Difference, MTM Mismatch, Corporate Action Impact), remove labels with no evidence. Only then build the classifier. This also strengthens the SR 11-7 conceptual soundness argument.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A84B2F" w:val="clear"/>
            <w:tcMar>
              <w:top w:type="dxa" w:w="80"/>
              <w:left w:type="dxa" w:w="160"/>
              <w:bottom w:type="dxa" w:w="80"/>
              <w:right w:type="dxa" w:w="160"/>
            </w:tcMar>
          </w:tcPr>
          <w:p>
            <w:r>
              <w:rPr>
                <w:rFonts w:ascii="Arial" w:cs="Arial" w:eastAsia="Arial" w:hAnsi="Arial"/>
                <w:b/>
                <w:bCs/>
                <w:color w:val="FFFFFF"/>
                <w:sz w:val="18"/>
                <w:szCs w:val="18"/>
              </w:rPr>
              <w:t xml:space="preserve">#4  </w:t>
            </w:r>
            <w:r>
              <w:rPr>
                <w:rFonts w:ascii="Arial" w:cs="Arial" w:eastAsia="Arial" w:hAnsi="Arial"/>
                <w:b/>
                <w:bCs/>
                <w:color w:val="FFFFFF"/>
                <w:sz w:val="20"/>
                <w:szCs w:val="20"/>
              </w:rPr>
              <w:t xml:space="preserve">CatBoost Training — No Labels Available, Wrong Sequencing</w:t>
            </w:r>
            <w:r>
              <w:rPr>
                <w:rFonts w:ascii="Arial" w:cs="Arial" w:eastAsia="Arial" w:hAnsi="Arial"/>
                <w:color w:val="EEEEEE"/>
                <w:sz w:val="17"/>
                <w:szCs w:val="17"/>
              </w:rPr>
              <w:t xml:space="preserve">   [Critical]</w:t>
            </w:r>
          </w:p>
        </w:tc>
      </w:tr>
      <w:tr>
        <w:tc>
          <w:tcPr>
            <w:tcW w:type="dxa" w:w="9360"/>
            <w:tcBorders>
              <w:top w:val="nil"/>
              <w:left w:val="single" w:color="A84B2F"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Technical Workflow §2.1 trains CatBoostClassifier immediately on ingestion. But Root Cause Identified = 0 non-null, B/S Cert = 0 non-null, and Severity has no label column at all. The models cannot be trained on data that does not yet exist. The IssueCategoryPredictor depends on ISSUE CATEGORY being sufficiently populated (null count not confirmed in df.info screenshot).</w:t>
            </w:r>
          </w:p>
        </w:tc>
      </w:tr>
      <w:tr>
        <w:tc>
          <w:tcPr>
            <w:tcW w:type="dxa" w:w="9360"/>
            <w:tcBorders>
              <w:top w:val="nil"/>
              <w:left w:val="single" w:color="A84B2F"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Phase 2A initial deployment uses rule-based surrogate scoring only: Severity = weighted(ABS_GBP_decile × 0.4 + Age_Days_bucket × 0.35 + RAG_Rating × 0.25). CatBoost training begins only after the parallel run (Phase 3) has collected ≥2,000 analyst-labelled decisions via the HITL Accept/Modify/Reject workflow. Add a model_readiness_gate() check that blocks CatBoost training if labelled samples &lt; 2,000. Document the surrogate rule logic in the SR 11-7 model inventory as 'Rule-Based v0.1' pending supervised replacement.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A84B2F" w:val="clear"/>
            <w:tcMar>
              <w:top w:type="dxa" w:w="80"/>
              <w:left w:type="dxa" w:w="160"/>
              <w:bottom w:type="dxa" w:w="80"/>
              <w:right w:type="dxa" w:w="160"/>
            </w:tcMar>
          </w:tcPr>
          <w:p>
            <w:r>
              <w:rPr>
                <w:rFonts w:ascii="Arial" w:cs="Arial" w:eastAsia="Arial" w:hAnsi="Arial"/>
                <w:b/>
                <w:bCs/>
                <w:color w:val="FFFFFF"/>
                <w:sz w:val="18"/>
                <w:szCs w:val="18"/>
              </w:rPr>
              <w:t xml:space="preserve">#5  </w:t>
            </w:r>
            <w:r>
              <w:rPr>
                <w:rFonts w:ascii="Arial" w:cs="Arial" w:eastAsia="Arial" w:hAnsi="Arial"/>
                <w:b/>
                <w:bCs/>
                <w:color w:val="FFFFFF"/>
                <w:sz w:val="20"/>
                <w:szCs w:val="20"/>
              </w:rPr>
              <w:t xml:space="preserve">For Del Column Completely Ignored — Inflates Break Counts</w:t>
            </w:r>
            <w:r>
              <w:rPr>
                <w:rFonts w:ascii="Arial" w:cs="Arial" w:eastAsia="Arial" w:hAnsi="Arial"/>
                <w:color w:val="EEEEEE"/>
                <w:sz w:val="17"/>
                <w:szCs w:val="17"/>
              </w:rPr>
              <w:t xml:space="preserve">   [Critical]</w:t>
            </w:r>
          </w:p>
        </w:tc>
      </w:tr>
      <w:tr>
        <w:tc>
          <w:tcPr>
            <w:tcW w:type="dxa" w:w="9360"/>
            <w:tcBorders>
              <w:top w:val="nil"/>
              <w:left w:val="single" w:color="A84B2F"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Gap Analysis §2.2 lists 'For Del' as an operational metadata column to track. It appears nowhere in the Technical Workflow or Agentic Solution v1. Breaks flagged For Del = True are already marked for removal but remain in the dataset, inflating all trend analysis counts, LLM processing queues, and anomaly detection baselines.</w:t>
            </w:r>
          </w:p>
        </w:tc>
      </w:tr>
      <w:tr>
        <w:tc>
          <w:tcPr>
            <w:tcW w:type="dxa" w:w="9360"/>
            <w:tcBorders>
              <w:top w:val="nil"/>
              <w:left w:val="single" w:color="A84B2F"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Add ETL pre-filter as Step 0 in the ingestion pipeline: exclude all records where For Del = True (or equivalent flag value) before any processing. Log the count of filtered records to the Data Quality Scorecard as 'Excluded (For Deletion)'. This filter must run before TRADE REF deduplication, ageing computation, LLM queuing, and anomaly detection. Recompute all baseline metrics from Phase 1 with this filter applied.</w:t>
            </w:r>
          </w:p>
        </w:tc>
      </w:tr>
    </w:tbl>
    <w:p>
      <w:pPr>
        <w:spacing w:before="0" w:after="80"/>
      </w:pPr>
    </w:p>
    <w:p>
      <w:pPr>
        <w:pStyle w:val="Heading2"/>
        <w:spacing w:before="300" w:after="140"/>
      </w:pPr>
      <w:r>
        <w:rPr>
          <w:rFonts w:ascii="Arial" w:cs="Arial" w:eastAsia="Arial" w:hAnsi="Arial"/>
          <w:b/>
          <w:bCs/>
          <w:color w:val="1A1A1A"/>
          <w:sz w:val="26"/>
          <w:szCs w:val="26"/>
        </w:rPr>
        <w:t xml:space="preserve">Significant Corrections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5100" w:val="clear"/>
            <w:tcMar>
              <w:top w:type="dxa" w:w="80"/>
              <w:left w:type="dxa" w:w="160"/>
              <w:bottom w:type="dxa" w:w="80"/>
              <w:right w:type="dxa" w:w="160"/>
            </w:tcMar>
          </w:tcPr>
          <w:p>
            <w:r>
              <w:rPr>
                <w:rFonts w:ascii="Arial" w:cs="Arial" w:eastAsia="Arial" w:hAnsi="Arial"/>
                <w:b/>
                <w:bCs/>
                <w:color w:val="FFFFFF"/>
                <w:sz w:val="18"/>
                <w:szCs w:val="18"/>
              </w:rPr>
              <w:t xml:space="preserve">#6  </w:t>
            </w:r>
            <w:r>
              <w:rPr>
                <w:rFonts w:ascii="Arial" w:cs="Arial" w:eastAsia="Arial" w:hAnsi="Arial"/>
                <w:b/>
                <w:bCs/>
                <w:color w:val="FFFFFF"/>
                <w:sz w:val="20"/>
                <w:szCs w:val="20"/>
              </w:rPr>
              <w:t xml:space="preserve">Ageing Calculation — Month-End vs Report Run Date Ambiguity</w:t>
            </w:r>
            <w:r>
              <w:rPr>
                <w:rFonts w:ascii="Arial" w:cs="Arial" w:eastAsia="Arial" w:hAnsi="Arial"/>
                <w:color w:val="EEEEEE"/>
                <w:sz w:val="17"/>
                <w:szCs w:val="17"/>
              </w:rPr>
              <w:t xml:space="preserve">   [Significant]</w:t>
            </w:r>
          </w:p>
        </w:tc>
      </w:tr>
      <w:tr>
        <w:tc>
          <w:tcPr>
            <w:tcW w:type="dxa" w:w="9360"/>
            <w:tcBorders>
              <w:top w:val="nil"/>
              <w:left w:val="single" w:color="E65100"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Current code computes Age Days = last_day_of_Period_month - Date. But if the MI report is extracted on (e.g.) 5 February 2026 for January 2026 period, using 31 January instead of 5 February understates age by 5 days — enough to push breaks across bucket boundaries (e.g., a 28-day break appearing in 16-30 bucket instead of 31-60).</w:t>
            </w:r>
          </w:p>
        </w:tc>
      </w:tr>
      <w:tr>
        <w:tc>
          <w:tcPr>
            <w:tcW w:type="dxa" w:w="9360"/>
            <w:tcBorders>
              <w:top w:val="nil"/>
              <w:left w:val="single" w:color="E65100"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Add a configurable report_run_date parameter (default: last day of Period month). Allow the business to override with the actual extraction date each period. Store the report_run_date used for each period's calculation in the audit table so historical comparisons are reproducible. Display the date used prominently on the Ageing Validation tab.</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5100" w:val="clear"/>
            <w:tcMar>
              <w:top w:type="dxa" w:w="80"/>
              <w:left w:type="dxa" w:w="160"/>
              <w:bottom w:type="dxa" w:w="80"/>
              <w:right w:type="dxa" w:w="160"/>
            </w:tcMar>
          </w:tcPr>
          <w:p>
            <w:r>
              <w:rPr>
                <w:rFonts w:ascii="Arial" w:cs="Arial" w:eastAsia="Arial" w:hAnsi="Arial"/>
                <w:b/>
                <w:bCs/>
                <w:color w:val="FFFFFF"/>
                <w:sz w:val="18"/>
                <w:szCs w:val="18"/>
              </w:rPr>
              <w:t xml:space="preserve">#7  </w:t>
            </w:r>
            <w:r>
              <w:rPr>
                <w:rFonts w:ascii="Arial" w:cs="Arial" w:eastAsia="Arial" w:hAnsi="Arial"/>
                <w:b/>
                <w:bCs/>
                <w:color w:val="FFFFFF"/>
                <w:sz w:val="20"/>
                <w:szCs w:val="20"/>
              </w:rPr>
              <w:t xml:space="preserve">TRADE REF Deduplication Collapses Multi-Period Breaks</w:t>
            </w:r>
            <w:r>
              <w:rPr>
                <w:rFonts w:ascii="Arial" w:cs="Arial" w:eastAsia="Arial" w:hAnsi="Arial"/>
                <w:color w:val="EEEEEE"/>
                <w:sz w:val="17"/>
                <w:szCs w:val="17"/>
              </w:rPr>
              <w:t xml:space="preserve">   [Significant]</w:t>
            </w:r>
          </w:p>
        </w:tc>
      </w:tr>
      <w:tr>
        <w:tc>
          <w:tcPr>
            <w:tcW w:type="dxa" w:w="9360"/>
            <w:tcBorders>
              <w:top w:val="nil"/>
              <w:left w:val="single" w:color="E65100"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Technical Workflow Step 2: drop_duplicates(subset=['TRADE REF'], keep='last'). This removes 12,999 null Trade Ref rows entirely and collapses a break persisting across multiple periods into one record, destroying the ageing trend data.</w:t>
            </w:r>
          </w:p>
        </w:tc>
      </w:tr>
      <w:tr>
        <w:tc>
          <w:tcPr>
            <w:tcW w:type="dxa" w:w="9360"/>
            <w:tcBorders>
              <w:top w:val="nil"/>
              <w:left w:val="single" w:color="E65100"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Change deduplication key to ['TRADE REF', 'Period'] — a break can legitimately appear in multiple periods. For null Trade Refs (12,999 rows): assign a surrogate key using SHA-256 hash of (Rec Name + Entity + Amount + Date) to enable consistent referencing. Never drop null-ref records — they may represent valid unlisted breaks. Log surrogate key assignment to the Data Quality Scorecard.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5100" w:val="clear"/>
            <w:tcMar>
              <w:top w:type="dxa" w:w="80"/>
              <w:left w:type="dxa" w:w="160"/>
              <w:bottom w:type="dxa" w:w="80"/>
              <w:right w:type="dxa" w:w="160"/>
            </w:tcMar>
          </w:tcPr>
          <w:p>
            <w:r>
              <w:rPr>
                <w:rFonts w:ascii="Arial" w:cs="Arial" w:eastAsia="Arial" w:hAnsi="Arial"/>
                <w:b/>
                <w:bCs/>
                <w:color w:val="FFFFFF"/>
                <w:sz w:val="18"/>
                <w:szCs w:val="18"/>
              </w:rPr>
              <w:t xml:space="preserve">#8  </w:t>
            </w:r>
            <w:r>
              <w:rPr>
                <w:rFonts w:ascii="Arial" w:cs="Arial" w:eastAsia="Arial" w:hAnsi="Arial"/>
                <w:b/>
                <w:bCs/>
                <w:color w:val="FFFFFF"/>
                <w:sz w:val="20"/>
                <w:szCs w:val="20"/>
              </w:rPr>
              <w:t xml:space="preserve">RAG 14.9M Chunk Claim Not Substantiated</w:t>
            </w:r>
            <w:r>
              <w:rPr>
                <w:rFonts w:ascii="Arial" w:cs="Arial" w:eastAsia="Arial" w:hAnsi="Arial"/>
                <w:color w:val="EEEEEE"/>
                <w:sz w:val="17"/>
                <w:szCs w:val="17"/>
              </w:rPr>
              <w:t xml:space="preserve">   [Significant]</w:t>
            </w:r>
          </w:p>
        </w:tc>
      </w:tr>
      <w:tr>
        <w:tc>
          <w:tcPr>
            <w:tcW w:type="dxa" w:w="9360"/>
            <w:tcBorders>
              <w:top w:val="nil"/>
              <w:left w:val="single" w:color="E65100"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Technical Workflow architecture diagram and Agentic Solution v1 state '14.9M embedded historical breaks'. Current dataset has 621,804 records. Even with multi-chunk splitting this yields ~650K-1.2M chunks maximum, not 14.9M.</w:t>
            </w:r>
          </w:p>
        </w:tc>
      </w:tr>
      <w:tr>
        <w:tc>
          <w:tcPr>
            <w:tcW w:type="dxa" w:w="9360"/>
            <w:tcBorders>
              <w:top w:val="nil"/>
              <w:left w:val="single" w:color="E65100"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State accurately: 'Initial vector store: ~650K-1.2M chunks from current 621,804 records (1-2 chunks per break). Scales to ~14.9M chunks as 24 months of historical data (~600K records/month) is ingested over the platform's operational lifetime.' Remove the 14.9M figure from all current-state architecture diagrams and use it only in the future-state/Phase 4 context.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5100" w:val="clear"/>
            <w:tcMar>
              <w:top w:type="dxa" w:w="80"/>
              <w:left w:type="dxa" w:w="160"/>
              <w:bottom w:type="dxa" w:w="80"/>
              <w:right w:type="dxa" w:w="160"/>
            </w:tcMar>
          </w:tcPr>
          <w:p>
            <w:r>
              <w:rPr>
                <w:rFonts w:ascii="Arial" w:cs="Arial" w:eastAsia="Arial" w:hAnsi="Arial"/>
                <w:b/>
                <w:bCs/>
                <w:color w:val="FFFFFF"/>
                <w:sz w:val="18"/>
                <w:szCs w:val="18"/>
              </w:rPr>
              <w:t xml:space="preserve">#9  </w:t>
            </w:r>
            <w:r>
              <w:rPr>
                <w:rFonts w:ascii="Arial" w:cs="Arial" w:eastAsia="Arial" w:hAnsi="Arial"/>
                <w:b/>
                <w:bCs/>
                <w:color w:val="FFFFFF"/>
                <w:sz w:val="20"/>
                <w:szCs w:val="20"/>
              </w:rPr>
              <w:t xml:space="preserve">Auto-Resolve Posts Journals Without Human Approval — SOX Risk</w:t>
            </w:r>
            <w:r>
              <w:rPr>
                <w:rFonts w:ascii="Arial" w:cs="Arial" w:eastAsia="Arial" w:hAnsi="Arial"/>
                <w:color w:val="EEEEEE"/>
                <w:sz w:val="17"/>
                <w:szCs w:val="17"/>
              </w:rPr>
              <w:t xml:space="preserve">   [Significant]</w:t>
            </w:r>
          </w:p>
        </w:tc>
      </w:tr>
      <w:tr>
        <w:tc>
          <w:tcPr>
            <w:tcW w:type="dxa" w:w="9360"/>
            <w:tcBorders>
              <w:top w:val="nil"/>
              <w:left w:val="single" w:color="E65100"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Technical Workflow Auto-Resolve Agent calls post_journal_entry() directly when is_systemic=True AND llm_confidence&gt;90. Automated journal posting without a finance controller approval step violates SOX Section 404 internal controls and will be rejected by internal audit immediately.</w:t>
            </w:r>
          </w:p>
        </w:tc>
      </w:tr>
      <w:tr>
        <w:tc>
          <w:tcPr>
            <w:tcW w:type="dxa" w:w="9360"/>
            <w:tcBorders>
              <w:top w:val="nil"/>
              <w:left w:val="single" w:color="E65100"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Auto-Resolve Agent behaviour: (a) pre-populate journal entry fields based on historical patterns, (b) route to a dedicated JV Approval Queue in the HITL UI, (c) send email notification to the entity finance controller, (d) allow single-click approval from the controller. Fully automated posting with zero human touch is Phase 5+ scope and requires a separate Controls Documentation paper, External Audit sign-off, and SOX change management process. Document this boundary explicitly in the AI Governance section.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5100" w:val="clear"/>
            <w:tcMar>
              <w:top w:type="dxa" w:w="80"/>
              <w:left w:type="dxa" w:w="160"/>
              <w:bottom w:type="dxa" w:w="80"/>
              <w:right w:type="dxa" w:w="160"/>
            </w:tcMar>
          </w:tcPr>
          <w:p>
            <w:r>
              <w:rPr>
                <w:rFonts w:ascii="Arial" w:cs="Arial" w:eastAsia="Arial" w:hAnsi="Arial"/>
                <w:b/>
                <w:bCs/>
                <w:color w:val="FFFFFF"/>
                <w:sz w:val="18"/>
                <w:szCs w:val="18"/>
              </w:rPr>
              <w:t xml:space="preserve">#10  </w:t>
            </w:r>
            <w:r>
              <w:rPr>
                <w:rFonts w:ascii="Arial" w:cs="Arial" w:eastAsia="Arial" w:hAnsi="Arial"/>
                <w:b/>
                <w:bCs/>
                <w:color w:val="FFFFFF"/>
                <w:sz w:val="20"/>
                <w:szCs w:val="20"/>
              </w:rPr>
              <w:t xml:space="preserve">Two Embedding Models — Dimension Mismatch in FAISS Index</w:t>
            </w:r>
            <w:r>
              <w:rPr>
                <w:rFonts w:ascii="Arial" w:cs="Arial" w:eastAsia="Arial" w:hAnsi="Arial"/>
                <w:color w:val="EEEEEE"/>
                <w:sz w:val="17"/>
                <w:szCs w:val="17"/>
              </w:rPr>
              <w:t xml:space="preserve">   [Significant]</w:t>
            </w:r>
          </w:p>
        </w:tc>
      </w:tr>
      <w:tr>
        <w:tc>
          <w:tcPr>
            <w:tcW w:type="dxa" w:w="9360"/>
            <w:tcBorders>
              <w:top w:val="nil"/>
              <w:left w:val="single" w:color="E65100"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Gap Analysis §8 lists FuzzyWuzzy + FAISS for recurrence. Technical Workflow §2.2 uses sentence-transformers/all-MiniLM-L6-v2 (384 dims) for query embedding but §4.1 Tech Stack lists text-embedding-3-small (1536 dims). Mixing both in one FAISS index causes dimension mismatch errors at runtime.</w:t>
            </w:r>
          </w:p>
        </w:tc>
      </w:tr>
      <w:tr>
        <w:tc>
          <w:tcPr>
            <w:tcW w:type="dxa" w:w="9360"/>
            <w:tcBorders>
              <w:top w:val="nil"/>
              <w:left w:val="single" w:color="E65100"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Standardise on text-embedding-3-small (1536 dims, Azure OpenAI) as the single embedding model for all RAG, recurrence, and semantic search. Remove all-MiniLM-L6-v2 references from code and documentation. Offline fallback model: bge-small-en-v1.5 (384 dims) stored in a separate FAISS index with a clear namespace separation. Never mix embeddings from different models in the same index.</w:t>
            </w:r>
          </w:p>
        </w:tc>
      </w:tr>
    </w:tbl>
    <w:p>
      <w:pPr>
        <w:spacing w:before="0" w:after="80"/>
      </w:pPr>
    </w:p>
    <w:p>
      <w:pPr>
        <w:pStyle w:val="Heading2"/>
        <w:spacing w:before="300" w:after="140"/>
      </w:pPr>
      <w:r>
        <w:rPr>
          <w:rFonts w:ascii="Arial" w:cs="Arial" w:eastAsia="Arial" w:hAnsi="Arial"/>
          <w:b/>
          <w:bCs/>
          <w:color w:val="1A1A1A"/>
          <w:sz w:val="26"/>
          <w:szCs w:val="26"/>
        </w:rPr>
        <w:t xml:space="preserve">Minor Corrections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0808D" w:val="clear"/>
            <w:tcMar>
              <w:top w:type="dxa" w:w="80"/>
              <w:left w:type="dxa" w:w="160"/>
              <w:bottom w:type="dxa" w:w="80"/>
              <w:right w:type="dxa" w:w="160"/>
            </w:tcMar>
          </w:tcPr>
          <w:p>
            <w:r>
              <w:rPr>
                <w:rFonts w:ascii="Arial" w:cs="Arial" w:eastAsia="Arial" w:hAnsi="Arial"/>
                <w:b/>
                <w:bCs/>
                <w:color w:val="FFFFFF"/>
                <w:sz w:val="18"/>
                <w:szCs w:val="18"/>
              </w:rPr>
              <w:t xml:space="preserve">#11  </w:t>
            </w:r>
            <w:r>
              <w:rPr>
                <w:rFonts w:ascii="Arial" w:cs="Arial" w:eastAsia="Arial" w:hAnsi="Arial"/>
                <w:b/>
                <w:bCs/>
                <w:color w:val="FFFFFF"/>
                <w:sz w:val="20"/>
                <w:szCs w:val="20"/>
              </w:rPr>
              <w:t xml:space="preserve">Token Budget 200M is ~Half of Actual Requirement</w:t>
            </w:r>
            <w:r>
              <w:rPr>
                <w:rFonts w:ascii="Arial" w:cs="Arial" w:eastAsia="Arial" w:hAnsi="Arial"/>
                <w:color w:val="EEEEEE"/>
                <w:sz w:val="17"/>
                <w:szCs w:val="17"/>
              </w:rPr>
              <w:t xml:space="preserve">   [Minor]</w:t>
            </w:r>
          </w:p>
        </w:tc>
      </w:tr>
      <w:tr>
        <w:tc>
          <w:tcPr>
            <w:tcW w:type="dxa" w:w="9360"/>
            <w:tcBorders>
              <w:top w:val="nil"/>
              <w:left w:val="single" w:color="20808D"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At 621,804 breaks/month × ~600 tokens/call = ~373M tokens required. The stated budget of 200M tokens/month is insufficient.</w:t>
            </w:r>
          </w:p>
        </w:tc>
      </w:tr>
      <w:tr>
        <w:tc>
          <w:tcPr>
            <w:tcW w:type="dxa" w:w="9360"/>
            <w:tcBorders>
              <w:top w:val="nil"/>
              <w:left w:val="single" w:color="20808D"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Revise TOKEN_BUDGET_MONTHLY to 400M. Implement aggressive caching first (system prompt caching ~50% saving, compressed pipe-delimited format ~30% saving, top-3 RAG limit ~50% saving) to bring actual consumption to ~180-220M. Monitor weekly via Prometheus token_usage gauge. Set a soft alert at 80% of budget and hard stop at 95%.</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0808D" w:val="clear"/>
            <w:tcMar>
              <w:top w:type="dxa" w:w="80"/>
              <w:left w:type="dxa" w:w="160"/>
              <w:bottom w:type="dxa" w:w="80"/>
              <w:right w:type="dxa" w:w="160"/>
            </w:tcMar>
          </w:tcPr>
          <w:p>
            <w:r>
              <w:rPr>
                <w:rFonts w:ascii="Arial" w:cs="Arial" w:eastAsia="Arial" w:hAnsi="Arial"/>
                <w:b/>
                <w:bCs/>
                <w:color w:val="FFFFFF"/>
                <w:sz w:val="18"/>
                <w:szCs w:val="18"/>
              </w:rPr>
              <w:t xml:space="preserve">#12  </w:t>
            </w:r>
            <w:r>
              <w:rPr>
                <w:rFonts w:ascii="Arial" w:cs="Arial" w:eastAsia="Arial" w:hAnsi="Arial"/>
                <w:b/>
                <w:bCs/>
                <w:color w:val="FFFFFF"/>
                <w:sz w:val="20"/>
                <w:szCs w:val="20"/>
              </w:rPr>
              <w:t xml:space="preserve">LangGraph Ends at Reporting — HITL Handoff Not Documented</w:t>
            </w:r>
            <w:r>
              <w:rPr>
                <w:rFonts w:ascii="Arial" w:cs="Arial" w:eastAsia="Arial" w:hAnsi="Arial"/>
                <w:color w:val="EEEEEE"/>
                <w:sz w:val="17"/>
                <w:szCs w:val="17"/>
              </w:rPr>
              <w:t xml:space="preserve">   [Minor]</w:t>
            </w:r>
          </w:p>
        </w:tc>
      </w:tr>
      <w:tr>
        <w:tc>
          <w:tcPr>
            <w:tcW w:type="dxa" w:w="9360"/>
            <w:tcBorders>
              <w:top w:val="nil"/>
              <w:left w:val="single" w:color="20808D"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graph.add_edge('reporting', END) terminates the graph without documenting how breaks surface to the analyst HITL queue in Streamlit.</w:t>
            </w:r>
          </w:p>
        </w:tc>
      </w:tr>
      <w:tr>
        <w:tc>
          <w:tcPr>
            <w:tcW w:type="dxa" w:w="9360"/>
            <w:tcBorders>
              <w:top w:val="nil"/>
              <w:left w:val="single" w:color="20808D"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The Reporting Agent writes pending breaks to a PostgreSQL review_queue table (columns: break_id, llm_suggestion, confidence, status='PENDING'). The Streamlit HITL UI polls this table via a 30-second auto-refresh. On analyst submit, status is updated to ACCEPTED/MODIFIED/REJECTED and a feedback record is written to the analyst_decisions audit table. Document this PostgreSQL queue as the explicit handoff between LangGraph and the Streamlit UI.</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0808D" w:val="clear"/>
            <w:tcMar>
              <w:top w:type="dxa" w:w="80"/>
              <w:left w:type="dxa" w:w="160"/>
              <w:bottom w:type="dxa" w:w="80"/>
              <w:right w:type="dxa" w:w="160"/>
            </w:tcMar>
          </w:tcPr>
          <w:p>
            <w:r>
              <w:rPr>
                <w:rFonts w:ascii="Arial" w:cs="Arial" w:eastAsia="Arial" w:hAnsi="Arial"/>
                <w:b/>
                <w:bCs/>
                <w:color w:val="FFFFFF"/>
                <w:sz w:val="18"/>
                <w:szCs w:val="18"/>
              </w:rPr>
              <w:t xml:space="preserve">#13  </w:t>
            </w:r>
            <w:r>
              <w:rPr>
                <w:rFonts w:ascii="Arial" w:cs="Arial" w:eastAsia="Arial" w:hAnsi="Arial"/>
                <w:b/>
                <w:bCs/>
                <w:color w:val="FFFFFF"/>
                <w:sz w:val="20"/>
                <w:szCs w:val="20"/>
              </w:rPr>
              <w:t xml:space="preserve">FuzzyWuzzy Deprecated — Use thefuzz</w:t>
            </w:r>
            <w:r>
              <w:rPr>
                <w:rFonts w:ascii="Arial" w:cs="Arial" w:eastAsia="Arial" w:hAnsi="Arial"/>
                <w:color w:val="EEEEEE"/>
                <w:sz w:val="17"/>
                <w:szCs w:val="17"/>
              </w:rPr>
              <w:t xml:space="preserve">   [Minor]</w:t>
            </w:r>
          </w:p>
        </w:tc>
      </w:tr>
      <w:tr>
        <w:tc>
          <w:tcPr>
            <w:tcW w:type="dxa" w:w="9360"/>
            <w:tcBorders>
              <w:top w:val="nil"/>
              <w:left w:val="single" w:color="20808D"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FuzzyWuzzy is officially superseded by the thefuzz library (same codebase, renamed). Using FuzzyWuzzy triggers deprecation warnings and will break in future Python versions.</w:t>
            </w:r>
          </w:p>
        </w:tc>
      </w:tr>
      <w:tr>
        <w:tc>
          <w:tcPr>
            <w:tcW w:type="dxa" w:w="9360"/>
            <w:tcBorders>
              <w:top w:val="nil"/>
              <w:left w:val="single" w:color="20808D"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Replace all import fuzzywuzzy / from fuzzywuzzy references with import thefuzz / from thefuzz. No functional code changes required — the API is identical. Update requirements.txt: remove fuzzywuzzy==0.18.0, add thefuzz[speedup]==0.22.1 (includes python-Levenshtein for 4-10x speed improvement).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0808D" w:val="clear"/>
            <w:tcMar>
              <w:top w:type="dxa" w:w="80"/>
              <w:left w:type="dxa" w:w="160"/>
              <w:bottom w:type="dxa" w:w="80"/>
              <w:right w:type="dxa" w:w="160"/>
            </w:tcMar>
          </w:tcPr>
          <w:p>
            <w:r>
              <w:rPr>
                <w:rFonts w:ascii="Arial" w:cs="Arial" w:eastAsia="Arial" w:hAnsi="Arial"/>
                <w:b/>
                <w:bCs/>
                <w:color w:val="FFFFFF"/>
                <w:sz w:val="18"/>
                <w:szCs w:val="18"/>
              </w:rPr>
              <w:t xml:space="preserve">#14  </w:t>
            </w:r>
            <w:r>
              <w:rPr>
                <w:rFonts w:ascii="Arial" w:cs="Arial" w:eastAsia="Arial" w:hAnsi="Arial"/>
                <w:b/>
                <w:bCs/>
                <w:color w:val="FFFFFF"/>
                <w:sz w:val="20"/>
                <w:szCs w:val="20"/>
              </w:rPr>
              <w:t xml:space="preserve">Effort Table Missing JIRA and Escalation Activities</w:t>
            </w:r>
            <w:r>
              <w:rPr>
                <w:rFonts w:ascii="Arial" w:cs="Arial" w:eastAsia="Arial" w:hAnsi="Arial"/>
                <w:color w:val="EEEEEE"/>
                <w:sz w:val="17"/>
                <w:szCs w:val="17"/>
              </w:rPr>
              <w:t xml:space="preserve">   [Minor]</w:t>
            </w:r>
          </w:p>
        </w:tc>
      </w:tr>
      <w:tr>
        <w:tc>
          <w:tcPr>
            <w:tcW w:type="dxa" w:w="9360"/>
            <w:tcBorders>
              <w:top w:val="nil"/>
              <w:left w:val="single" w:color="20808D" w:sz="8"/>
              <w:bottom w:val="single" w:color="CCCCCC" w:sz="1"/>
              <w:right w:val="single" w:color="CCCCCC" w:sz="1"/>
            </w:tcBorders>
            <w:shd w:fill="FFF5F5" w:val="clear"/>
            <w:tcMar>
              <w:top w:type="dxa" w:w="80"/>
              <w:left w:type="dxa" w:w="160"/>
              <w:bottom w:type="dxa" w:w="80"/>
              <w:right w:type="dxa" w:w="160"/>
            </w:tcMar>
          </w:tcPr>
          <w:p>
            <w:pPr>
              <w:spacing w:after="40"/>
            </w:pPr>
            <w:r>
              <w:rPr>
                <w:rFonts w:ascii="Arial" w:cs="Arial" w:eastAsia="Arial" w:hAnsi="Arial"/>
                <w:b/>
                <w:bCs/>
                <w:color w:val="A84B2F"/>
                <w:sz w:val="18"/>
                <w:szCs w:val="18"/>
              </w:rPr>
              <w:t xml:space="preserve">❌  Current / Problem:</w:t>
            </w:r>
          </w:p>
          <w:p>
            <w:pPr>
              <w:spacing w:after="0"/>
            </w:pPr>
            <w:r>
              <w:rPr>
                <w:rFonts w:ascii="Arial" w:cs="Arial" w:eastAsia="Arial" w:hAnsi="Arial"/>
                <w:color w:val="1A1A1A"/>
                <w:sz w:val="18"/>
                <w:szCs w:val="18"/>
              </w:rPr>
              <w:t xml:space="preserve">Gap Analysis §7 effort reduction table omits JIRA ticket creation (8-12 hrs/month) and escalation triage (5-10 hrs/month), understating the current manual baseline.</w:t>
            </w:r>
          </w:p>
        </w:tc>
      </w:tr>
      <w:tr>
        <w:tc>
          <w:tcPr>
            <w:tcW w:type="dxa" w:w="9360"/>
            <w:tcBorders>
              <w:top w:val="nil"/>
              <w:left w:val="single" w:color="20808D" w:sz="8"/>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7A3E"/>
                <w:sz w:val="18"/>
                <w:szCs w:val="18"/>
              </w:rPr>
              <w:t xml:space="preserve">✅  Correction:</w:t>
            </w:r>
          </w:p>
          <w:p>
            <w:pPr>
              <w:spacing w:after="0"/>
            </w:pPr>
            <w:r>
              <w:rPr>
                <w:rFonts w:ascii="Arial" w:cs="Arial" w:eastAsia="Arial" w:hAnsi="Arial"/>
                <w:color w:val="1A1A1A"/>
                <w:sz w:val="18"/>
                <w:szCs w:val="18"/>
              </w:rPr>
              <w:t xml:space="preserve">Add both rows to the effort table with the explicit note 'Previously untracked activities, now measured and automated by the platform'. This makes the ~75% reduction figure conservative and defensible rather than overstated.</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C3547" w:val="clear"/>
            <w:tcMar>
              <w:top w:type="dxa" w:w="180"/>
              <w:left w:type="dxa" w:w="280"/>
              <w:bottom w:type="dxa" w:w="180"/>
              <w:right w:type="dxa" w:w="280"/>
            </w:tcMar>
          </w:tcPr>
          <w:p>
            <w:r>
              <w:rPr>
                <w:rFonts w:ascii="Arial" w:cs="Arial" w:eastAsia="Arial" w:hAnsi="Arial"/>
                <w:b/>
                <w:bCs/>
                <w:color w:val="FFFFFF"/>
                <w:sz w:val="34"/>
                <w:szCs w:val="34"/>
              </w:rPr>
              <w:t xml:space="preserve">02  Root Cause Intelligence: Pareto Framework</w:t>
            </w:r>
          </w:p>
          <w:p>
            <w:pPr>
              <w:spacing w:before="40"/>
            </w:pPr>
            <w:r>
              <w:rPr>
                <w:rFonts w:ascii="Arial" w:cs="Arial" w:eastAsia="Arial" w:hAnsi="Arial"/>
                <w:color w:val="BCE2E7"/>
                <w:sz w:val="18"/>
                <w:szCs w:val="18"/>
              </w:rPr>
              <w:t xml:space="preserve">Identifying the 1-2 root causes that resolve 60-70% of all breaks</w:t>
            </w:r>
          </w:p>
        </w:tc>
      </w:tr>
    </w:tbl>
    <w:p>
      <w:pPr>
        <w:spacing w:before="0" w:after="80"/>
      </w:pPr>
    </w:p>
    <w:p>
      <w:pPr>
        <w:spacing w:before="60" w:after="80"/>
      </w:pPr>
      <w:r>
        <w:rPr>
          <w:rFonts w:ascii="Arial" w:cs="Arial" w:eastAsia="Arial" w:hAnsi="Arial"/>
          <w:color w:val="1A1A1A"/>
          <w:sz w:val="20"/>
          <w:szCs w:val="20"/>
        </w:rPr>
        <w:t xml:space="preserve">The central insight driving this framework: in every reconciliation system studied across investment banking, two to three root cause categories account for 60-70% of all break volume. Fixing those root causes — not building a classifier across all 12 labels first — is the fastest path to material manual effort reduction. This section defines the Pareto approach, the TCFC-specific root cause hierarchy, and the evidence signals already present in the dataset.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696F" w:sz="8"/>
              <w:left w:val="single" w:color="01696F" w:sz="8"/>
              <w:bottom w:val="single" w:color="CCCCCC" w:sz="1"/>
              <w:right w:val="single" w:color="CCCCCC" w:sz="1"/>
            </w:tcBorders>
            <w:shd w:fill="E6F4F1" w:val="clear"/>
            <w:tcMar>
              <w:top w:type="dxa" w:w="120"/>
              <w:left w:type="dxa" w:w="180"/>
              <w:bottom w:type="dxa" w:w="120"/>
              <w:right w:type="dxa" w:w="180"/>
            </w:tcMar>
          </w:tcPr>
          <w:p>
            <w:pPr>
              <w:spacing w:before="0" w:after="60"/>
            </w:pPr>
            <w:r>
              <w:rPr>
                <w:rFonts w:ascii="Arial" w:cs="Arial" w:eastAsia="Arial" w:hAnsi="Arial"/>
                <w:b/>
                <w:bCs/>
                <w:color w:val="01696F"/>
                <w:sz w:val="20"/>
                <w:szCs w:val="20"/>
              </w:rPr>
              <w:t xml:space="preserve">Core Hypothesis — The Pareto Principle Applied to Reconciliation Breaks</w:t>
            </w:r>
          </w:p>
          <w:p>
            <w:pPr>
              <w:spacing w:before="0" w:after="30"/>
            </w:pPr>
            <w:r>
              <w:rPr>
                <w:rFonts w:ascii="Arial" w:cs="Arial" w:eastAsia="Arial" w:hAnsi="Arial"/>
                <w:color w:val="1A1A1A"/>
                <w:sz w:val="19"/>
                <w:szCs w:val="19"/>
              </w:rPr>
              <w:t xml:space="preserve">Based on TCFC business patterns across Equities, FX, Fixed Income, and Rates middle office operations, the two highest-volume root cause categories in any given reconciliation cube are typically:</w:t>
            </w:r>
          </w:p>
          <w:p>
            <w:pPr>
              <w:spacing w:before="0" w:after="30"/>
            </w:pPr>
            <w:r>
              <w:rPr>
                <w:rFonts w:ascii="Arial" w:cs="Arial" w:eastAsia="Arial" w:hAnsi="Arial"/>
                <w:color w:val="1A1A1A"/>
                <w:sz w:val="19"/>
                <w:szCs w:val="19"/>
              </w:rPr>
              <w:t xml:space="preserve">  1.  TIMING / SETTLEMENT TIMING — breaks caused by T+1/T+2 settlement mismatches, cut-off time differences between systems, or fails-to-deliver that self-resolve within 1-3 days (Bucket: 0-15 days). These typically account for 35-45% of total break count.</w:t>
            </w:r>
          </w:p>
          <w:p>
            <w:pPr>
              <w:spacing w:before="0" w:after="30"/>
            </w:pPr>
            <w:r>
              <w:rPr>
                <w:rFonts w:ascii="Arial" w:cs="Arial" w:eastAsia="Arial" w:hAnsi="Arial"/>
                <w:color w:val="1A1A1A"/>
                <w:sz w:val="19"/>
                <w:szCs w:val="19"/>
              </w:rPr>
              <w:t xml:space="preserve">  2.  STATIC DATA / SSI ERRORS — breaks caused by incorrect or missing counterparty settlement instructions, wrong account mappings, or stale reference data. These typically account for 20-30% of break count but disproportionately high % of ABS GBP value.</w:t>
            </w:r>
          </w:p>
          <w:p>
            <w:pPr>
              <w:spacing w:before="0" w:after="30"/>
            </w:pPr>
            <w:r>
              <w:rPr>
                <w:rFonts w:ascii="Arial" w:cs="Arial" w:eastAsia="Arial" w:hAnsi="Arial"/>
                <w:color w:val="1A1A1A"/>
                <w:sz w:val="19"/>
                <w:szCs w:val="19"/>
              </w:rPr>
              <w:t xml:space="preserve">If the AI system can automatically identify and triage these two categories with &gt;80% precision, it can process 55-75% of all 621,804 breaks with minimal analyst intervention — delivering the ROI case within Phase 2 alone.</w:t>
            </w:r>
          </w:p>
        </w:tc>
      </w:tr>
    </w:tbl>
    <w:p>
      <w:pPr>
        <w:spacing w:before="0" w:after="80"/>
      </w:pPr>
    </w:p>
    <w:p>
      <w:pPr>
        <w:pStyle w:val="Heading2"/>
        <w:spacing w:before="300" w:after="140"/>
      </w:pPr>
      <w:r>
        <w:rPr>
          <w:rFonts w:ascii="Arial" w:cs="Arial" w:eastAsia="Arial" w:hAnsi="Arial"/>
          <w:b/>
          <w:bCs/>
          <w:color w:val="1A1A1A"/>
          <w:sz w:val="26"/>
          <w:szCs w:val="26"/>
        </w:rPr>
        <w:t xml:space="preserve">2.1 TCFC Root Cause Hierarchy — Evidence from Your Dataset</w:t>
      </w:r>
    </w:p>
    <w:p>
      <w:pPr>
        <w:spacing w:before="0" w:after="80"/>
      </w:pPr>
    </w:p>
    <w:p>
      <w:pPr>
        <w:spacing w:before="60" w:after="80"/>
      </w:pPr>
      <w:r>
        <w:rPr>
          <w:rFonts w:ascii="Arial" w:cs="Arial" w:eastAsia="Arial" w:hAnsi="Arial"/>
          <w:color w:val="1A1A1A"/>
          <w:sz w:val="20"/>
          <w:szCs w:val="20"/>
        </w:rPr>
        <w:t xml:space="preserve">The following hierarchy is derived from the columns already present in your 41-column dataset. Each root cause has identifiable signals that the LLM and rule engine can detect without needing pre-labelled training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20"/>
        <w:gridCol w:w="1500"/>
        <w:gridCol w:w="3000"/>
        <w:gridCol w:w="2040"/>
      </w:tblGrid>
      <w:tr>
        <w:trPr>
          <w:tblHeader/>
        </w:trPr>
        <w:tc>
          <w:tcPr>
            <w:tcW w:type="dxa" w:w="9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9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Root Cause Category</w:t>
            </w:r>
          </w:p>
        </w:tc>
        <w:tc>
          <w:tcPr>
            <w:tcW w:type="dxa" w:w="15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 of Breaks (Typical TCFC)</w:t>
            </w:r>
          </w:p>
        </w:tc>
        <w:tc>
          <w:tcPr>
            <w:tcW w:type="dxa" w:w="30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Key Signal Columns</w:t>
            </w:r>
          </w:p>
        </w:tc>
        <w:tc>
          <w:tcPr>
            <w:tcW w:type="dxa" w:w="20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Auto-Detectable?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 HIGHEST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Timing / Settlement Timing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35-45%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Bucket=0-15, Age Days ≤3, Type of break contains 'timing'/'settlement', Journals Posted=Y (next period)</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Rule-based (Age + Bucket + Type)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 — HIGH</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Static Data / SSI Error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20-30%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Comments contains 'SSI'/'settlement instruction'/'account', SYSTEM TO BE FIXED, ISSUE CATEGORY=Static</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NLP keyword + ISSUE CATEGORY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 HIGH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 MTM / NAV Difference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BREAK AMOUNT GBP large, Type of break=Price, Asset Class=Fund/Equity, TRADE CCY mismatch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LLM + RAG (context needed)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#4 — MEDIUM</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Booking Error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8-12%</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A84B2F"/>
                <w:sz w:val="18"/>
                <w:szCs w:val="18"/>
              </w:rPr>
              <w:t xml:space="preserve">JIRA PRIORITY=HIGH/CRITICAL, EPIC=Booking, Comments='booked to wrong'/'incorrect booking'</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LLM + JIRA signals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 — MEDIUM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FX Rate / CCY Mismatch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CCY != GBP, large ABS GBP, Asset Class=FX/Rates, Type of break=FX</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Rule-based (CCY + Asset Class)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#6 — LOWER</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Corporate Action Impact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3-6%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Comments: 'dividend'/'split'/'ex-date'/'corporate action', Thematic=Corporate Action</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LLM NER on Comments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 — LOWER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Duplicate / Phantom Trade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Duplicate Trade column populated (45.5%), TRADE REF appearing 2x in same Period</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Rule-based (dedup detection)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#8 — LOWER</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Outage / Feed Failure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Comments: 'feed'/'outage'/'system down'/'timeout', Thematic=System, multiple same-period breaks</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LLM clustering across recs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 — LOWEST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Missing / Late Confirmation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 of break=Confirmation, Jira Reference blank, Age Days 1-5, Cash/Non Cash=Cash</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Rule-based (type + age)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 / Needs Manual Review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5-10%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 of the above signals present, LLM confidence &lt;60%</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Manual analyst review</w:t>
            </w:r>
          </w:p>
        </w:tc>
      </w:tr>
    </w:tbl>
    <w:p>
      <w:pPr>
        <w:spacing w:before="0" w:after="80"/>
      </w:pPr>
    </w:p>
    <w:p>
      <w:pPr>
        <w:pStyle w:val="Heading2"/>
        <w:spacing w:before="300" w:after="140"/>
      </w:pPr>
      <w:r>
        <w:rPr>
          <w:rFonts w:ascii="Arial" w:cs="Arial" w:eastAsia="Arial" w:hAnsi="Arial"/>
          <w:b/>
          <w:bCs/>
          <w:color w:val="1A1A1A"/>
          <w:sz w:val="26"/>
          <w:szCs w:val="26"/>
        </w:rPr>
        <w:t xml:space="preserve">2.2 The Pareto Action Plan — Fix Root Causes #1 and #2 First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CCCCCC" w:sz="1"/>
              <w:right w:val="single" w:color="CCCCCC" w:sz="1"/>
            </w:tcBorders>
            <w:shd w:fill="FFF8E1" w:val="clear"/>
            <w:tcMar>
              <w:top w:type="dxa" w:w="120"/>
              <w:left w:type="dxa" w:w="180"/>
              <w:bottom w:type="dxa" w:w="120"/>
              <w:right w:type="dxa" w:w="180"/>
            </w:tcMar>
          </w:tcPr>
          <w:p>
            <w:pPr>
              <w:spacing w:before="0" w:after="60"/>
            </w:pPr>
            <w:r>
              <w:rPr>
                <w:rFonts w:ascii="Arial" w:cs="Arial" w:eastAsia="Arial" w:hAnsi="Arial"/>
                <w:b/>
                <w:bCs/>
                <w:color w:val="E65100"/>
                <w:sz w:val="20"/>
                <w:szCs w:val="20"/>
              </w:rPr>
              <w:t xml:space="preserve">Why targeting just 2 root causes delivers the majority of the ROI</w:t>
            </w:r>
          </w:p>
          <w:p>
            <w:pPr>
              <w:spacing w:before="0" w:after="30"/>
            </w:pPr>
            <w:r>
              <w:rPr>
                <w:rFonts w:ascii="Arial" w:cs="Arial" w:eastAsia="Arial" w:hAnsi="Arial"/>
                <w:color w:val="1A1A1A"/>
                <w:sz w:val="19"/>
                <w:szCs w:val="19"/>
              </w:rPr>
              <w:t xml:space="preserve">Root Cause #1 (Timing): ~35-45% of 621,804 breaks = ~217,000-280,000 breaks. These are largely self-resolving within 1-3 days. The AI system action: auto-classify as Timing, suppress from analyst queue if Age Days ≤3 AND Journals Posted = Y, monitor for persistence. This alone removes the largest category from the daily review workload.</w:t>
            </w:r>
          </w:p>
          <w:p>
            <w:pPr>
              <w:spacing w:before="0" w:after="30"/>
            </w:pPr>
            <w:r>
              <w:rPr>
                <w:rFonts w:ascii="Arial" w:cs="Arial" w:eastAsia="Arial" w:hAnsi="Arial"/>
                <w:color w:val="1A1A1A"/>
                <w:sz w:val="19"/>
                <w:szCs w:val="19"/>
              </w:rPr>
              <w:t xml:space="preserve">Root Cause #2 (SSI/Static Data): ~20-30% = ~124,000-187,000 breaks. These recur against the same counterparties/accounts repeatedly until the static data is fixed. ONE fix to the SSI record resolves ALL future breaks for that counterparty. The AI system action: detect SSI break pattern, identify the specific SSI record causing it (using TRADE REF + Entity + Comments NER), raise ONE JIRA ticket for the static data team to fix the root SSI, auto-close all related breaks as 'Resolved — SSI Update Pending'.</w:t>
            </w:r>
          </w:p>
          <w:p>
            <w:pPr>
              <w:spacing w:before="0" w:after="30"/>
            </w:pPr>
            <w:r>
              <w:rPr>
                <w:rFonts w:ascii="Arial" w:cs="Arial" w:eastAsia="Arial" w:hAnsi="Arial"/>
                <w:color w:val="1A1A1A"/>
                <w:sz w:val="19"/>
                <w:szCs w:val="19"/>
              </w:rPr>
              <w:t xml:space="preserve">Combined: Addressing just these two categories can suppress 55-75% of break volume from the analyst queue. This is the business case for Phase 2 and the fastest path to demonstrable ROI.</w:t>
            </w:r>
          </w:p>
        </w:tc>
      </w:tr>
    </w:tbl>
    <w:p>
      <w:pPr>
        <w:spacing w:before="0" w:after="80"/>
      </w:pPr>
    </w:p>
    <w:p>
      <w:pPr>
        <w:pStyle w:val="Heading3"/>
        <w:spacing w:before="200" w:after="100"/>
      </w:pPr>
      <w:r>
        <w:rPr>
          <w:rFonts w:ascii="Arial" w:cs="Arial" w:eastAsia="Arial" w:hAnsi="Arial"/>
          <w:b/>
          <w:bCs/>
          <w:color w:val="01696F"/>
          <w:sz w:val="22"/>
          <w:szCs w:val="22"/>
        </w:rPr>
        <w:t xml:space="preserve">Root Cause #1 Detection: Timing Breaks — Rule Engine (No LLM Required)</w:t>
      </w:r>
    </w:p>
    <w:p>
      <w:pPr>
        <w:pStyle w:val="ListParagraph"/>
        <w:numPr>
          <w:ilvl w:val="0"/>
          <w:numId w:val="2"/>
        </w:numPr>
        <w:spacing w:before="30" w:after="30"/>
      </w:pPr>
      <w:r>
        <w:rPr>
          <w:rFonts w:ascii="Arial" w:cs="Arial" w:eastAsia="Arial" w:hAnsi="Arial"/>
          <w:color w:val="1A1A1A"/>
          <w:sz w:val="20"/>
          <w:szCs w:val="20"/>
        </w:rPr>
        <w:t xml:space="preserve">Condition: Bucket IN ('0-15') AND Age_Days &lt;= 3 AND (Type_of_break LIKE '%timing%' OR Type_of_break LIKE '%settlement%')</w:t>
      </w:r>
    </w:p>
    <w:p>
      <w:pPr>
        <w:pStyle w:val="ListParagraph"/>
        <w:numPr>
          <w:ilvl w:val="0"/>
          <w:numId w:val="2"/>
        </w:numPr>
        <w:spacing w:before="30" w:after="30"/>
      </w:pPr>
      <w:r>
        <w:rPr>
          <w:rFonts w:ascii="Arial" w:cs="Arial" w:eastAsia="Arial" w:hAnsi="Arial"/>
          <w:color w:val="1A1A1A"/>
          <w:sz w:val="20"/>
          <w:szCs w:val="20"/>
        </w:rPr>
        <w:t xml:space="preserve">Supplementary signal: Journals_Posted = 'Y' in the following period (confirms self-resolution)</w:t>
      </w:r>
    </w:p>
    <w:p>
      <w:pPr>
        <w:pStyle w:val="ListParagraph"/>
        <w:numPr>
          <w:ilvl w:val="0"/>
          <w:numId w:val="2"/>
        </w:numPr>
        <w:spacing w:before="30" w:after="30"/>
      </w:pPr>
      <w:r>
        <w:rPr>
          <w:rFonts w:ascii="Arial" w:cs="Arial" w:eastAsia="Arial" w:hAnsi="Arial"/>
          <w:color w:val="1A1A1A"/>
          <w:sz w:val="20"/>
          <w:szCs w:val="20"/>
        </w:rPr>
        <w:t xml:space="preserve">Action: Auto-classify as TIMING. Suppress from LLM queue. Add to Timing Monitoring list.</w:t>
      </w:r>
    </w:p>
    <w:p>
      <w:pPr>
        <w:pStyle w:val="ListParagraph"/>
        <w:numPr>
          <w:ilvl w:val="0"/>
          <w:numId w:val="2"/>
        </w:numPr>
        <w:spacing w:before="30" w:after="30"/>
      </w:pPr>
      <w:r>
        <w:rPr>
          <w:rFonts w:ascii="Arial" w:cs="Arial" w:eastAsia="Arial" w:hAnsi="Arial"/>
          <w:color w:val="1A1A1A"/>
          <w:sz w:val="20"/>
          <w:szCs w:val="20"/>
        </w:rPr>
        <w:t xml:space="preserve">Escalation exception: If same Trade Ref appears in Timing category for 3+ consecutive periods → escalate as RECURRING TIMING — may indicate a systemic settlement instruction issue</w:t>
      </w:r>
    </w:p>
    <w:p>
      <w:pPr>
        <w:pStyle w:val="ListParagraph"/>
        <w:numPr>
          <w:ilvl w:val="0"/>
          <w:numId w:val="2"/>
        </w:numPr>
        <w:spacing w:before="30" w:after="30"/>
      </w:pPr>
      <w:r>
        <w:rPr>
          <w:rFonts w:ascii="Arial" w:cs="Arial" w:eastAsia="Arial" w:hAnsi="Arial"/>
          <w:color w:val="1A1A1A"/>
          <w:sz w:val="20"/>
          <w:szCs w:val="20"/>
        </w:rPr>
        <w:t xml:space="preserve">Data needed from source: Settlement date (T+N) from trade booking system — not currently in dataset (see Section 4)</w:t>
      </w:r>
    </w:p>
    <w:p>
      <w:pPr>
        <w:spacing w:before="0" w:after="80"/>
      </w:pPr>
    </w:p>
    <w:p>
      <w:pPr>
        <w:pStyle w:val="Heading3"/>
        <w:spacing w:before="200" w:after="100"/>
      </w:pPr>
      <w:r>
        <w:rPr>
          <w:rFonts w:ascii="Arial" w:cs="Arial" w:eastAsia="Arial" w:hAnsi="Arial"/>
          <w:b/>
          <w:bCs/>
          <w:color w:val="01696F"/>
          <w:sz w:val="22"/>
          <w:szCs w:val="22"/>
        </w:rPr>
        <w:t xml:space="preserve">Root Cause #2 Detection: SSI/Static Data — NLP + Rule Hybrid</w:t>
      </w:r>
    </w:p>
    <w:p>
      <w:pPr>
        <w:pStyle w:val="ListParagraph"/>
        <w:numPr>
          <w:ilvl w:val="0"/>
          <w:numId w:val="2"/>
        </w:numPr>
        <w:spacing w:before="30" w:after="30"/>
      </w:pPr>
      <w:r>
        <w:rPr>
          <w:rFonts w:ascii="Arial" w:cs="Arial" w:eastAsia="Arial" w:hAnsi="Arial"/>
          <w:color w:val="1A1A1A"/>
          <w:sz w:val="20"/>
          <w:szCs w:val="20"/>
        </w:rPr>
        <w:t xml:space="preserve">NLP signals: Comments contains 'SSI' OR 'settlement instruction' OR 'standing instruction' OR 'account number' OR 'sort code' OR 'BIC/SWIFT' OR 'nostro account'</w:t>
      </w:r>
    </w:p>
    <w:p>
      <w:pPr>
        <w:pStyle w:val="ListParagraph"/>
        <w:numPr>
          <w:ilvl w:val="0"/>
          <w:numId w:val="2"/>
        </w:numPr>
        <w:spacing w:before="30" w:after="30"/>
      </w:pPr>
      <w:r>
        <w:rPr>
          <w:rFonts w:ascii="Arial" w:cs="Arial" w:eastAsia="Arial" w:hAnsi="Arial"/>
          <w:color w:val="1A1A1A"/>
          <w:sz w:val="20"/>
          <w:szCs w:val="20"/>
        </w:rPr>
        <w:t xml:space="preserve">Structural signal: SYSTEM TO BE FIXED column references a static data system (e.g., 'Bloomberg SSI', 'Bonnaire', 'Omgeo ALERT', 'Avox')</w:t>
      </w:r>
    </w:p>
    <w:p>
      <w:pPr>
        <w:pStyle w:val="ListParagraph"/>
        <w:numPr>
          <w:ilvl w:val="0"/>
          <w:numId w:val="2"/>
        </w:numPr>
        <w:spacing w:before="30" w:after="30"/>
      </w:pPr>
      <w:r>
        <w:rPr>
          <w:rFonts w:ascii="Arial" w:cs="Arial" w:eastAsia="Arial" w:hAnsi="Arial"/>
          <w:color w:val="1A1A1A"/>
          <w:sz w:val="20"/>
          <w:szCs w:val="20"/>
        </w:rPr>
        <w:t xml:space="preserve">Grouping logic: Cluster all SSI breaks by Entity + TRADE CCY + Rec Name → if ≥3 breaks share the same Entity/CCY/Rec combination AND all have SSI signals → one root SSI record is causing all of them</w:t>
      </w:r>
    </w:p>
    <w:p>
      <w:pPr>
        <w:pStyle w:val="ListParagraph"/>
        <w:numPr>
          <w:ilvl w:val="0"/>
          <w:numId w:val="2"/>
        </w:numPr>
        <w:spacing w:before="30" w:after="30"/>
      </w:pPr>
      <w:r>
        <w:rPr>
          <w:rFonts w:ascii="Arial" w:cs="Arial" w:eastAsia="Arial" w:hAnsi="Arial"/>
          <w:color w:val="1A1A1A"/>
          <w:sz w:val="20"/>
          <w:szCs w:val="20"/>
        </w:rPr>
        <w:t xml:space="preserve">Action: Create ONE JIRA ticket for the static data team with all affected Trade Refs listed. Auto-populate JIRA DESC with the specific SSI details extracted by NER from Comments.</w:t>
      </w:r>
    </w:p>
    <w:p>
      <w:pPr>
        <w:pStyle w:val="ListParagraph"/>
        <w:numPr>
          <w:ilvl w:val="0"/>
          <w:numId w:val="2"/>
        </w:numPr>
        <w:spacing w:before="30" w:after="30"/>
      </w:pPr>
      <w:r>
        <w:rPr>
          <w:rFonts w:ascii="Arial" w:cs="Arial" w:eastAsia="Arial" w:hAnsi="Arial"/>
          <w:color w:val="1A1A1A"/>
          <w:sz w:val="20"/>
          <w:szCs w:val="20"/>
        </w:rPr>
        <w:t xml:space="preserve">This is the highest-value action: one JIRA ticket can close 10-50 related breaks simultaneously</w:t>
      </w: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C3547" w:val="clear"/>
            <w:tcMar>
              <w:top w:type="dxa" w:w="180"/>
              <w:left w:type="dxa" w:w="280"/>
              <w:bottom w:type="dxa" w:w="180"/>
              <w:right w:type="dxa" w:w="280"/>
            </w:tcMar>
          </w:tcPr>
          <w:p>
            <w:r>
              <w:rPr>
                <w:rFonts w:ascii="Arial" w:cs="Arial" w:eastAsia="Arial" w:hAnsi="Arial"/>
                <w:b/>
                <w:bCs/>
                <w:color w:val="FFFFFF"/>
                <w:sz w:val="34"/>
                <w:szCs w:val="34"/>
              </w:rPr>
              <w:t xml:space="preserve">03  TCFC-Specific Additional Data Requirements</w:t>
            </w:r>
          </w:p>
          <w:p>
            <w:pPr>
              <w:spacing w:before="40"/>
            </w:pPr>
            <w:r>
              <w:rPr>
                <w:rFonts w:ascii="Arial" w:cs="Arial" w:eastAsia="Arial" w:hAnsi="Arial"/>
                <w:color w:val="BCE2E7"/>
                <w:sz w:val="18"/>
                <w:szCs w:val="18"/>
              </w:rPr>
              <w:t xml:space="preserve">8 new data sources needed to enable full root cause intelligence</w:t>
            </w:r>
          </w:p>
        </w:tc>
      </w:tr>
    </w:tbl>
    <w:p>
      <w:pPr>
        <w:spacing w:before="0" w:after="80"/>
      </w:pPr>
    </w:p>
    <w:p>
      <w:pPr>
        <w:spacing w:before="60" w:after="80"/>
      </w:pPr>
      <w:r>
        <w:rPr>
          <w:rFonts w:ascii="Arial" w:cs="Arial" w:eastAsia="Arial" w:hAnsi="Arial"/>
          <w:color w:val="1A1A1A"/>
          <w:sz w:val="20"/>
          <w:szCs w:val="20"/>
        </w:rPr>
        <w:t xml:space="preserve">Your current 41-column dataset captures the reconciliation break record — what was observed and when. To understand WHY breaks occur and build predictive/preventive capability, the system needs data from upstream source systems. The following 8 data sources are standard in TCFC (Trade, Cash, FX, Confirmations) investment banking middle office operations and are typically accessible via existing firm infrastructure.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696F" w:sz="8"/>
              <w:left w:val="single" w:color="01696F" w:sz="8"/>
              <w:bottom w:val="single" w:color="CCCCCC" w:sz="1"/>
              <w:right w:val="single" w:color="CCCCCC" w:sz="1"/>
            </w:tcBorders>
            <w:shd w:fill="E6F4F1" w:val="clear"/>
            <w:tcMar>
              <w:top w:type="dxa" w:w="120"/>
              <w:left w:type="dxa" w:w="180"/>
              <w:bottom w:type="dxa" w:w="120"/>
              <w:right w:type="dxa" w:w="180"/>
            </w:tcMar>
          </w:tcPr>
          <w:p>
            <w:pPr>
              <w:spacing w:before="0" w:after="60"/>
            </w:pPr>
            <w:r>
              <w:rPr>
                <w:rFonts w:ascii="Arial" w:cs="Arial" w:eastAsia="Arial" w:hAnsi="Arial"/>
                <w:b/>
                <w:bCs/>
                <w:color w:val="01696F"/>
                <w:sz w:val="20"/>
                <w:szCs w:val="20"/>
              </w:rPr>
              <w:t xml:space="preserve">TCFC Business Context — Why These Sources Are Needed</w:t>
            </w:r>
          </w:p>
          <w:p>
            <w:pPr>
              <w:spacing w:before="0" w:after="30"/>
            </w:pPr>
            <w:r>
              <w:rPr>
                <w:rFonts w:ascii="Arial" w:cs="Arial" w:eastAsia="Arial" w:hAnsi="Arial"/>
                <w:color w:val="1A1A1A"/>
                <w:sz w:val="19"/>
                <w:szCs w:val="19"/>
              </w:rPr>
              <w:t xml:space="preserve">TCFC (Trade, Cash, FX, Confirmations) reconciliations sit between the Front Office (trading systems), Middle Office (risk/P&amp;L), and Back Office (settlement/operations). Breaks arise at every system boundary. Understanding which boundary caused a break — and fixing it at source — is the difference between reactive reconciliation and intelligent break prevention.</w:t>
            </w:r>
          </w:p>
        </w:tc>
      </w:tr>
    </w:tbl>
    <w:p>
      <w:pPr>
        <w:spacing w:before="0" w:after="80"/>
      </w:pPr>
    </w:p>
    <w:p>
      <w:pPr>
        <w:pStyle w:val="Heading2"/>
        <w:spacing w:before="300" w:after="140"/>
      </w:pPr>
      <w:r>
        <w:rPr>
          <w:rFonts w:ascii="Arial" w:cs="Arial" w:eastAsia="Arial" w:hAnsi="Arial"/>
          <w:b/>
          <w:bCs/>
          <w:color w:val="1A1A1A"/>
          <w:sz w:val="26"/>
          <w:szCs w:val="26"/>
        </w:rPr>
        <w:t xml:space="preserve">3.1 Settlement / Trade Lifecycle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520"/>
        <w:gridCol w:w="1440"/>
        <w:gridCol w:w="720"/>
      </w:tblGrid>
      <w:tr>
        <w:trPr>
          <w:tblHeader/>
        </w:trPr>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Fields Needed</w:t>
            </w:r>
          </w:p>
        </w:tc>
        <w:tc>
          <w:tcPr>
            <w:tcW w:type="dxa" w:w="25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Root Causes Enabled</w:t>
            </w:r>
          </w:p>
        </w:tc>
        <w:tc>
          <w:tcPr>
            <w:tcW w:type="dxa" w:w="14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System / API</w:t>
            </w:r>
          </w:p>
        </w:tc>
        <w:tc>
          <w:tcPr>
            <w:tcW w:type="dxa" w:w="7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Booking System
(e.g., Murex, Summit, Calypso, 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ID, Booking Date, Settlement Date (T+N), Counterparty, Notional, Price, Trader, Desk, Booking Status, Amendment History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Timing (#1): actual T+N vs expected; Trade Booking Error (#4): amendment count = proxy for booking errors; Missing Trade (#9): trade present in booking but absent in recon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 API or DB extract (daily EOD snapshot)</w:t>
            </w:r>
          </w:p>
        </w:tc>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A84B2F"/>
                <w:sz w:val="18"/>
                <w:szCs w:val="18"/>
              </w:rPr>
              <w:t xml:space="preserve">CRITICAL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Settlement / Custodian System
(e.g., SWIFT, Euroclear, Clearstream, DTCC)</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Settlement Status (Settled/Pending/Failed), Settlement Date, Fail Reason Code, Counterparty BIC, Nostro Account, CSDs, Partial Settlement flag</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Timing (#1): fail reason code distinguishes timing vs SSI; SSI Error (#2): BIC/account mismatch captured explicitly; FX Mismatch (#5): CCY of settlement vs trade CCY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SWIFT MT548/MT536 messages or custodian portal API</w:t>
            </w:r>
          </w:p>
        </w:tc>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A84B2F"/>
                <w:sz w:val="18"/>
                <w:szCs w:val="18"/>
              </w:rPr>
              <w:t xml:space="preserve">CRITICAL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SSI/Static Data System
(e.g., Bloomberg SSI, Avox, Omgeo ALERT, internal SSI DB)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Counterparty ID, BIC/SWIFT Code, Nostro Account, Account Currency, Effective Date, Last Updated Date, Source of SSI Update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SSI Error (#2): SSI last_updated vs break date — if SSI changed recently, that caused the break. Enables the 'fix one SSI, close 50 breaks' clustering logic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DB query or Bloomberg API</w:t>
            </w:r>
          </w:p>
        </w:tc>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A84B2F"/>
                <w:sz w:val="18"/>
                <w:szCs w:val="18"/>
              </w:rPr>
              <w:t xml:space="preserve">CRITICAL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 Office PnL / Pricing System
(e.g., Murex, Kondor, in-house mark system)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ID, Mark-to-Market Value, Price Source, Pricing Date, Valuation Model, Model Override flag</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Price/MTM Difference (#3): FO price vs MO price difference. NAV break identification for fund recs. Model Override = high risk of manual error</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EOD feed or API call</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r>
    </w:tbl>
    <w:p>
      <w:pPr>
        <w:spacing w:before="0" w:after="80"/>
      </w:pPr>
    </w:p>
    <w:p>
      <w:pPr>
        <w:pStyle w:val="Heading2"/>
        <w:spacing w:before="300" w:after="140"/>
      </w:pPr>
      <w:r>
        <w:rPr>
          <w:rFonts w:ascii="Arial" w:cs="Arial" w:eastAsia="Arial" w:hAnsi="Arial"/>
          <w:b/>
          <w:bCs/>
          <w:color w:val="1A1A1A"/>
          <w:sz w:val="26"/>
          <w:szCs w:val="26"/>
        </w:rPr>
        <w:t xml:space="preserve">3.2 Corporate Actions &amp; Reference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520"/>
        <w:gridCol w:w="1440"/>
        <w:gridCol w:w="720"/>
      </w:tblGrid>
      <w:tr>
        <w:trPr>
          <w:tblHeader/>
        </w:trPr>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Fields Needed</w:t>
            </w:r>
          </w:p>
        </w:tc>
        <w:tc>
          <w:tcPr>
            <w:tcW w:type="dxa" w:w="25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Root Causes Enabled</w:t>
            </w:r>
          </w:p>
        </w:tc>
        <w:tc>
          <w:tcPr>
            <w:tcW w:type="dxa" w:w="14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System / API</w:t>
            </w:r>
          </w:p>
        </w:tc>
        <w:tc>
          <w:tcPr>
            <w:tcW w:type="dxa" w:w="7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Corporate Actions Feed
(e.g., Bloomberg CACT, SIX, internal CA system)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ISIN, Event Type (Dividend/Split/Merger/Rights), Ex-Date, Payment Date, Ratio/Rate, Processing Status, Mandatory/Voluntary flag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Corporate Action Impact (#6): if break_date = ex_date ± 2 days for an instrument in the break, high probability of CA impact. Automated CA break detection without reading Comments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Bloomberg B-PIPE or SFTP CA file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Reference / Static Data
(e.g., Bloomberg Reference, Reuters, internal Security Master)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ISIN, Ticker, Asset Class, Currency, Exchange, Issuer, Settlement Convention (T+N), CSD, Active/Inactive status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root causes: correct instrument classification; Settlement convention drives expected T+N in Timing detection; Inactive instruments signal trade booking errors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Bloomberg or internal Security Master API</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r>
    </w:tbl>
    <w:p>
      <w:pPr>
        <w:spacing w:before="0" w:after="80"/>
      </w:pPr>
    </w:p>
    <w:p>
      <w:pPr>
        <w:pStyle w:val="Heading2"/>
        <w:spacing w:before="300" w:after="140"/>
      </w:pPr>
      <w:r>
        <w:rPr>
          <w:rFonts w:ascii="Arial" w:cs="Arial" w:eastAsia="Arial" w:hAnsi="Arial"/>
          <w:b/>
          <w:bCs/>
          <w:color w:val="1A1A1A"/>
          <w:sz w:val="26"/>
          <w:szCs w:val="26"/>
        </w:rPr>
        <w:t xml:space="preserve">3.3 Operational &amp; Workflow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520"/>
        <w:gridCol w:w="1440"/>
        <w:gridCol w:w="720"/>
      </w:tblGrid>
      <w:tr>
        <w:trPr>
          <w:tblHeader/>
        </w:trPr>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Fields Needed</w:t>
            </w:r>
          </w:p>
        </w:tc>
        <w:tc>
          <w:tcPr>
            <w:tcW w:type="dxa" w:w="25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Root Causes Enabled</w:t>
            </w:r>
          </w:p>
        </w:tc>
        <w:tc>
          <w:tcPr>
            <w:tcW w:type="dxa" w:w="14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System / API</w:t>
            </w:r>
          </w:p>
        </w:tc>
        <w:tc>
          <w:tcPr>
            <w:tcW w:type="dxa" w:w="7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 / Issue Tracker
(already partially present via Jira Reference column)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JIRA ticket body, Comments thread, Assignee, Resolution Date, Resolution Note, Time-to-Close, Linked Issues, Sprint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 Recommendation: full resolution notes (not just JIRA DESC) enable richer RAG context. Time-to-close by root cause = forecasting input. Linked Issues = recurrence detection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 REST API v3 (already planned in Technical Workflow)</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Analyst Action Log
(new — created by HITL UI)</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Analyst ID, Decision (Accept/Modify/Reject), Modified Root Cause, Modified Action, Decision Timestamp, Time Spent (seconds), Confidence Override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CatBoost training labels: this IS the label generation source. Every MODIFY decision = one gold-standard training sample. Analyst Time Spent = effort baseline for ROI measurement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PostgreSQL analyst_decisions table (built by HITL UI in Phase 2)</w:t>
            </w:r>
          </w:p>
        </w:tc>
        <w:tc>
          <w:tcPr>
            <w:tcW w:type="dxa" w:w="7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A84B2F"/>
                <w:sz w:val="18"/>
                <w:szCs w:val="18"/>
              </w:rPr>
              <w:t xml:space="preserve">CRITICAL — this is how labels are 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Change Management / Release Log
(IT change records)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Release Date, System Changed, Change Type (patch/upgrade/config), Impacted Systems, Rollback flag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Outage (#8): if break count spikes on the day of an IT release for system X, root cause is the system change. Enables correlation: release_date = break_spike_date → auto-tag as System Change Impact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 ServiceNow API or change management DB</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Fails / Penalty Reports
(from custodian or settlement agent)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ID, Fail Date, Fail Duration, Penalty Amount (CSDR), Fail Reason, Counterparty, Resolution Date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Timing (#1): CSDR penalties confirm the break had real financial impact, escalating its priority. Distinguishes genuine fails from timing differences. Adds financial cost dimension to break severity scoring</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Custodian portal report or SWIFT SEME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r>
    </w:tbl>
    <w:p>
      <w:pPr>
        <w:spacing w:before="0" w:after="80"/>
      </w:pPr>
    </w:p>
    <w:p>
      <w:pPr>
        <w:pStyle w:val="Heading2"/>
        <w:spacing w:before="300" w:after="140"/>
      </w:pPr>
      <w:r>
        <w:rPr>
          <w:rFonts w:ascii="Arial" w:cs="Arial" w:eastAsia="Arial" w:hAnsi="Arial"/>
          <w:b/>
          <w:bCs/>
          <w:color w:val="1A1A1A"/>
          <w:sz w:val="26"/>
          <w:szCs w:val="26"/>
        </w:rPr>
        <w:t xml:space="preserve">3.4 Data Readiness Assessment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60"/>
        <w:gridCol w:w="2760"/>
        <w:gridCol w:w="1680"/>
      </w:tblGrid>
      <w:tr>
        <w:trPr>
          <w:tblHeader/>
        </w:trPr>
        <w:tc>
          <w:tcPr>
            <w:tcW w:type="dxa" w:w="216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76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Availability (Typical TCFC Firm)</w:t>
            </w:r>
          </w:p>
        </w:tc>
        <w:tc>
          <w:tcPr>
            <w:tcW w:type="dxa" w:w="276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Effort to Integrate</w:t>
            </w:r>
          </w:p>
        </w:tc>
        <w:tc>
          <w:tcPr>
            <w:tcW w:type="dxa" w:w="16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 Full Ticket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Already partially present (Jira Reference col). Full API access likely already approved.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 — extend existing Jira API call to fetch full ticket body and comments thread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2A (immediate)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Analyst Action Log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Does not exist — created by this platform's HITL UI</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Zero additional effort — generated automatically by the Streamlit HITL workflow</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2B (HITL build)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Booking System (EOD)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Available via internal data lake or EOD file drop in most firms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 — requires data agreement with Front Office IT, schema mapping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2C</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Settlement / Custodian System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Available via SWIFT message archive or custodian portal</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Medium-High — may require custodian API access approval (4-8 weeks)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SSI / Static Data 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Available internally — SSI DB usually owned by Operations/Static Data team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 — internal data governance agreement needed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Corporate Actions Feed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Available via Bloomberg B-PIPE subscription (firm likely already has it)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Low-Medium — Bloomberg API already used for reference data in most firms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Reference / Security Master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Usually available via internal API or Bloomberg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 — standard data source in middle office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2C</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Change Management / Fails Reports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Available from IT ServiceNow and custodian portals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Low-Medium — ServiceNow API is standard; custodian report is a manual feed initially</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180"/>
              <w:left w:type="dxa" w:w="280"/>
              <w:bottom w:type="dxa" w:w="180"/>
              <w:right w:type="dxa" w:w="280"/>
            </w:tcMar>
          </w:tcPr>
          <w:p>
            <w:r>
              <w:rPr>
                <w:rFonts w:ascii="Arial" w:cs="Arial" w:eastAsia="Arial" w:hAnsi="Arial"/>
                <w:b/>
                <w:bCs/>
                <w:color w:val="FFFFFF"/>
                <w:sz w:val="34"/>
                <w:szCs w:val="34"/>
              </w:rPr>
              <w:t xml:space="preserve">04  Corrected System Architecture v2.0</w:t>
            </w:r>
          </w:p>
          <w:p>
            <w:pPr>
              <w:spacing w:before="40"/>
            </w:pPr>
            <w:r>
              <w:rPr>
                <w:rFonts w:ascii="Arial" w:cs="Arial" w:eastAsia="Arial" w:hAnsi="Arial"/>
                <w:color w:val="BCE2E7"/>
                <w:sz w:val="18"/>
                <w:szCs w:val="18"/>
              </w:rPr>
              <w:t xml:space="preserve">All 14 corrections incorporated into a unified 5-layer design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100"/>
              <w:left w:type="dxa" w:w="180"/>
              <w:bottom w:type="dxa" w:w="100"/>
              <w:right w:type="dxa" w:w="180"/>
            </w:tcMar>
          </w:tcPr>
          <w:p>
            <w:r>
              <w:rPr>
                <w:rFonts w:ascii="Arial" w:cs="Arial" w:eastAsia="Arial" w:hAnsi="Arial"/>
                <w:b/>
                <w:bCs/>
                <w:color w:val="FFFFFF"/>
                <w:sz w:val="22"/>
                <w:szCs w:val="22"/>
              </w:rPr>
              <w:t xml:space="preserve">LAYER 1: Data Quality &amp; Ingestion Engine (Corrected)</w:t>
            </w:r>
          </w:p>
        </w:tc>
      </w:tr>
      <w:tr>
        <w:tc>
          <w:tcPr>
            <w:tcW w:type="dxa" w:w="9360"/>
            <w:tcBorders>
              <w:top w:val="nil"/>
              <w:left w:val="single" w:color="01696F" w:sz="8"/>
              <w:bottom w:val="single" w:color="CCCCCC" w:sz="1"/>
              <w:right w:val="single" w:color="CCCCCC" w:sz="1"/>
            </w:tcBorders>
            <w:shd w:fill="E6F4F1"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A1A1A"/>
                <w:sz w:val="19"/>
                <w:szCs w:val="19"/>
              </w:rPr>
              <w:t xml:space="preserve">ETL Step 0 (NEW): Pre-filter records where For Del = True before any processing. Log filtered count to Scorecard.</w:t>
            </w:r>
          </w:p>
          <w:p>
            <w:pPr>
              <w:pStyle w:val="ListParagraph"/>
              <w:numPr>
                <w:ilvl w:val="0"/>
                <w:numId w:val="2"/>
              </w:numPr>
              <w:spacing w:before="30" w:after="30"/>
            </w:pPr>
            <w:r>
              <w:rPr>
                <w:rFonts w:ascii="Arial" w:cs="Arial" w:eastAsia="Arial" w:hAnsi="Arial"/>
                <w:color w:val="1A1A1A"/>
                <w:sz w:val="19"/>
                <w:szCs w:val="19"/>
              </w:rPr>
              <w:t xml:space="preserve">Deduplication (CORRECTED): key changed to ['TRADE REF', 'Period']. Null TRADE REF rows → surrogate key via SHA-256(Rec+Entity+Amount+Date).</w:t>
            </w:r>
          </w:p>
          <w:p>
            <w:pPr>
              <w:pStyle w:val="ListParagraph"/>
              <w:numPr>
                <w:ilvl w:val="0"/>
                <w:numId w:val="2"/>
              </w:numPr>
              <w:spacing w:before="30" w:after="30"/>
            </w:pPr>
            <w:r>
              <w:rPr>
                <w:rFonts w:ascii="Arial" w:cs="Arial" w:eastAsia="Arial" w:hAnsi="Arial"/>
                <w:color w:val="1A1A1A"/>
                <w:sz w:val="19"/>
                <w:szCs w:val="19"/>
              </w:rPr>
              <w:t xml:space="preserve">Type enforcement: BREAK AMOUNT CCY/GBP, ABS GBP, Age Days → float64. Vectorised parse_amount_vec() — no .apply().</w:t>
            </w:r>
          </w:p>
          <w:p>
            <w:pPr>
              <w:pStyle w:val="ListParagraph"/>
              <w:numPr>
                <w:ilvl w:val="0"/>
                <w:numId w:val="2"/>
              </w:numPr>
              <w:spacing w:before="30" w:after="30"/>
            </w:pPr>
            <w:r>
              <w:rPr>
                <w:rFonts w:ascii="Arial" w:cs="Arial" w:eastAsia="Arial" w:hAnsi="Arial"/>
                <w:color w:val="1A1A1A"/>
                <w:sz w:val="19"/>
                <w:szCs w:val="19"/>
              </w:rPr>
              <w:t xml:space="preserve">Ageing recomputation (CORRECTED): configurable report_run_date parameter (default: last day of Period month). Store run_date in audit table.</w:t>
            </w:r>
          </w:p>
          <w:p>
            <w:pPr>
              <w:pStyle w:val="ListParagraph"/>
              <w:numPr>
                <w:ilvl w:val="0"/>
                <w:numId w:val="2"/>
              </w:numPr>
              <w:spacing w:before="30" w:after="30"/>
            </w:pPr>
            <w:r>
              <w:rPr>
                <w:rFonts w:ascii="Arial" w:cs="Arial" w:eastAsia="Arial" w:hAnsi="Arial"/>
                <w:color w:val="1A1A1A"/>
                <w:sz w:val="19"/>
                <w:szCs w:val="19"/>
              </w:rPr>
              <w:t xml:space="preserve">Data quality scorecard: completeness %, type violations, outlier count, filtered_for_del count, surrogate_key_count.</w:t>
            </w:r>
          </w:p>
          <w:p>
            <w:pPr>
              <w:pStyle w:val="ListParagraph"/>
              <w:numPr>
                <w:ilvl w:val="0"/>
                <w:numId w:val="2"/>
              </w:numPr>
              <w:spacing w:before="30" w:after="30"/>
            </w:pPr>
            <w:r>
              <w:rPr>
                <w:rFonts w:ascii="Arial" w:cs="Arial" w:eastAsia="Arial" w:hAnsi="Arial"/>
                <w:color w:val="1A1A1A"/>
                <w:sz w:val="19"/>
                <w:szCs w:val="19"/>
              </w:rPr>
              <w:t xml:space="preserve">python-calamine + Parquet cache: sub-second reload on 621K rows after first parse (Correction from v1 performance work).</w:t>
            </w:r>
          </w:p>
          <w:p>
            <w:pPr>
              <w:pStyle w:val="ListParagraph"/>
              <w:numPr>
                <w:ilvl w:val="0"/>
                <w:numId w:val="2"/>
              </w:numPr>
              <w:spacing w:before="30" w:after="30"/>
            </w:pPr>
            <w:r>
              <w:rPr>
                <w:rFonts w:ascii="Arial" w:cs="Arial" w:eastAsia="Arial" w:hAnsi="Arial"/>
                <w:color w:val="1A1A1A"/>
                <w:sz w:val="19"/>
                <w:szCs w:val="19"/>
              </w:rPr>
              <w:t xml:space="preserve">New columns added at ingestion: is_timing_candidate (bool), has_ssi_signal (bool), has_ca_signal (bool) — rule-based pre-flags for downstream agents.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5100" w:val="clear"/>
            <w:tcMar>
              <w:top w:type="dxa" w:w="100"/>
              <w:left w:type="dxa" w:w="180"/>
              <w:bottom w:type="dxa" w:w="100"/>
              <w:right w:type="dxa" w:w="180"/>
            </w:tcMar>
          </w:tcPr>
          <w:p>
            <w:r>
              <w:rPr>
                <w:rFonts w:ascii="Arial" w:cs="Arial" w:eastAsia="Arial" w:hAnsi="Arial"/>
                <w:b/>
                <w:bCs/>
                <w:color w:val="FFFFFF"/>
                <w:sz w:val="22"/>
                <w:szCs w:val="22"/>
              </w:rPr>
              <w:t xml:space="preserve">LAYER 2: Root Cause Intelligence Engine (NEW — Pareto-First Approach)</w:t>
            </w:r>
          </w:p>
        </w:tc>
      </w:tr>
      <w:tr>
        <w:tc>
          <w:tcPr>
            <w:tcW w:type="dxa" w:w="9360"/>
            <w:tcBorders>
              <w:top w:val="nil"/>
              <w:left w:val="single" w:color="E65100" w:sz="8"/>
              <w:bottom w:val="single" w:color="CCCCCC" w:sz="1"/>
              <w:right w:val="single" w:color="CCCCCC" w:sz="1"/>
            </w:tcBorders>
            <w:shd w:fill="FFF3E0"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A1A1A"/>
                <w:sz w:val="19"/>
                <w:szCs w:val="19"/>
              </w:rPr>
              <w:t xml:space="preserve">Stage 1 — Rule Engine (no LLM needed): classify Timing (#1), FX Mismatch (#5), Duplicate (#7), Confirmation (#9) breaks using deterministic rules on existing columns. Target: ~45-55% of break volume classified without LLM cost.</w:t>
            </w:r>
          </w:p>
          <w:p>
            <w:pPr>
              <w:pStyle w:val="ListParagraph"/>
              <w:numPr>
                <w:ilvl w:val="0"/>
                <w:numId w:val="2"/>
              </w:numPr>
              <w:spacing w:before="30" w:after="30"/>
            </w:pPr>
            <w:r>
              <w:rPr>
                <w:rFonts w:ascii="Arial" w:cs="Arial" w:eastAsia="Arial" w:hAnsi="Arial"/>
                <w:color w:val="1A1A1A"/>
                <w:sz w:val="19"/>
                <w:szCs w:val="19"/>
              </w:rPr>
              <w:t xml:space="preserve">Stage 2 — SSI Clustering (CRITICAL NEW CAPABILITY): group SSI-flagged breaks by Entity + TRADE CCY + Rec Name. If cluster size ≥3: ONE root SSI record identified → ONE JIRA ticket raised → all related breaks tagged as 'SSI Cluster: [cluster_id]'.</w:t>
            </w:r>
          </w:p>
          <w:p>
            <w:pPr>
              <w:pStyle w:val="ListParagraph"/>
              <w:numPr>
                <w:ilvl w:val="0"/>
                <w:numId w:val="2"/>
              </w:numPr>
              <w:spacing w:before="30" w:after="30"/>
            </w:pPr>
            <w:r>
              <w:rPr>
                <w:rFonts w:ascii="Arial" w:cs="Arial" w:eastAsia="Arial" w:hAnsi="Arial"/>
                <w:color w:val="1A1A1A"/>
                <w:sz w:val="19"/>
                <w:szCs w:val="19"/>
              </w:rPr>
              <w:t xml:space="preserve">Stage 3 — BERTopic Discovery (NEW, Phase 2A): unsupervised topic modelling on 10,000 sampled Comments to validate taxonomy before classifier build.</w:t>
            </w:r>
          </w:p>
          <w:p>
            <w:pPr>
              <w:pStyle w:val="ListParagraph"/>
              <w:numPr>
                <w:ilvl w:val="0"/>
                <w:numId w:val="2"/>
              </w:numPr>
              <w:spacing w:before="30" w:after="30"/>
            </w:pPr>
            <w:r>
              <w:rPr>
                <w:rFonts w:ascii="Arial" w:cs="Arial" w:eastAsia="Arial" w:hAnsi="Arial"/>
                <w:color w:val="1A1A1A"/>
                <w:sz w:val="19"/>
                <w:szCs w:val="19"/>
              </w:rPr>
              <w:t xml:space="preserve">Stage 4 — LLM Classifier (Phase 2B): GPT-4o-mini with validated taxonomy. Only processes breaks NOT classified by Rule Engine (Stage 1). Reduces LLM volume by ~50%, saving ~90M tokens/month.</w:t>
            </w:r>
          </w:p>
          <w:p>
            <w:pPr>
              <w:pStyle w:val="ListParagraph"/>
              <w:numPr>
                <w:ilvl w:val="0"/>
                <w:numId w:val="2"/>
              </w:numPr>
              <w:spacing w:before="30" w:after="30"/>
            </w:pPr>
            <w:r>
              <w:rPr>
                <w:rFonts w:ascii="Arial" w:cs="Arial" w:eastAsia="Arial" w:hAnsi="Arial"/>
                <w:color w:val="1A1A1A"/>
                <w:sz w:val="19"/>
                <w:szCs w:val="19"/>
              </w:rPr>
              <w:t xml:space="preserve">Stage 5 — Recurrence Engine (thefuzz — CORRECTED from FuzzyWuzzy): FAISS index keyed on ['TRADE REF', 'Period']-aware embeddings.</w:t>
            </w:r>
          </w:p>
          <w:p>
            <w:pPr>
              <w:pStyle w:val="ListParagraph"/>
              <w:numPr>
                <w:ilvl w:val="0"/>
                <w:numId w:val="2"/>
              </w:numPr>
              <w:spacing w:before="30" w:after="30"/>
            </w:pPr>
            <w:r>
              <w:rPr>
                <w:rFonts w:ascii="Arial" w:cs="Arial" w:eastAsia="Arial" w:hAnsi="Arial"/>
                <w:color w:val="1A1A1A"/>
                <w:sz w:val="19"/>
                <w:szCs w:val="19"/>
              </w:rPr>
              <w:t xml:space="preserve">CatBoost training gate (CORRECTED): model_readiness_gate() blocks supervised training until ≥2,000 analyst-labelled samples collected from HITL UI.</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A84B2F" w:val="clear"/>
            <w:tcMar>
              <w:top w:type="dxa" w:w="100"/>
              <w:left w:type="dxa" w:w="180"/>
              <w:bottom w:type="dxa" w:w="100"/>
              <w:right w:type="dxa" w:w="180"/>
            </w:tcMar>
          </w:tcPr>
          <w:p>
            <w:r>
              <w:rPr>
                <w:rFonts w:ascii="Arial" w:cs="Arial" w:eastAsia="Arial" w:hAnsi="Arial"/>
                <w:b/>
                <w:bCs/>
                <w:color w:val="FFFFFF"/>
                <w:sz w:val="22"/>
                <w:szCs w:val="22"/>
              </w:rPr>
              <w:t xml:space="preserve">LAYER 3: Agentic Orchestration (Corrected LangGraph Design)</w:t>
            </w:r>
          </w:p>
        </w:tc>
      </w:tr>
      <w:tr>
        <w:tc>
          <w:tcPr>
            <w:tcW w:type="dxa" w:w="9360"/>
            <w:tcBorders>
              <w:top w:val="nil"/>
              <w:left w:val="single" w:color="A84B2F" w:sz="8"/>
              <w:bottom w:val="single" w:color="CCCCCC" w:sz="1"/>
              <w:right w:val="single" w:color="CCCCCC" w:sz="1"/>
            </w:tcBorders>
            <w:shd w:fill="FDECEA"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A1A1A"/>
                <w:sz w:val="19"/>
                <w:szCs w:val="19"/>
              </w:rPr>
              <w:t xml:space="preserve">Triage Agent: Rule-based severity scoring (CORRECTED surrogate formula) + is_systemic from True/Systemic Breaks column + Rule Engine pre-flags.</w:t>
            </w:r>
          </w:p>
          <w:p>
            <w:pPr>
              <w:pStyle w:val="ListParagraph"/>
              <w:numPr>
                <w:ilvl w:val="0"/>
                <w:numId w:val="2"/>
              </w:numPr>
              <w:spacing w:before="30" w:after="30"/>
            </w:pPr>
            <w:r>
              <w:rPr>
                <w:rFonts w:ascii="Arial" w:cs="Arial" w:eastAsia="Arial" w:hAnsi="Arial"/>
                <w:color w:val="1A1A1A"/>
                <w:sz w:val="19"/>
                <w:szCs w:val="19"/>
              </w:rPr>
              <w:t xml:space="preserve">RCA Agent: LLM + RAG using text-embedding-3-small ONLY (CORRECTED — all-MiniLM-L6-v2 removed). RAG initial size: ~650K-1.2M chunks (CORRECTED from 14.9M).</w:t>
            </w:r>
          </w:p>
          <w:p>
            <w:pPr>
              <w:pStyle w:val="ListParagraph"/>
              <w:numPr>
                <w:ilvl w:val="0"/>
                <w:numId w:val="2"/>
              </w:numPr>
              <w:spacing w:before="30" w:after="30"/>
            </w:pPr>
            <w:r>
              <w:rPr>
                <w:rFonts w:ascii="Arial" w:cs="Arial" w:eastAsia="Arial" w:hAnsi="Arial"/>
                <w:color w:val="1A1A1A"/>
                <w:sz w:val="19"/>
                <w:szCs w:val="19"/>
              </w:rPr>
              <w:t xml:space="preserve">Auto-Resolve Agent (CORRECTED): pre-populates journal entry fields and routes to JV Approval Queue — does NOT post automatically. SOX-compliant gating.</w:t>
            </w:r>
          </w:p>
          <w:p>
            <w:pPr>
              <w:pStyle w:val="ListParagraph"/>
              <w:numPr>
                <w:ilvl w:val="0"/>
                <w:numId w:val="2"/>
              </w:numPr>
              <w:spacing w:before="30" w:after="30"/>
            </w:pPr>
            <w:r>
              <w:rPr>
                <w:rFonts w:ascii="Arial" w:cs="Arial" w:eastAsia="Arial" w:hAnsi="Arial"/>
                <w:color w:val="1A1A1A"/>
                <w:sz w:val="19"/>
                <w:szCs w:val="19"/>
              </w:rPr>
              <w:t xml:space="preserve">Escalation Agent: unchanged. ABS GBP &gt;£1M OR Age Days &gt;30 OR RAG Rating = RED.</w:t>
            </w:r>
          </w:p>
          <w:p>
            <w:pPr>
              <w:pStyle w:val="ListParagraph"/>
              <w:numPr>
                <w:ilvl w:val="0"/>
                <w:numId w:val="2"/>
              </w:numPr>
              <w:spacing w:before="30" w:after="30"/>
            </w:pPr>
            <w:r>
              <w:rPr>
                <w:rFonts w:ascii="Arial" w:cs="Arial" w:eastAsia="Arial" w:hAnsi="Arial"/>
                <w:color w:val="1A1A1A"/>
                <w:sz w:val="19"/>
                <w:szCs w:val="19"/>
              </w:rPr>
              <w:t xml:space="preserve">JIRA Agent: extends existing Jira Reference column. SSI Clustering trigger creates bulk JIRA tickets listing all related Trade Refs.</w:t>
            </w:r>
          </w:p>
          <w:p>
            <w:pPr>
              <w:pStyle w:val="ListParagraph"/>
              <w:numPr>
                <w:ilvl w:val="0"/>
                <w:numId w:val="2"/>
              </w:numPr>
              <w:spacing w:before="30" w:after="30"/>
            </w:pPr>
            <w:r>
              <w:rPr>
                <w:rFonts w:ascii="Arial" w:cs="Arial" w:eastAsia="Arial" w:hAnsi="Arial"/>
                <w:color w:val="1A1A1A"/>
                <w:sz w:val="19"/>
                <w:szCs w:val="19"/>
              </w:rPr>
              <w:t xml:space="preserve">Graph handoff (CORRECTED): Reporting Agent writes to PostgreSQL review_queue table. Streamlit HITL polls with 30-second refresh. LangGraph → PostgreSQL → Streamlit boundary explicitly documented.</w:t>
            </w:r>
          </w:p>
          <w:p>
            <w:pPr>
              <w:pStyle w:val="ListParagraph"/>
              <w:numPr>
                <w:ilvl w:val="0"/>
                <w:numId w:val="2"/>
              </w:numPr>
              <w:spacing w:before="30" w:after="30"/>
            </w:pPr>
            <w:r>
              <w:rPr>
                <w:rFonts w:ascii="Arial" w:cs="Arial" w:eastAsia="Arial" w:hAnsi="Arial"/>
                <w:color w:val="1A1A1A"/>
                <w:sz w:val="19"/>
                <w:szCs w:val="19"/>
              </w:rPr>
              <w:t xml:space="preserve">Primary LLM: Azure OpenAI GPT-4o-mini (DECIDED). Contingency: Phi-4 on-prem if Azure OpenAI approval denied (adds 6-8 weeks).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0808D" w:val="clear"/>
            <w:tcMar>
              <w:top w:type="dxa" w:w="100"/>
              <w:left w:type="dxa" w:w="180"/>
              <w:bottom w:type="dxa" w:w="100"/>
              <w:right w:type="dxa" w:w="180"/>
            </w:tcMar>
          </w:tcPr>
          <w:p>
            <w:r>
              <w:rPr>
                <w:rFonts w:ascii="Arial" w:cs="Arial" w:eastAsia="Arial" w:hAnsi="Arial"/>
                <w:b/>
                <w:bCs/>
                <w:color w:val="FFFFFF"/>
                <w:sz w:val="22"/>
                <w:szCs w:val="22"/>
              </w:rPr>
              <w:t xml:space="preserve">LAYER 4: Human-in-the-Loop UI (Analyst Feedback = Label Generator)</w:t>
            </w:r>
          </w:p>
        </w:tc>
      </w:tr>
      <w:tr>
        <w:tc>
          <w:tcPr>
            <w:tcW w:type="dxa" w:w="9360"/>
            <w:tcBorders>
              <w:top w:val="nil"/>
              <w:left w:val="single" w:color="20808D" w:sz="8"/>
              <w:bottom w:val="single" w:color="CCCCCC" w:sz="1"/>
              <w:right w:val="single" w:color="CCCCCC" w:sz="1"/>
            </w:tcBorders>
            <w:shd w:fill="E8F5E9"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A1A1A"/>
                <w:sz w:val="19"/>
                <w:szCs w:val="19"/>
              </w:rPr>
              <w:t xml:space="preserve">Break Review Queue: surfaces only breaks not auto-classified by Rule Engine. Dramatically smaller queue than v1 design.</w:t>
            </w:r>
          </w:p>
          <w:p>
            <w:pPr>
              <w:pStyle w:val="ListParagraph"/>
              <w:numPr>
                <w:ilvl w:val="0"/>
                <w:numId w:val="2"/>
              </w:numPr>
              <w:spacing w:before="30" w:after="30"/>
            </w:pPr>
            <w:r>
              <w:rPr>
                <w:rFonts w:ascii="Arial" w:cs="Arial" w:eastAsia="Arial" w:hAnsi="Arial"/>
                <w:color w:val="1A1A1A"/>
                <w:sz w:val="19"/>
                <w:szCs w:val="19"/>
              </w:rPr>
              <w:t xml:space="preserve">Every MODIFY decision = one labelled training sample for future CatBoost model. analyst_decisions table is the primary label source.</w:t>
            </w:r>
          </w:p>
          <w:p>
            <w:pPr>
              <w:pStyle w:val="ListParagraph"/>
              <w:numPr>
                <w:ilvl w:val="0"/>
                <w:numId w:val="2"/>
              </w:numPr>
              <w:spacing w:before="30" w:after="30"/>
            </w:pPr>
            <w:r>
              <w:rPr>
                <w:rFonts w:ascii="Arial" w:cs="Arial" w:eastAsia="Arial" w:hAnsi="Arial"/>
                <w:color w:val="1A1A1A"/>
                <w:sz w:val="19"/>
                <w:szCs w:val="19"/>
              </w:rPr>
              <w:t xml:space="preserve">Time Spent per decision tracked (seconds) for effort ROI measurement — baseline comparison requires this.</w:t>
            </w:r>
          </w:p>
          <w:p>
            <w:pPr>
              <w:pStyle w:val="ListParagraph"/>
              <w:numPr>
                <w:ilvl w:val="0"/>
                <w:numId w:val="2"/>
              </w:numPr>
              <w:spacing w:before="30" w:after="30"/>
            </w:pPr>
            <w:r>
              <w:rPr>
                <w:rFonts w:ascii="Arial" w:cs="Arial" w:eastAsia="Arial" w:hAnsi="Arial"/>
                <w:color w:val="1A1A1A"/>
                <w:sz w:val="19"/>
                <w:szCs w:val="19"/>
              </w:rPr>
              <w:t xml:space="preserve">SSI Cluster view: dedicated UI section showing all breaks linked to one SSI root cause, allowing bulk ACCEPT with one click.</w:t>
            </w:r>
          </w:p>
          <w:p>
            <w:pPr>
              <w:pStyle w:val="ListParagraph"/>
              <w:numPr>
                <w:ilvl w:val="0"/>
                <w:numId w:val="2"/>
              </w:numPr>
              <w:spacing w:before="30" w:after="30"/>
            </w:pPr>
            <w:r>
              <w:rPr>
                <w:rFonts w:ascii="Arial" w:cs="Arial" w:eastAsia="Arial" w:hAnsi="Arial"/>
                <w:color w:val="1A1A1A"/>
                <w:sz w:val="19"/>
                <w:szCs w:val="19"/>
              </w:rPr>
              <w:t xml:space="preserve">JV Approval Queue (CORRECTED): separate tab for finance controllers to approve pre-populated journal entries. Not part of analyst workflow.</w:t>
            </w:r>
          </w:p>
          <w:p>
            <w:pPr>
              <w:pStyle w:val="ListParagraph"/>
              <w:numPr>
                <w:ilvl w:val="0"/>
                <w:numId w:val="2"/>
              </w:numPr>
              <w:spacing w:before="30" w:after="30"/>
            </w:pPr>
            <w:r>
              <w:rPr>
                <w:rFonts w:ascii="Arial" w:cs="Arial" w:eastAsia="Arial" w:hAnsi="Arial"/>
                <w:color w:val="1A1A1A"/>
                <w:sz w:val="19"/>
                <w:szCs w:val="19"/>
              </w:rPr>
              <w:t xml:space="preserve">Governance Dashboard: acceptance rate by root cause category, time-to-close by category, SSI cluster size distribution, rule engine vs LLM classification split.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5A5A5A" w:val="clear"/>
            <w:tcMar>
              <w:top w:type="dxa" w:w="100"/>
              <w:left w:type="dxa" w:w="180"/>
              <w:bottom w:type="dxa" w:w="100"/>
              <w:right w:type="dxa" w:w="180"/>
            </w:tcMar>
          </w:tcPr>
          <w:p>
            <w:r>
              <w:rPr>
                <w:rFonts w:ascii="Arial" w:cs="Arial" w:eastAsia="Arial" w:hAnsi="Arial"/>
                <w:b/>
                <w:bCs/>
                <w:color w:val="FFFFFF"/>
                <w:sz w:val="22"/>
                <w:szCs w:val="22"/>
              </w:rPr>
              <w:t xml:space="preserve">LAYER 5: Governance, Audit &amp; Monitoring (SR 11-7 Compliant)</w:t>
            </w:r>
          </w:p>
        </w:tc>
      </w:tr>
      <w:tr>
        <w:tc>
          <w:tcPr>
            <w:tcW w:type="dxa" w:w="9360"/>
            <w:tcBorders>
              <w:top w:val="nil"/>
              <w:left w:val="single" w:color="5A5A5A" w:sz="8"/>
              <w:bottom w:val="single" w:color="CCCCCC" w:sz="1"/>
              <w:right w:val="single" w:color="CCCCCC" w:sz="1"/>
            </w:tcBorders>
            <w:shd w:fill="F5F5F5"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A1A1A"/>
                <w:sz w:val="19"/>
                <w:szCs w:val="19"/>
              </w:rPr>
              <w:t xml:space="preserve">Model Inventory: Rule-Based v0.1 (Phase 2A), LLM Classifier v1.0 (Phase 2B after BERTopic), CatBoost v1.0 (Phase 3 after ≥2K labels). Each version documented separately for SR 11-7.</w:t>
            </w:r>
          </w:p>
          <w:p>
            <w:pPr>
              <w:pStyle w:val="ListParagraph"/>
              <w:numPr>
                <w:ilvl w:val="0"/>
                <w:numId w:val="2"/>
              </w:numPr>
              <w:spacing w:before="30" w:after="30"/>
            </w:pPr>
            <w:r>
              <w:rPr>
                <w:rFonts w:ascii="Arial" w:cs="Arial" w:eastAsia="Arial" w:hAnsi="Arial"/>
                <w:color w:val="1A1A1A"/>
                <w:sz w:val="19"/>
                <w:szCs w:val="19"/>
              </w:rPr>
              <w:t xml:space="preserve">Token budget (CORRECTED): TOKEN_BUDGET_MONTHLY = 400M. Soft alert at 80%, hard stop at 95%.</w:t>
            </w:r>
          </w:p>
          <w:p>
            <w:pPr>
              <w:pStyle w:val="ListParagraph"/>
              <w:numPr>
                <w:ilvl w:val="0"/>
                <w:numId w:val="2"/>
              </w:numPr>
              <w:spacing w:before="30" w:after="30"/>
            </w:pPr>
            <w:r>
              <w:rPr>
                <w:rFonts w:ascii="Arial" w:cs="Arial" w:eastAsia="Arial" w:hAnsi="Arial"/>
                <w:color w:val="1A1A1A"/>
                <w:sz w:val="19"/>
                <w:szCs w:val="19"/>
              </w:rPr>
              <w:t xml:space="preserve">Prometheus metrics: rule_engine_classification_rate, llm_classification_rate, ssi_cluster_size_p90, jv_approval_queue_depth.</w:t>
            </w:r>
          </w:p>
          <w:p>
            <w:pPr>
              <w:pStyle w:val="ListParagraph"/>
              <w:numPr>
                <w:ilvl w:val="0"/>
                <w:numId w:val="2"/>
              </w:numPr>
              <w:spacing w:before="30" w:after="30"/>
            </w:pPr>
            <w:r>
              <w:rPr>
                <w:rFonts w:ascii="Arial" w:cs="Arial" w:eastAsia="Arial" w:hAnsi="Arial"/>
                <w:color w:val="1A1A1A"/>
                <w:sz w:val="19"/>
                <w:szCs w:val="19"/>
              </w:rPr>
              <w:t xml:space="preserve">Immutable audit: every agent decision, every analyst action, every JV approval logged append-only to PostgreSQL.</w:t>
            </w:r>
          </w:p>
          <w:p>
            <w:pPr>
              <w:pStyle w:val="ListParagraph"/>
              <w:numPr>
                <w:ilvl w:val="0"/>
                <w:numId w:val="2"/>
              </w:numPr>
              <w:spacing w:before="30" w:after="30"/>
            </w:pPr>
            <w:r>
              <w:rPr>
                <w:rFonts w:ascii="Arial" w:cs="Arial" w:eastAsia="Arial" w:hAnsi="Arial"/>
                <w:color w:val="1A1A1A"/>
                <w:sz w:val="19"/>
                <w:szCs w:val="19"/>
              </w:rPr>
              <w:t xml:space="preserve">Drift detection: monthly KS test on ABS GBP and Age Days distributions; Chi-square on Asset Class and Type of break.</w:t>
            </w:r>
          </w:p>
          <w:p>
            <w:pPr>
              <w:pStyle w:val="ListParagraph"/>
              <w:numPr>
                <w:ilvl w:val="0"/>
                <w:numId w:val="2"/>
              </w:numPr>
              <w:spacing w:before="30" w:after="30"/>
            </w:pPr>
            <w:r>
              <w:rPr>
                <w:rFonts w:ascii="Arial" w:cs="Arial" w:eastAsia="Arial" w:hAnsi="Arial"/>
                <w:color w:val="1A1A1A"/>
                <w:sz w:val="19"/>
                <w:szCs w:val="19"/>
              </w:rPr>
              <w:t xml:space="preserve">BERTopic re-run: quarterly, to detect new break patterns emerging in Comments that were not in the original taxonomy.</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180"/>
              <w:left w:type="dxa" w:w="280"/>
              <w:bottom w:type="dxa" w:w="180"/>
              <w:right w:type="dxa" w:w="280"/>
            </w:tcMar>
          </w:tcPr>
          <w:p>
            <w:r>
              <w:rPr>
                <w:rFonts w:ascii="Arial" w:cs="Arial" w:eastAsia="Arial" w:hAnsi="Arial"/>
                <w:b/>
                <w:bCs/>
                <w:color w:val="FFFFFF"/>
                <w:sz w:val="34"/>
                <w:szCs w:val="34"/>
              </w:rPr>
              <w:t xml:space="preserve">05  Corrected Implementation Roadmap v2.0</w:t>
            </w:r>
          </w:p>
          <w:p>
            <w:pPr>
              <w:spacing w:before="40"/>
            </w:pPr>
            <w:r>
              <w:rPr>
                <w:rFonts w:ascii="Arial" w:cs="Arial" w:eastAsia="Arial" w:hAnsi="Arial"/>
                <w:color w:val="BCE2E7"/>
                <w:sz w:val="18"/>
                <w:szCs w:val="18"/>
              </w:rPr>
              <w:t xml:space="preserve">Sequencing fixes incorporated — CatBoost training after label collection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
        <w:gridCol w:w="4320"/>
        <w:gridCol w:w="3600"/>
      </w:tblGrid>
      <w:tr>
        <w:trPr>
          <w:tblHeader/>
        </w:trPr>
        <w:tc>
          <w:tcPr>
            <w:tcW w:type="dxa" w:w="9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Weeks</w:t>
            </w:r>
          </w:p>
        </w:tc>
        <w:tc>
          <w:tcPr>
            <w:tcW w:type="dxa" w:w="43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Key Deliverables (Corrected)</w:t>
            </w:r>
          </w:p>
        </w:tc>
        <w:tc>
          <w:tcPr>
            <w:tcW w:type="dxa" w:w="36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Gate / Acceptance Criteria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Foundation
(Done)</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Quality Engine with For Del pre-filter (Correction #5). Ageing validation with configurable report_run_date (Correction #6). Dedup on [TRADE REF, Period] with null surrogate keys (Correction #7). 7-tab Streamlit dashboard. Parquet + calamine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 Del filter removes known-deletion records. Ageing discrepancy report live. Dashboard loads 621K rows in &lt;5s. Phase 1 sign-off.</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2A
NLP Discovery</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5-7</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BERTopic unsupervised topic discovery on 10K Comments sample (Correction #3). Taxonomy validation and update. Rule Engine v1 for Timing, FX, Duplicate, Confirmation categories (~45% auto-classification). SSI Clustering v1 (Entity + CCY + Rec grouping).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BERTopic topics reviewed by business SME. Taxonomy updated with TCFC-specific labels confirmed. Rule Engine precision &gt;90% on 500 manually reviewed breaks. SSI Cluster logic tested end-to-end.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2B
LLM + RAG + HITL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Text-embedding-3-small vector store (single embedding model — Correction #10). RAG with accurate chunk count (~650K-1.2M). LLM RCA Agent (GPT-4o-mini, decided — Correction #2). HITL UI with analyst_decisions table as label generator (Correction #4). LangGraph → PostgreSQL → Streamlit handoff (Correction #12). Token budget set to 400M (Correction #11).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accuracy &gt;75% on BERTopic-validated taxonomy. Analyst labelling producing ≥200 decisions/week. HITL queue response time &lt;2s. RAG retrieval &lt;500ms. JIRA tickets auto-created correctly.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2C
Source Data Integration</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10-14</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 Booking System EOD feed integration. Security Master / Reference Data API. Analyst Action Log mature (500+ labels). model_readiness_gate() monitoring sample count toward 2,000 threshold.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Settlement date and booking status flowing into Timing detection. Reference data enriching asset classification. Label count tracked on Governance Dashboard.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Prediction + CatBoost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14-18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CatBoost training triggered when analyst_decisions ≥2,000 (Correction #4 gate passed). Hierarchical LightGBM + Prophet forecasting. Isolation Forest anomaly detection per rec/entity. SSI/Custodian data integration (Phase 3A). CA Feed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CatBoost accuracy &gt;80% on held-out analyst labels. Forecast MAPE &lt;15% at Team level. Anomaly detection precision &gt;70%. SSI data enabling automatic cluster root identification.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Automation</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18-24</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JV Approval Queue UI for finance controllers (SOX-compliant — Correction #9). Recurrence Engine with thefuzz (Correction #13). Change Management and Fails data integration. Monthly CatBoost retraining pipeline. SR 11-7 independent validation.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JV Approval Queue used by finance controllers (separate from analyst workflow). Auto-Resolve rate &gt;40% of systematic breaks. Full SR 11-7 documentation package complete. Internal Audit sign-off obtained.</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180"/>
              <w:left w:type="dxa" w:w="280"/>
              <w:bottom w:type="dxa" w:w="180"/>
              <w:right w:type="dxa" w:w="280"/>
            </w:tcMar>
          </w:tcPr>
          <w:p>
            <w:r>
              <w:rPr>
                <w:rFonts w:ascii="Arial" w:cs="Arial" w:eastAsia="Arial" w:hAnsi="Arial"/>
                <w:b/>
                <w:bCs/>
                <w:color w:val="FFFFFF"/>
                <w:sz w:val="34"/>
                <w:szCs w:val="34"/>
              </w:rPr>
              <w:t xml:space="preserve">06  Corrected Effort Reduction Table</w:t>
            </w:r>
          </w:p>
          <w:p>
            <w:pPr>
              <w:spacing w:before="40"/>
            </w:pPr>
            <w:r>
              <w:rPr>
                <w:rFonts w:ascii="Arial" w:cs="Arial" w:eastAsia="Arial" w:hAnsi="Arial"/>
                <w:color w:val="BCE2E7"/>
                <w:sz w:val="18"/>
                <w:szCs w:val="18"/>
              </w:rPr>
              <w:t xml:space="preserve">Aligned across Gap Analysis and Agentic Solution — consistent 75% headline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960"/>
        <w:gridCol w:w="2880"/>
      </w:tblGrid>
      <w:tr>
        <w:trPr>
          <w:tblHeader/>
        </w:trPr>
        <w:tc>
          <w:tcPr>
            <w:tcW w:type="dxa" w:w="24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14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Current (hrs/month)</w:t>
            </w:r>
          </w:p>
        </w:tc>
        <w:tc>
          <w:tcPr>
            <w:tcW w:type="dxa" w:w="14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With Platform</w:t>
            </w:r>
          </w:p>
        </w:tc>
        <w:tc>
          <w:tcPr>
            <w:tcW w:type="dxa" w:w="96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Reduction</w:t>
            </w:r>
          </w:p>
        </w:tc>
        <w:tc>
          <w:tcPr>
            <w:tcW w:type="dxa" w:w="2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Trend analysis &amp; MI reporting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40-60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dashboard (delivered)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Break investigation &amp; root cause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80-120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20-40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~65%</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RCA Agent + Rule Engine + SSI Clustering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Root cause identification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30-50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5-8 (review only)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classifier + BERTopic taxonomy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Recurrence checking</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15-25</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 (automated)</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~100%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FAISS Recurrence Engine + thefuzz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Ageing validation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 (automated)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Vectorised recomputation + discrepancy UI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quality checks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10-20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1-2 (review only)</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~90%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Automated ETL + quality scorecard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 ticket creation (prev. untracked)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 (automated)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 Agent — previously untracked, now automated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Escalation triage (prev. untracked)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5-10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~80%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Escalation Agent — previously untracked, now measured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(consistent baseline)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198-312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32-62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Aligned with Gap Analysis §7 (185-290 = original tracked activities only)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696F" w:sz="8"/>
              <w:left w:val="single" w:color="01696F" w:sz="8"/>
              <w:bottom w:val="single" w:color="CCCCCC" w:sz="1"/>
              <w:right w:val="single" w:color="CCCCCC" w:sz="1"/>
            </w:tcBorders>
            <w:shd w:fill="E6F4F1" w:val="clear"/>
            <w:tcMar>
              <w:top w:type="dxa" w:w="120"/>
              <w:left w:type="dxa" w:w="180"/>
              <w:bottom w:type="dxa" w:w="120"/>
              <w:right w:type="dxa" w:w="180"/>
            </w:tcMar>
          </w:tcPr>
          <w:p>
            <w:pPr>
              <w:spacing w:before="0" w:after="60"/>
            </w:pPr>
            <w:r>
              <w:rPr>
                <w:rFonts w:ascii="Arial" w:cs="Arial" w:eastAsia="Arial" w:hAnsi="Arial"/>
                <w:b/>
                <w:bCs/>
                <w:color w:val="01696F"/>
                <w:sz w:val="20"/>
                <w:szCs w:val="20"/>
              </w:rPr>
              <w:t xml:space="preserve">Footnote on Alignment</w:t>
            </w:r>
          </w:p>
          <w:p>
            <w:pPr>
              <w:spacing w:before="0" w:after="30"/>
            </w:pPr>
            <w:r>
              <w:rPr>
                <w:rFonts w:ascii="Arial" w:cs="Arial" w:eastAsia="Arial" w:hAnsi="Arial"/>
                <w:color w:val="1A1A1A"/>
                <w:sz w:val="19"/>
                <w:szCs w:val="19"/>
              </w:rPr>
              <w:t xml:space="preserve">The Gap Analysis §7 baseline of 185-290 hrs covers the 6 originally tracked activities. This table adds 2 previously untracked activities (JIRA creation and Escalation triage), increasing the total baseline to 198-312 hrs. The ~75% headline reduction is preserved and is actually conservative — the additional automation of JIRA and Escalation makes the true reduction closer to 80%. Using 75% in all stakeholder communications is the defensible, conservative figure.</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180"/>
              <w:left w:type="dxa" w:w="280"/>
              <w:bottom w:type="dxa" w:w="180"/>
              <w:right w:type="dxa" w:w="280"/>
            </w:tcMar>
          </w:tcPr>
          <w:p>
            <w:r>
              <w:rPr>
                <w:rFonts w:ascii="Arial" w:cs="Arial" w:eastAsia="Arial" w:hAnsi="Arial"/>
                <w:b/>
                <w:bCs/>
                <w:color w:val="FFFFFF"/>
                <w:sz w:val="34"/>
                <w:szCs w:val="34"/>
              </w:rPr>
              <w:t xml:space="preserve">07  Corrected Technology Stack</w:t>
            </w:r>
          </w:p>
          <w:p>
            <w:pPr>
              <w:spacing w:before="40"/>
            </w:pPr>
            <w:r>
              <w:rPr>
                <w:rFonts w:ascii="Arial" w:cs="Arial" w:eastAsia="Arial" w:hAnsi="Arial"/>
                <w:color w:val="BCE2E7"/>
                <w:sz w:val="18"/>
                <w:szCs w:val="18"/>
              </w:rPr>
              <w:t xml:space="preserve">Single embedding model, decided LLM, thefuzz replacement, corrected token budget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1680"/>
        <w:gridCol w:w="3600"/>
      </w:tblGrid>
      <w:tr>
        <w:trPr>
          <w:tblHeader/>
        </w:trPr>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2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Technology (Corrected)</w:t>
            </w:r>
          </w:p>
        </w:tc>
        <w:tc>
          <w:tcPr>
            <w:tcW w:type="dxa" w:w="16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Change from v1</w:t>
            </w:r>
          </w:p>
        </w:tc>
        <w:tc>
          <w:tcPr>
            <w:tcW w:type="dxa" w:w="36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(PRIMARY)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Azure OpenAI GPT-4o-mini (DECIDED)</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Resolved ambiguity with Phi-4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Enterprise data residency; private endpoint; UK South; scales to 621K breaks/month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(CONTINGENCY)</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Phi-4 (on-prem, CONTINGENCY ONLY)</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Demoted to contingency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Only if Azure OpenAI governance approval denied. Adds 6-8 weeks + GPU infrastructure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Embedding (SINGLE MODEL)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text-embedding-3-small (1536 dims, Azure OpenAI)</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Removed all-MiniLM-L6-v2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 model throughout — no dimension mismatch. Offline fallback: bge-small-en-v1.5 in separate index.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Vector Store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FAISS (primary) + ChromaDB (metadata filter)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Corrected scale: ~650K-1.2M chunks initial (not 14.9M)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Orchestration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LangGraph 0.2+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 — handoff documented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PostgreSQL review_queue table as explicit LangGraph → Streamlit handoff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ML Models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Rule-Based v0.1 (Phase 2A) → CatBoost v1.0 (Phase 3)</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Corrected training sequence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CatBoost training gated behind ≥2,000 analyst labels from HITL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Taxonomy Discovery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BERTopic (Phase 2A, NEW)</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New addition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Empirical topic discovery before classifier build — SR 11-7 conceptual soundness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Fuzzy Matching</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thefuzz[speedup]==0.22.1</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Replaced FuzzyWuzzy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Includes python-Levenshtein; 4-10x faster; no deprecation warnings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Token Budget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400M tokens/month</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Corrected from 200M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373M required at 621K breaks × ~600 tokens. Soft alert 80%, hard stop 95%.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JV Approval</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PostgreSQL jv_approval_queue + Streamlit controller tab</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18"/>
                <w:szCs w:val="18"/>
              </w:rPr>
              <w:t xml:space="preserve">✅ New — replaces auto-post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SOX-compliant. Finance controller approval required before any journal is posted.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Forecasting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LightGBM + Prophet + MinT reconciliation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Hierarchical coherence at Team &gt; Rec &gt; Product level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Anomaly Detection</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Isolation Forest (scikit-learn 1.3+)</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Per-rec/entity baseline; configurable contamination parameter</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180"/>
              <w:left w:type="dxa" w:w="280"/>
              <w:bottom w:type="dxa" w:w="180"/>
              <w:right w:type="dxa" w:w="280"/>
            </w:tcMar>
          </w:tcPr>
          <w:p>
            <w:r>
              <w:rPr>
                <w:rFonts w:ascii="Arial" w:cs="Arial" w:eastAsia="Arial" w:hAnsi="Arial"/>
                <w:b/>
                <w:bCs/>
                <w:color w:val="FFFFFF"/>
                <w:sz w:val="34"/>
                <w:szCs w:val="34"/>
              </w:rPr>
              <w:t xml:space="preserve">08  Conclusion &amp; Recommended Next Steps</w:t>
            </w:r>
          </w:p>
          <w:p>
            <w:pPr>
              <w:spacing w:before="40"/>
            </w:pPr>
            <w:r>
              <w:rPr>
                <w:rFonts w:ascii="Arial" w:cs="Arial" w:eastAsia="Arial" w:hAnsi="Arial"/>
                <w:color w:val="BCE2E7"/>
                <w:sz w:val="18"/>
                <w:szCs w:val="18"/>
              </w:rPr>
              <w:t xml:space="preserve">14 corrections applied. Root cause Pareto framework defined. TCFC data requirements identified.</w:t>
            </w:r>
          </w:p>
        </w:tc>
      </w:tr>
    </w:tbl>
    <w:p>
      <w:pPr>
        <w:spacing w:before="0" w:after="80"/>
      </w:pPr>
    </w:p>
    <w:p>
      <w:pPr>
        <w:spacing w:before="60" w:after="80"/>
      </w:pPr>
      <w:r>
        <w:rPr>
          <w:rFonts w:ascii="Arial" w:cs="Arial" w:eastAsia="Arial" w:hAnsi="Arial"/>
          <w:color w:val="1A1A1A"/>
          <w:sz w:val="20"/>
          <w:szCs w:val="20"/>
        </w:rPr>
        <w:t xml:space="preserve">This v2.0 document incorporates all 14 corrections identified in the usecase review, adds the Root Cause Intelligence Pareto Framework specific to TCFC investment banking operations, and defines the 8 additional data sources required to move from descriptive to diagnostic and predictive analytics.</w:t>
      </w:r>
    </w:p>
    <w:p>
      <w:pPr>
        <w:spacing w:before="0" w:after="80"/>
      </w:pPr>
    </w:p>
    <w:p>
      <w:pPr>
        <w:pStyle w:val="Heading2"/>
        <w:spacing w:before="300" w:after="140"/>
      </w:pPr>
      <w:r>
        <w:rPr>
          <w:rFonts w:ascii="Arial" w:cs="Arial" w:eastAsia="Arial" w:hAnsi="Arial"/>
          <w:b/>
          <w:bCs/>
          <w:color w:val="1A1A1A"/>
          <w:sz w:val="26"/>
          <w:szCs w:val="26"/>
        </w:rPr>
        <w:t xml:space="preserve">Immediate Actions (Before Phase 2 Kickoff)</w:t>
      </w:r>
    </w:p>
    <w:p>
      <w:pPr>
        <w:pStyle w:val="ListParagraph"/>
        <w:numPr>
          <w:ilvl w:val="0"/>
          <w:numId w:val="3"/>
        </w:numPr>
        <w:spacing w:before="30" w:after="30"/>
      </w:pPr>
      <w:r>
        <w:rPr>
          <w:rFonts w:ascii="Arial" w:cs="Arial" w:eastAsia="Arial" w:hAnsi="Arial"/>
          <w:color w:val="1A1A1A"/>
          <w:sz w:val="20"/>
          <w:szCs w:val="20"/>
        </w:rPr>
        <w:t xml:space="preserve">Record the LLM technology decision (Azure OpenAI GPT-4o-mini primary, Phi-4 contingency) in the AI Use Case Registration Form. This unblocks Phase 2 procurement and governance approval.</w:t>
      </w:r>
    </w:p>
    <w:p>
      <w:pPr>
        <w:pStyle w:val="ListParagraph"/>
        <w:numPr>
          <w:ilvl w:val="0"/>
          <w:numId w:val="3"/>
        </w:numPr>
        <w:spacing w:before="30" w:after="30"/>
      </w:pPr>
      <w:r>
        <w:rPr>
          <w:rFonts w:ascii="Arial" w:cs="Arial" w:eastAsia="Arial" w:hAnsi="Arial"/>
          <w:color w:val="1A1A1A"/>
          <w:sz w:val="20"/>
          <w:szCs w:val="20"/>
        </w:rPr>
        <w:t xml:space="preserve">Apply the For Del pre-filter to the existing Phase 1 dataset and recompute all baseline metrics. This corrects the trend analysis figures that are currently inflated by deletion-flagged records.</w:t>
      </w:r>
    </w:p>
    <w:p>
      <w:pPr>
        <w:pStyle w:val="ListParagraph"/>
        <w:numPr>
          <w:ilvl w:val="0"/>
          <w:numId w:val="3"/>
        </w:numPr>
        <w:spacing w:before="30" w:after="30"/>
      </w:pPr>
      <w:r>
        <w:rPr>
          <w:rFonts w:ascii="Arial" w:cs="Arial" w:eastAsia="Arial" w:hAnsi="Arial"/>
          <w:color w:val="1A1A1A"/>
          <w:sz w:val="20"/>
          <w:szCs w:val="20"/>
        </w:rPr>
        <w:t xml:space="preserve">Change the TRADE REF deduplication key to ['TRADE REF', 'Period'] in the existing Streamlit code. Validate that break count trends change materially after this fix — they likely will.</w:t>
      </w:r>
    </w:p>
    <w:p>
      <w:pPr>
        <w:pStyle w:val="ListParagraph"/>
        <w:numPr>
          <w:ilvl w:val="0"/>
          <w:numId w:val="3"/>
        </w:numPr>
        <w:spacing w:before="30" w:after="30"/>
      </w:pPr>
      <w:r>
        <w:rPr>
          <w:rFonts w:ascii="Arial" w:cs="Arial" w:eastAsia="Arial" w:hAnsi="Arial"/>
          <w:color w:val="1A1A1A"/>
          <w:sz w:val="20"/>
          <w:szCs w:val="20"/>
        </w:rPr>
        <w:t xml:space="preserve">Initiate data access requests for: (a) full JIRA ticket body via Jira REST API, (b) Trade Booking System EOD feed, (c) SSI/Static Data System query access. These have the longest procurement lead time.</w:t>
      </w:r>
    </w:p>
    <w:p>
      <w:pPr>
        <w:pStyle w:val="ListParagraph"/>
        <w:numPr>
          <w:ilvl w:val="0"/>
          <w:numId w:val="3"/>
        </w:numPr>
        <w:spacing w:before="30" w:after="30"/>
      </w:pPr>
      <w:r>
        <w:rPr>
          <w:rFonts w:ascii="Arial" w:cs="Arial" w:eastAsia="Arial" w:hAnsi="Arial"/>
          <w:color w:val="1A1A1A"/>
          <w:sz w:val="20"/>
          <w:szCs w:val="20"/>
        </w:rPr>
        <w:t xml:space="preserve">Confirm the report_run_date for each historical period with the business. Update the ageing computation and note the change in the Phase 1 validation report.</w:t>
      </w:r>
    </w:p>
    <w:p>
      <w:pPr>
        <w:spacing w:before="0" w:after="80"/>
      </w:pPr>
    </w:p>
    <w:p>
      <w:pPr>
        <w:pStyle w:val="Heading2"/>
        <w:spacing w:before="300" w:after="140"/>
      </w:pPr>
      <w:r>
        <w:rPr>
          <w:rFonts w:ascii="Arial" w:cs="Arial" w:eastAsia="Arial" w:hAnsi="Arial"/>
          <w:b/>
          <w:bCs/>
          <w:color w:val="1A1A1A"/>
          <w:sz w:val="26"/>
          <w:szCs w:val="26"/>
        </w:rPr>
        <w:t xml:space="preserve">The Pareto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CCCCCC" w:sz="1"/>
              <w:right w:val="single" w:color="CCCCCC" w:sz="1"/>
            </w:tcBorders>
            <w:shd w:fill="FFF8E1" w:val="clear"/>
            <w:tcMar>
              <w:top w:type="dxa" w:w="120"/>
              <w:left w:type="dxa" w:w="180"/>
              <w:bottom w:type="dxa" w:w="120"/>
              <w:right w:type="dxa" w:w="180"/>
            </w:tcMar>
          </w:tcPr>
          <w:p>
            <w:pPr>
              <w:spacing w:before="0" w:after="60"/>
            </w:pPr>
            <w:r>
              <w:rPr>
                <w:rFonts w:ascii="Arial" w:cs="Arial" w:eastAsia="Arial" w:hAnsi="Arial"/>
                <w:b/>
                <w:bCs/>
                <w:color w:val="E65100"/>
                <w:sz w:val="20"/>
                <w:szCs w:val="20"/>
              </w:rPr>
              <w:t xml:space="preserve">Single Most Impactful Action in Phase 2</w:t>
            </w:r>
          </w:p>
          <w:p>
            <w:pPr>
              <w:spacing w:before="0" w:after="30"/>
            </w:pPr>
            <w:r>
              <w:rPr>
                <w:rFonts w:ascii="Arial" w:cs="Arial" w:eastAsia="Arial" w:hAnsi="Arial"/>
                <w:color w:val="1A1A1A"/>
                <w:sz w:val="19"/>
                <w:szCs w:val="19"/>
              </w:rPr>
              <w:t xml:space="preserve">Build the SSI Clustering engine first — before the LLM classifier, before CatBoost, before forecasting.</w:t>
            </w:r>
          </w:p>
          <w:p>
            <w:pPr>
              <w:spacing w:before="0" w:after="30"/>
            </w:pPr>
            <w:r>
              <w:rPr>
                <w:rFonts w:ascii="Arial" w:cs="Arial" w:eastAsia="Arial" w:hAnsi="Arial"/>
                <w:color w:val="1A1A1A"/>
                <w:sz w:val="19"/>
                <w:szCs w:val="19"/>
              </w:rPr>
              <w:t xml:space="preserve">Reason: SSI/Static Data breaks (Root Cause #2) typically recur in clusters of 10-50 breaks all caused by ONE incorrect SSI record. Identifying and fixing that one record closes all related breaks simultaneously.</w:t>
            </w:r>
          </w:p>
          <w:p>
            <w:pPr>
              <w:spacing w:before="0" w:after="30"/>
            </w:pPr>
            <w:r>
              <w:rPr>
                <w:rFonts w:ascii="Arial" w:cs="Arial" w:eastAsia="Arial" w:hAnsi="Arial"/>
                <w:color w:val="1A1A1A"/>
                <w:sz w:val="19"/>
                <w:szCs w:val="19"/>
              </w:rPr>
              <w:t xml:space="preserve">Expected impact: if 20-30% of 621,804 breaks = ~124,000-187,000 SSI breaks, and average cluster size is 15-20 breaks per SSI record, then fixing ~7,000-12,000 SSI records could close ~124,000-187,000 breaks.</w:t>
            </w:r>
          </w:p>
          <w:p>
            <w:pPr>
              <w:spacing w:before="0" w:after="30"/>
            </w:pPr>
            <w:r>
              <w:rPr>
                <w:rFonts w:ascii="Arial" w:cs="Arial" w:eastAsia="Arial" w:hAnsi="Arial"/>
                <w:color w:val="1A1A1A"/>
                <w:sz w:val="19"/>
                <w:szCs w:val="19"/>
              </w:rPr>
              <w:t xml:space="preserve">This is a fundamentally different value proposition to the LLM classifier: instead of classifying 621K breaks one at a time, the SSI clustering engine finds the 7-12K root causes that each resolve 15-20 breaks at once.</w:t>
            </w:r>
          </w:p>
          <w:p>
            <w:pPr>
              <w:spacing w:before="0" w:after="30"/>
            </w:pPr>
            <w:r>
              <w:rPr>
                <w:rFonts w:ascii="Arial" w:cs="Arial" w:eastAsia="Arial" w:hAnsi="Arial"/>
                <w:color w:val="1A1A1A"/>
                <w:sz w:val="19"/>
                <w:szCs w:val="19"/>
              </w:rPr>
              <w:t xml:space="preserve">This single capability can deliver more ROI than the entire LLM/RAG pipeline — and it requires no labelled training data, no LLM cost, and no model governance approval.</w:t>
            </w:r>
          </w:p>
        </w:tc>
      </w:tr>
    </w:tbl>
    <w:p>
      <w:pPr>
        <w:spacing w:before="0" w:after="1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A1A1A"/>
        <w:sz w:val="16"/>
        <w:szCs w:val="16"/>
      </w:rPr>
      <w:t xml:space="preserve">INTERNAL USE ONLY  |  Page </w:t>
    </w:r>
    <w:r>
      <w:rPr>
        <w:rFonts w:ascii="Arial" w:cs="Arial" w:eastAsia="Arial" w:hAnsi="Arial"/>
        <w:color w:val="1A1A1A"/>
        <w:sz w:val="16"/>
        <w:szCs w:val="16"/>
      </w:rPr>
      <w:fldChar w:fldCharType="begin"/>
      <w:instrText xml:space="preserve">PAGE</w:instrText>
      <w:fldChar w:fldCharType="separate"/>
      <w:fldChar w:fldCharType="end"/>
    </w:r>
    <w:r>
      <w:rPr>
        <w:rFonts w:ascii="Arial" w:cs="Arial" w:eastAsia="Arial" w:hAnsi="Arial"/>
        <w:color w:val="1A1A1A"/>
        <w:sz w:val="16"/>
        <w:szCs w:val="16"/>
      </w:rPr>
      <w:t xml:space="preserve"> of </w:t>
    </w:r>
    <w:r>
      <w:rPr>
        <w:rFonts w:ascii="Arial" w:cs="Arial" w:eastAsia="Arial" w:hAnsi="Arial"/>
        <w:color w:val="1A1A1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il"/>
            <w:left w:val="nil"/>
            <w:bottom w:val="single" w:color="01696F" w:sz="4"/>
            <w:right w:val="nil"/>
          </w:tcBorders>
          <w:tcMar>
            <w:left w:type="dxa" w:w="0"/>
            <w:bottom w:type="dxa" w:w="80"/>
            <w:right w:type="dxa" w:w="0"/>
          </w:tcMar>
        </w:tcPr>
        <w:p>
          <w:r>
            <w:rPr>
              <w:rFonts w:ascii="Arial" w:cs="Arial" w:eastAsia="Arial" w:hAnsi="Arial"/>
              <w:b/>
              <w:bCs/>
              <w:color w:val="01696F"/>
              <w:sz w:val="16"/>
              <w:szCs w:val="16"/>
            </w:rPr>
            <w:t xml:space="preserve">Accounting Control AI  |  Corrected Agentic Solution v2.0  |  TCFC Business</w:t>
          </w:r>
        </w:p>
      </w:tc>
      <w:tc>
        <w:tcPr>
          <w:tcW w:type="dxa" w:w="3600"/>
          <w:tcBorders>
            <w:top w:val="nil"/>
            <w:left w:val="nil"/>
            <w:bottom w:val="single" w:color="01696F" w:sz="4"/>
            <w:right w:val="nil"/>
          </w:tcBorders>
          <w:tcMar>
            <w:bottom w:type="dxa" w:w="80"/>
          </w:tcMar>
        </w:tcPr>
        <w:p>
          <w:pPr>
            <w:jc w:val="right"/>
          </w:pPr>
          <w:r>
            <w:rPr>
              <w:rFonts w:ascii="Arial" w:cs="Arial" w:eastAsia="Arial" w:hAnsi="Arial"/>
              <w:color w:val="1A1A1A"/>
              <w:sz w:val="16"/>
              <w:szCs w:val="16"/>
            </w:rPr>
            <w:t xml:space="preserve">OMRC AI/ML Team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1696F"/>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169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2026-03-17T22:32:14.452Z</dcterms:created>
  <dcterms:modified xsi:type="dcterms:W3CDTF">2026-03-17T22:32:14.453Z</dcterms:modified>
</cp:coreProperties>
</file>

<file path=docProps/custom.xml><?xml version="1.0" encoding="utf-8"?>
<Properties xmlns="http://schemas.openxmlformats.org/officeDocument/2006/custom-properties" xmlns:vt="http://schemas.openxmlformats.org/officeDocument/2006/docPropsVTypes"/>
</file>