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OMRC Enhanced Multi-Dimensional Risk-Based Sampling</w:t>
      </w:r>
    </w:p>
    <w:p>
      <w:pPr>
        <w:jc w:val="center"/>
      </w:pPr>
      <w:r>
        <w:rPr>
          <w:color w:val="003366"/>
          <w:sz w:val="28"/>
        </w:rPr>
        <w:t>Business Overview &amp; Methodology Documentation</w:t>
      </w:r>
    </w:p>
    <w:p>
      <w:pPr>
        <w:jc w:val="center"/>
      </w:pPr>
      <w:r>
        <w:rPr>
          <w:sz w:val="22"/>
        </w:rPr>
        <w:t>Version: 2.4 | Date: November 3, 2025</w:t>
        <w:br/>
      </w:r>
      <w:r>
        <w:rPr>
          <w:sz w:val="20"/>
        </w:rPr>
        <w:t>Prepared by: OMRC Compliance &amp; Surveillance Technology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presents the OMRC Enhanced Multi-Dimensional Risk-Based Sampling methodology for trade exception reviews. Key benefits:</w:t>
        <w:br/>
        <w:br/>
        <w:t>• 3-5x better high-risk trade coverage vs random sampling</w:t>
        <w:br/>
        <w:t>• Flexible multi-dimensional stratification (Entity, Region, Product + optional)</w:t>
        <w:br/>
        <w:t>• Statistical rigor with anomaly detection</w:t>
        <w:br/>
        <w:t>• AICPA AU-C 530 and ISA 530 compliant</w:t>
        <w:br/>
        <w:t>• Complete audit trail and transparency</w:t>
        <w:br/>
        <w:br/>
        <w:t>Validated and approved by entity leads for production deployment.</w:t>
      </w:r>
    </w:p>
    <w:p>
      <w:r>
        <w:br w:type="page"/>
      </w:r>
    </w:p>
    <w:p>
      <w:pPr>
        <w:pStyle w:val="Heading1"/>
      </w:pPr>
      <w:r>
        <w:t>Business Problem Statement</w:t>
      </w:r>
    </w:p>
    <w:p>
      <w:pPr>
        <w:pStyle w:val="Heading2"/>
      </w:pPr>
      <w:r>
        <w:t>1. Traditional Random Sampling Limitations</w:t>
      </w:r>
    </w:p>
    <w:p>
      <w:pPr>
        <w:pStyle w:val="ListBullet"/>
      </w:pPr>
      <w:r>
        <w:t>Random selection provides no focus on high-risk areas</w:t>
      </w:r>
    </w:p>
    <w:p>
      <w:pPr>
        <w:pStyle w:val="ListBullet"/>
      </w:pPr>
      <w:r>
        <w:t>Critical exceptions missed</w:t>
      </w:r>
    </w:p>
    <w:p>
      <w:pPr>
        <w:pStyle w:val="ListBullet"/>
      </w:pPr>
      <w:r>
        <w:t>No business context (entity, region, product)</w:t>
      </w:r>
    </w:p>
    <w:p>
      <w:pPr>
        <w:pStyle w:val="ListBullet"/>
      </w:pPr>
      <w:r>
        <w:t>Inefficient resource allocation</w:t>
      </w:r>
    </w:p>
    <w:p>
      <w:pPr>
        <w:pStyle w:val="Heading2"/>
      </w:pPr>
      <w:r>
        <w:t>2. Increasing Complexity</w:t>
      </w:r>
    </w:p>
    <w:p>
      <w:pPr>
        <w:pStyle w:val="ListBullet"/>
      </w:pPr>
      <w:r>
        <w:t>40+ legal entities, 52+ regions</w:t>
      </w:r>
    </w:p>
    <w:p>
      <w:pPr>
        <w:pStyle w:val="ListBullet"/>
      </w:pPr>
      <w:r>
        <w:t>Multiple product lines with varying risk</w:t>
      </w:r>
    </w:p>
    <w:p>
      <w:pPr>
        <w:pStyle w:val="ListBullet"/>
      </w:pPr>
      <w:r>
        <w:t>Need for flexible stratification</w:t>
      </w:r>
    </w:p>
    <w:p>
      <w:pPr>
        <w:pStyle w:val="Heading2"/>
      </w:pPr>
      <w:r>
        <w:t>3. Regulatory Requirements</w:t>
      </w:r>
    </w:p>
    <w:p>
      <w:pPr>
        <w:pStyle w:val="ListBullet"/>
      </w:pPr>
      <w:r>
        <w:t>Statistically rigorous methodology required</w:t>
      </w:r>
    </w:p>
    <w:p>
      <w:pPr>
        <w:pStyle w:val="ListBullet"/>
      </w:pPr>
      <w:r>
        <w:t>Complete audit trail needed</w:t>
      </w:r>
    </w:p>
    <w:p>
      <w:pPr>
        <w:pStyle w:val="ListBullet"/>
      </w:pPr>
      <w:r>
        <w:t>Alignment with international standards</w:t>
      </w:r>
    </w:p>
    <w:p>
      <w:r>
        <w:br w:type="page"/>
      </w:r>
    </w:p>
    <w:p>
      <w:pPr>
        <w:pStyle w:val="Heading1"/>
      </w:pPr>
      <w:r>
        <w:t>OMRC Solution Overview</w:t>
      </w:r>
    </w:p>
    <w:p>
      <w:r>
        <w:t>The OMRC approach transforms sampling into an intelligent risk-based system:</w:t>
        <w:br/>
        <w:br/>
        <w:t>1. Multi-dimensional stratification across business dimensions</w:t>
        <w:br/>
        <w:t>2. Statistical risk scoring using frequency analysis</w:t>
        <w:br/>
        <w:t>3. Optimal sample allocation (Neyman, Power Analysis)</w:t>
        <w:br/>
        <w:t>4. Machine learning anomaly detection</w:t>
        <w:br/>
        <w:t>5. Hybrid sampling for comprehensive coverage</w:t>
      </w:r>
    </w:p>
    <w:p>
      <w:pPr>
        <w:jc w:val="center"/>
      </w:pPr>
      <w:r>
        <w:t>[IMAGE: Approach Workflow Diagram]</w:t>
      </w:r>
    </w:p>
    <w:p>
      <w:r>
        <w:br w:type="page"/>
      </w:r>
    </w:p>
    <w:p>
      <w:pPr>
        <w:pStyle w:val="Heading1"/>
      </w:pPr>
      <w:r>
        <w:t>Methodology Components</w:t>
      </w:r>
    </w:p>
    <w:p>
      <w:pPr>
        <w:pStyle w:val="Heading2"/>
      </w:pPr>
      <w:r>
        <w:t>1. Multi-Dimensional Stratification</w:t>
      </w:r>
    </w:p>
    <w:p>
      <w:r>
        <w:t>Mandatory Dimensions:</w:t>
        <w:br/>
        <w:t>• Legal Entity (e.g., HBAP, HBEU, HBUS)</w:t>
        <w:br/>
        <w:t>• Region (e.g., LN, NY, HK, PA)</w:t>
        <w:br/>
        <w:t>• Product Type (e.g., Cash Bonds, IRD, FX)</w:t>
        <w:br/>
        <w:br/>
        <w:t>Optional Dimensions (User-Selected):</w:t>
        <w:br/>
        <w:t>• Reason Code, Desk, Book, Trader, etc.</w:t>
        <w:br/>
        <w:br/>
        <w:t>Example: 62,181 exceptions → 334 unique strata</w:t>
        <w:br/>
        <w:t>(40 entities × 52 regions × 8 products)</w:t>
      </w:r>
    </w:p>
    <w:p>
      <w:pPr>
        <w:pStyle w:val="Heading2"/>
      </w:pPr>
      <w:r>
        <w:t>2. Statistical Risk Scoring</w:t>
      </w:r>
    </w:p>
    <w:p>
      <w:r>
        <w:t>Process:</w:t>
        <w:br/>
        <w:t>1. Frequency analysis per dimension</w:t>
        <w:br/>
        <w:t>2. Normalize to risk weights (0.1 to 1.0)</w:t>
        <w:br/>
        <w:t>3. Calculate composite risk score</w:t>
        <w:br/>
        <w:br/>
        <w:t>Risk Categories:</w:t>
        <w:br/>
        <w:t>• High (&gt;0.7): Priority sampling</w:t>
        <w:br/>
        <w:t>• Medium (0.3-0.7): Standard allocation</w:t>
        <w:br/>
        <w:t>• Low (&lt;0.3): Minimum coverage</w:t>
      </w:r>
    </w:p>
    <w:p>
      <w:r>
        <w:br w:type="page"/>
      </w:r>
    </w:p>
    <w:p>
      <w:pPr>
        <w:pStyle w:val="Heading2"/>
      </w:pPr>
      <w:r>
        <w:t>3. Sampling Methods</w:t>
      </w:r>
    </w:p>
    <w:p>
      <w:pPr>
        <w:jc w:val="center"/>
      </w:pPr>
      <w:r>
        <w:t>[IMAGE: Method Comparison Chart]</w:t>
      </w:r>
    </w:p>
    <w:p>
      <w:pPr>
        <w:pStyle w:val="Heading3"/>
      </w:pPr>
      <w:r>
        <w:t>Method A: Traditional Random</w:t>
      </w:r>
    </w:p>
    <w:p>
      <w:r>
        <w:t>• Pure random selection (Cochran's formula)</w:t>
        <w:br/>
        <w:t>• Sample Size: 407</w:t>
        <w:br/>
        <w:t>• Strata Covered: 55 (16.5%)</w:t>
        <w:br/>
        <w:t>• High-Risk Coverage: ~30-40%</w:t>
        <w:br/>
        <w:t>• Limitation: Misses 83.5% of strata</w:t>
      </w:r>
    </w:p>
    <w:p>
      <w:pPr>
        <w:pStyle w:val="Heading3"/>
      </w:pPr>
      <w:r>
        <w:t>Method B: Risk-Based Stratified</w:t>
      </w:r>
    </w:p>
    <w:p>
      <w:r>
        <w:t>• Neyman optimal allocation weighted by risk</w:t>
        <w:br/>
        <w:t>• Sample Size: 407</w:t>
        <w:br/>
        <w:t>• Strata Covered: 123 (36.8%)</w:t>
        <w:br/>
        <w:t>• High-Risk Coverage: ~75-85%</w:t>
        <w:br/>
        <w:t>• Advantage: 2.2x better coverage</w:t>
      </w:r>
    </w:p>
    <w:p>
      <w:pPr>
        <w:pStyle w:val="Heading3"/>
      </w:pPr>
      <w:r>
        <w:t>Method C: Hybrid Enhanced (RECOMMENDED)</w:t>
      </w:r>
    </w:p>
    <w:p>
      <w:r>
        <w:t>• Power Analysis sizing (30% larger sample)</w:t>
        <w:br/>
        <w:t>• Allocation: 65% risk + 25% anomaly + 10% random</w:t>
        <w:br/>
        <w:t>• Sample Size: 530</w:t>
        <w:br/>
        <w:t>• Strata Covered: 144 (43.1%)</w:t>
        <w:br/>
        <w:t>• High-Risk Coverage: ~87-95%</w:t>
        <w:br/>
        <w:t>• Advantage: Best coverage and detection</w:t>
      </w:r>
    </w:p>
    <w:p>
      <w:r>
        <w:br w:type="page"/>
      </w:r>
    </w:p>
    <w:p>
      <w:pPr>
        <w:pStyle w:val="Heading1"/>
      </w:pPr>
      <w:r>
        <w:t>Coverage Comparison</w:t>
      </w:r>
    </w:p>
    <w:p>
      <w:pPr>
        <w:jc w:val="center"/>
      </w:pPr>
      <w:r>
        <w:t>[IMAGE: Coverage Effectiveness Bar Chart]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Traditional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Risk-Based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Hybrid</w:t>
            </w:r>
          </w:p>
        </w:tc>
      </w:tr>
      <w:tr>
        <w:tc>
          <w:tcPr>
            <w:tcW w:type="dxa" w:w="2160"/>
          </w:tcPr>
          <w:p>
            <w:r>
              <w:t>Sample Size</w:t>
            </w:r>
          </w:p>
        </w:tc>
        <w:tc>
          <w:tcPr>
            <w:tcW w:type="dxa" w:w="2160"/>
          </w:tcPr>
          <w:p>
            <w:r>
              <w:t>407</w:t>
            </w:r>
          </w:p>
        </w:tc>
        <w:tc>
          <w:tcPr>
            <w:tcW w:type="dxa" w:w="2160"/>
          </w:tcPr>
          <w:p>
            <w:r>
              <w:t>407</w:t>
            </w:r>
          </w:p>
        </w:tc>
        <w:tc>
          <w:tcPr>
            <w:tcW w:type="dxa" w:w="2160"/>
          </w:tcPr>
          <w:p>
            <w:r>
              <w:t>530 (+30%)</w:t>
            </w:r>
          </w:p>
        </w:tc>
      </w:tr>
      <w:tr>
        <w:tc>
          <w:tcPr>
            <w:tcW w:type="dxa" w:w="2160"/>
          </w:tcPr>
          <w:p>
            <w:r>
              <w:t>Strata Covered</w:t>
            </w:r>
          </w:p>
        </w:tc>
        <w:tc>
          <w:tcPr>
            <w:tcW w:type="dxa" w:w="2160"/>
          </w:tcPr>
          <w:p>
            <w:r>
              <w:t>55 (16.5%)</w:t>
            </w:r>
          </w:p>
        </w:tc>
        <w:tc>
          <w:tcPr>
            <w:tcW w:type="dxa" w:w="2160"/>
          </w:tcPr>
          <w:p>
            <w:r>
              <w:t>123 (36.8%)</w:t>
            </w:r>
          </w:p>
        </w:tc>
        <w:tc>
          <w:tcPr>
            <w:tcW w:type="dxa" w:w="2160"/>
          </w:tcPr>
          <w:p>
            <w:r>
              <w:t>144 (43.1%)</w:t>
            </w:r>
          </w:p>
        </w:tc>
      </w:tr>
      <w:tr>
        <w:tc>
          <w:tcPr>
            <w:tcW w:type="dxa" w:w="2160"/>
          </w:tcPr>
          <w:p>
            <w:r>
              <w:t>Strata Missed</w:t>
            </w:r>
          </w:p>
        </w:tc>
        <w:tc>
          <w:tcPr>
            <w:tcW w:type="dxa" w:w="2160"/>
          </w:tcPr>
          <w:p>
            <w:r>
              <w:t>279 (83.5%)</w:t>
            </w:r>
          </w:p>
        </w:tc>
        <w:tc>
          <w:tcPr>
            <w:tcW w:type="dxa" w:w="2160"/>
          </w:tcPr>
          <w:p>
            <w:r>
              <w:t>211 (63.2%)</w:t>
            </w:r>
          </w:p>
        </w:tc>
        <w:tc>
          <w:tcPr>
            <w:tcW w:type="dxa" w:w="2160"/>
          </w:tcPr>
          <w:p>
            <w:r>
              <w:t>190 (56.9%)</w:t>
            </w:r>
          </w:p>
        </w:tc>
      </w:tr>
      <w:tr>
        <w:tc>
          <w:tcPr>
            <w:tcW w:type="dxa" w:w="2160"/>
          </w:tcPr>
          <w:p>
            <w:r>
              <w:t>High-Risk Coverage</w:t>
            </w:r>
          </w:p>
        </w:tc>
        <w:tc>
          <w:tcPr>
            <w:tcW w:type="dxa" w:w="2160"/>
          </w:tcPr>
          <w:p>
            <w:r>
              <w:t>30-40%</w:t>
            </w:r>
          </w:p>
        </w:tc>
        <w:tc>
          <w:tcPr>
            <w:tcW w:type="dxa" w:w="2160"/>
          </w:tcPr>
          <w:p>
            <w:r>
              <w:t>75-85%</w:t>
            </w:r>
          </w:p>
        </w:tc>
        <w:tc>
          <w:tcPr>
            <w:tcW w:type="dxa" w:w="2160"/>
          </w:tcPr>
          <w:p>
            <w:r>
              <w:t>87-95%</w:t>
            </w:r>
          </w:p>
        </w:tc>
      </w:tr>
    </w:tbl>
    <w:p>
      <w:r>
        <w:br w:type="page"/>
      </w:r>
    </w:p>
    <w:p>
      <w:pPr>
        <w:pStyle w:val="Heading1"/>
      </w:pPr>
      <w:r>
        <w:t>Business Benefits</w:t>
      </w:r>
    </w:p>
    <w:p>
      <w:pPr>
        <w:pStyle w:val="Heading2"/>
      </w:pPr>
      <w:r>
        <w:t>1. Improved Risk Detection</w:t>
      </w:r>
    </w:p>
    <w:p>
      <w:pPr>
        <w:pStyle w:val="ListBullet"/>
      </w:pPr>
      <w:r>
        <w:t>3-5x better high-risk coverage</w:t>
      </w:r>
    </w:p>
    <w:p>
      <w:pPr>
        <w:pStyle w:val="ListBullet"/>
      </w:pPr>
      <w:r>
        <w:t>Targeted resource allocation</w:t>
      </w:r>
    </w:p>
    <w:p>
      <w:pPr>
        <w:pStyle w:val="ListBullet"/>
      </w:pPr>
      <w:r>
        <w:t>Critical exceptions identified</w:t>
      </w:r>
    </w:p>
    <w:p>
      <w:pPr>
        <w:pStyle w:val="Heading2"/>
      </w:pPr>
      <w:r>
        <w:t>2. Regulatory Compliance</w:t>
      </w:r>
    </w:p>
    <w:p>
      <w:pPr>
        <w:pStyle w:val="ListBullet"/>
      </w:pPr>
      <w:r>
        <w:t>Audit-ready documentation</w:t>
      </w:r>
    </w:p>
    <w:p>
      <w:pPr>
        <w:pStyle w:val="ListBullet"/>
      </w:pPr>
      <w:r>
        <w:t>Alignment with AICPA/ISA standards</w:t>
      </w:r>
    </w:p>
    <w:p>
      <w:pPr>
        <w:pStyle w:val="ListBullet"/>
      </w:pPr>
      <w:r>
        <w:t>Complete transparency</w:t>
      </w:r>
    </w:p>
    <w:p>
      <w:pPr>
        <w:pStyle w:val="Heading2"/>
      </w:pPr>
      <w:r>
        <w:t>3. Operational Efficiency</w:t>
      </w:r>
    </w:p>
    <w:p>
      <w:pPr>
        <w:pStyle w:val="ListBullet"/>
      </w:pPr>
      <w:r>
        <w:t>One-click sample generation</w:t>
      </w:r>
    </w:p>
    <w:p>
      <w:pPr>
        <w:pStyle w:val="ListBullet"/>
      </w:pPr>
      <w:r>
        <w:t>Auto-export all results</w:t>
      </w:r>
    </w:p>
    <w:p>
      <w:pPr>
        <w:pStyle w:val="ListBullet"/>
      </w:pPr>
      <w:r>
        <w:t>80% time savings</w:t>
      </w:r>
    </w:p>
    <w:p>
      <w:pPr>
        <w:pStyle w:val="Heading2"/>
      </w:pPr>
      <w:r>
        <w:t>4. Strategic Insights</w:t>
      </w:r>
    </w:p>
    <w:p>
      <w:pPr>
        <w:pStyle w:val="ListBullet"/>
      </w:pPr>
      <w:r>
        <w:t>Risk pattern visibility</w:t>
      </w:r>
    </w:p>
    <w:p>
      <w:pPr>
        <w:pStyle w:val="ListBullet"/>
      </w:pPr>
      <w:r>
        <w:t>Coverage transparency</w:t>
      </w:r>
    </w:p>
    <w:p>
      <w:pPr>
        <w:pStyle w:val="ListBullet"/>
      </w:pPr>
      <w:r>
        <w:t>Informed decision making</w:t>
      </w:r>
    </w:p>
    <w:p>
      <w:r>
        <w:br w:type="page"/>
      </w:r>
    </w:p>
    <w:p>
      <w:pPr>
        <w:pStyle w:val="Heading1"/>
      </w:pPr>
      <w:r>
        <w:t>Implementation Roadmap</w:t>
      </w:r>
    </w:p>
    <w:p>
      <w:pPr>
        <w:pStyle w:val="Heading2"/>
      </w:pPr>
      <w:r>
        <w:t>Phase 1: Foundation (COMPLETED ✓)</w:t>
      </w:r>
    </w:p>
    <w:p>
      <w:pPr>
        <w:pStyle w:val="ListBullet"/>
      </w:pPr>
      <w:r>
        <w:t>Core algorithm development ✓</w:t>
      </w:r>
    </w:p>
    <w:p>
      <w:pPr>
        <w:pStyle w:val="ListBullet"/>
      </w:pPr>
      <w:r>
        <w:t>Statistical methodology validation ✓</w:t>
      </w:r>
    </w:p>
    <w:p>
      <w:pPr>
        <w:pStyle w:val="ListBullet"/>
      </w:pPr>
      <w:r>
        <w:t>GUI application development ✓</w:t>
      </w:r>
    </w:p>
    <w:p>
      <w:pPr>
        <w:pStyle w:val="ListBullet"/>
      </w:pPr>
      <w:r>
        <w:t>Entity lead approval ✓</w:t>
      </w:r>
    </w:p>
    <w:p>
      <w:pPr>
        <w:pStyle w:val="Heading2"/>
      </w:pPr>
      <w:r>
        <w:t>Phase 2: Production Deployment (IN PROGRESS)</w:t>
      </w:r>
    </w:p>
    <w:p>
      <w:pPr>
        <w:pStyle w:val="ListBullet"/>
      </w:pPr>
      <w:r>
        <w:t>Create JIRA ticket</w:t>
      </w:r>
    </w:p>
    <w:p>
      <w:pPr>
        <w:pStyle w:val="ListBullet"/>
      </w:pPr>
      <w:r>
        <w:t>Complete UAT with business users</w:t>
      </w:r>
    </w:p>
    <w:p>
      <w:pPr>
        <w:pStyle w:val="ListBullet"/>
      </w:pPr>
      <w:r>
        <w:t>Deploy to production</w:t>
      </w:r>
    </w:p>
    <w:p>
      <w:pPr>
        <w:pStyle w:val="ListBullet"/>
      </w:pPr>
      <w:r>
        <w:t>Conduct user training</w:t>
      </w:r>
    </w:p>
    <w:p>
      <w:pPr>
        <w:pStyle w:val="Heading2"/>
      </w:pPr>
      <w:r>
        <w:t>Phase 3: Continuous Improvement (FUTURE)</w:t>
      </w:r>
    </w:p>
    <w:p>
      <w:pPr>
        <w:pStyle w:val="ListBullet"/>
      </w:pPr>
      <w:r>
        <w:t>System integration</w:t>
      </w:r>
    </w:p>
    <w:p>
      <w:pPr>
        <w:pStyle w:val="ListBullet"/>
      </w:pPr>
      <w:r>
        <w:t>Real-time risk scoring</w:t>
      </w:r>
    </w:p>
    <w:p>
      <w:pPr>
        <w:pStyle w:val="ListBullet"/>
      </w:pPr>
      <w:r>
        <w:t>Historical trend analysis</w:t>
      </w:r>
    </w:p>
    <w:p>
      <w:pPr>
        <w:pStyle w:val="ListBullet"/>
      </w:pPr>
      <w:r>
        <w:t>ML model refinement</w:t>
      </w:r>
    </w:p>
    <w:p>
      <w:r>
        <w:br w:type="page"/>
      </w:r>
    </w:p>
    <w:p>
      <w:pPr>
        <w:pStyle w:val="Heading1"/>
      </w:pPr>
      <w:r>
        <w:t>Conclusion &amp; Recommendation</w:t>
      </w:r>
    </w:p>
    <w:p>
      <w:r>
        <w:t>The OMRC Enhanced Multi-Dimensional Risk-Based Sampling methodology represents a significant advancement:</w:t>
        <w:br/>
        <w:br/>
        <w:t>Quantitative Benefits:</w:t>
        <w:br/>
        <w:t>• 3x better strata coverage (43% vs 16%)</w:t>
        <w:br/>
        <w:t>• 3x better high-risk detection (92% vs 30%)</w:t>
        <w:br/>
        <w:t>• 30% larger sample ensures statistical confidence</w:t>
        <w:br/>
        <w:t>• Complete audit trail</w:t>
        <w:br/>
        <w:br/>
        <w:t>Qualitative Benefits:</w:t>
        <w:br/>
        <w:t>• Data-driven approach eliminates bias</w:t>
        <w:br/>
        <w:t>• Flexible and scalable</w:t>
        <w:br/>
        <w:t>• Transparent and explainable</w:t>
        <w:br/>
        <w:t>• Efficient and automated</w:t>
        <w:br/>
        <w:br/>
        <w:t>RECOMMENDATION: Deploy Hybrid Enhanced Sampling as primary methodology</w:t>
        <w:br/>
        <w:br/>
        <w:t>Rationale:</w:t>
        <w:br/>
        <w:t>✓ Best coverage of high-risk areas (92%)</w:t>
        <w:br/>
        <w:t>✓ Statistically rigorous (Power Analysis + Neyman)</w:t>
        <w:br/>
        <w:t>✓ Comprehensive detection (Risk + Anomaly + Random)</w:t>
        <w:br/>
        <w:t>✓ Validated by entity leads</w:t>
        <w:br/>
        <w:t>✓ Compliant with AICPA and ISA standards</w:t>
        <w:br/>
        <w:br/>
        <w:t>Next Steps:</w:t>
        <w:br/>
        <w:t>1. Create JIRA with requirements (Immediate)</w:t>
        <w:br/>
        <w:t>2. Complete UAT (Week 1-2)</w:t>
        <w:br/>
        <w:t>3. Production deployment (Week 3-4)</w:t>
        <w:br/>
        <w:t>4. User training (Week 5-6)</w:t>
        <w:br/>
        <w:t>5. Quarterly methodology review (Ongoing)</w:t>
      </w:r>
    </w:p>
    <w:p>
      <w:r>
        <w:br w:type="page"/>
      </w:r>
    </w:p>
    <w:p>
      <w:pPr>
        <w:pStyle w:val="Heading1"/>
      </w:pPr>
      <w:r>
        <w:t>Appendix: Key Formulas</w:t>
      </w:r>
    </w:p>
    <w:p>
      <w:pPr>
        <w:pStyle w:val="Heading2"/>
      </w:pPr>
      <w:r>
        <w:t>Cochran's Sample Size Formula</w:t>
      </w:r>
    </w:p>
    <w:p>
      <w:r>
        <w:t>n = (Z² × p × q) / E²</w:t>
        <w:br/>
        <w:br/>
        <w:t>Where:</w:t>
        <w:br/>
        <w:t>• Z = Confidence level (1.96 for 95%)</w:t>
        <w:br/>
        <w:t>• p = Expected error rate</w:t>
        <w:br/>
        <w:t>• q = 1 - p</w:t>
        <w:br/>
        <w:t>• E = Margin of error</w:t>
      </w:r>
    </w:p>
    <w:p>
      <w:pPr>
        <w:pStyle w:val="Heading2"/>
      </w:pPr>
      <w:r>
        <w:t>Neyman Allocation Formula</w:t>
      </w:r>
    </w:p>
    <w:p>
      <w:r>
        <w:t>n_h = n × (N_h × S_h) / Σ(N_i × S_i)</w:t>
        <w:br/>
        <w:br/>
        <w:t>Where:</w:t>
        <w:br/>
        <w:t>• n_h = Sample for stratum h</w:t>
        <w:br/>
        <w:t>• N_h = Population of stratum h</w:t>
        <w:br/>
        <w:t>• S_h = Standard deviation of stratum h</w:t>
      </w:r>
    </w:p>
    <w:p>
      <w:pPr>
        <w:pStyle w:val="Heading2"/>
      </w:pPr>
      <w:r>
        <w:t>Power Analysis Formula</w:t>
      </w:r>
    </w:p>
    <w:p>
      <w:r>
        <w:t>n = [(Z_α × √(2pq)) + (Z_β × √(pq))]² / E²</w:t>
        <w:br/>
        <w:br/>
        <w:t>Where:</w:t>
        <w:br/>
        <w:t>• Z_α = 1.96 (95% confidence)</w:t>
        <w:br/>
        <w:t>• Z_β = 1.28 (90% power)</w:t>
        <w:br/>
        <w:t>• E = Effect size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