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aps/>
          <w:color w:val="C9A227"/>
          <w:sz w:val="30"/>
          <w:szCs w:val="30"/>
        </w:rPr>
        <w:t xml:space="preserve">MARKET DATA API</w:t>
      </w:r>
    </w:p>
    <w:p>
      <w:pPr>
        <w:spacing w:before="120"/>
        <w:jc w:val="center"/>
      </w:pPr>
      <w:r>
        <w:rPr>
          <w:rFonts w:ascii="Calibri" w:cs="Calibri" w:eastAsia="Calibri" w:hAnsi="Calibri"/>
          <w:b/>
          <w:bCs/>
          <w:color w:val="1F3B57"/>
          <w:sz w:val="56"/>
          <w:szCs w:val="56"/>
        </w:rPr>
        <w:t xml:space="preserve">Feature &amp; Capability Report</w:t>
      </w:r>
    </w:p>
    <w:p>
      <w:pPr>
        <w:pBdr>
          <w:bottom w:val="single" w:color="C9A227" w:sz="12" w:space="10"/>
        </w:pBdr>
        <w:spacing w:before="200"/>
        <w:jc w:val="center"/>
      </w:pPr>
      <w:r>
        <w:rPr>
          <w:rFonts w:ascii="Calibri" w:cs="Calibri" w:eastAsia="Calibri" w:hAnsi="Calibri"/>
          <w:b/>
          <w:bCs/>
          <w:color w:val="2E6DA4"/>
          <w:sz w:val="26"/>
          <w:szCs w:val="26"/>
        </w:rPr>
        <w:t xml:space="preserve">Polygon  ·  FMP  ·  Finnhub  ·  Alpha Vantage</w:t>
      </w:r>
    </w:p>
    <w:p>
      <w:pPr>
        <w:spacing w:before="240"/>
        <w:jc w:val="center"/>
      </w:pPr>
      <w:r>
        <w:rPr>
          <w:rFonts w:ascii="Calibri" w:cs="Calibri" w:eastAsia="Calibri" w:hAnsi="Calibri"/>
          <w:i/>
          <w:iCs/>
          <w:color w:val="5A6672"/>
          <w:sz w:val="22"/>
          <w:szCs w:val="22"/>
        </w:rPr>
        <w:t xml:space="preserve">A documentation-verified evaluation for a real-time stock-market intelligence application</w:t>
      </w:r>
    </w:p>
    <w:p>
      <w:pPr>
        <w:spacing w:before="900"/>
        <w:jc w:val="center"/>
      </w:pPr>
      <w:r>
        <w:rPr>
          <w:rFonts w:ascii="Calibri" w:cs="Calibri" w:eastAsia="Calibri" w:hAnsi="Calibri"/>
          <w:color w:val="5A6672"/>
          <w:sz w:val="20"/>
          <w:szCs w:val="20"/>
        </w:rPr>
        <w:t xml:space="preserve">US Equities  ·  Prepared August 2026</w:t>
      </w:r>
    </w:p>
    <w:p>
      <w:pPr>
        <w:spacing w:before="60"/>
        <w:jc w:val="center"/>
      </w:pPr>
      <w:r>
        <w:rPr>
          <w:rFonts w:ascii="Calibri" w:cs="Calibri" w:eastAsia="Calibri" w:hAnsi="Calibri"/>
          <w:color w:val="9AA5B0"/>
          <w:sz w:val="15"/>
          <w:szCs w:val="15"/>
        </w:rPr>
        <w:t xml:space="preserve">Sources: massive.com/docs · site.financialmodelingprep.com · finnhub.io/docs · alphavantage.co/documentation</w:t>
      </w:r>
    </w:p>
    <w:p>
      <w:r>
        <w:br w:type="page"/>
      </w:r>
    </w:p>
    <w:p>
      <w:pPr>
        <w:pStyle w:val="Heading1"/>
        <w:pBdr>
          <w:bottom w:val="single" w:color="C9A227" w:sz="10" w:space="6"/>
        </w:pBdr>
        <w:spacing w:after="140" w:before="320"/>
      </w:pPr>
      <w:r>
        <w:rPr>
          <w:rFonts w:ascii="Calibri" w:cs="Calibri" w:eastAsia="Calibri" w:hAnsi="Calibri"/>
          <w:b/>
          <w:bCs/>
          <w:color w:val="1F3B57"/>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A227" w:sz="10" w:space="6"/>
        </w:pBdr>
        <w:spacing w:after="140" w:before="320"/>
      </w:pPr>
      <w:r>
        <w:rPr>
          <w:rFonts w:ascii="Calibri" w:cs="Calibri" w:eastAsia="Calibri" w:hAnsi="Calibri"/>
          <w:b/>
          <w:bCs/>
          <w:color w:val="1F3B57"/>
          <w:sz w:val="30"/>
          <w:szCs w:val="30"/>
        </w:rPr>
        <w:t xml:space="preserve">1.  Executive Summary</w:t>
      </w:r>
    </w:p>
    <w:p>
      <w:pPr>
        <w:spacing w:after="140" w:line="276"/>
      </w:pPr>
      <w:r>
        <w:rPr>
          <w:rFonts w:ascii="Calibri" w:cs="Calibri" w:eastAsia="Calibri" w:hAnsi="Calibri"/>
          <w:color w:val="23303B"/>
          <w:sz w:val="21"/>
          <w:szCs w:val="21"/>
        </w:rPr>
        <w:t xml:space="preserve">Four providers were evaluated against the requirements of a real-time stock-market intelligence application: a live streaming price tape, a full ticker universe, intraday and historical bars, market movers, corporate actions, company fundamentals, and news. Every claim below is grounded in each vendor's official documentation and pricing pages.</w:t>
      </w:r>
    </w:p>
    <w:p>
      <w:pPr>
        <w:spacing w:after="140" w:line="276"/>
      </w:pPr>
      <w:r>
        <w:rPr>
          <w:rFonts w:ascii="Calibri" w:cs="Calibri" w:eastAsia="Calibri" w:hAnsi="Calibri"/>
          <w:color w:val="23303B"/>
          <w:sz w:val="21"/>
          <w:szCs w:val="21"/>
        </w:rPr>
        <w:t xml:space="preserve">On raw feature breadth, FMP and Polygon finish almost level. When the scoring is re-weighted toward what this application actually depends on — a production-grade real-time tape — Polygon wins decisively, because it is the only provider offering tick-level trade, quote, and aggregate streaming with unlimited request rates and multi-connection access.</w:t>
      </w:r>
    </w:p>
    <w:p>
      <w:pPr>
        <w:pBdr>
          <w:left w:val="single" w:color="C9A227" w:sz="24" w:space="12"/>
        </w:pBdr>
        <w:shd w:fill="EEF2F6" w:color="auto" w:val="clear"/>
        <w:spacing w:after="120" w:before="60"/>
      </w:pPr>
      <w:r>
        <w:rPr>
          <w:rFonts w:ascii="Calibri" w:cs="Calibri" w:eastAsia="Calibri" w:hAnsi="Calibri"/>
          <w:b/>
          <w:bCs/>
          <w:color w:val="1F3B57"/>
          <w:sz w:val="21"/>
          <w:szCs w:val="21"/>
        </w:rPr>
        <w:t xml:space="preserve">Bottom line:  </w:t>
      </w:r>
      <w:r>
        <w:rPr>
          <w:rFonts w:ascii="Calibri" w:cs="Calibri" w:eastAsia="Calibri" w:hAnsi="Calibri"/>
          <w:color w:val="23303B"/>
          <w:sz w:val="21"/>
          <w:szCs w:val="21"/>
        </w:rPr>
        <w:t xml:space="preserve">No single provider is optimal alone. The strongest architecture is a two-provider split — </w:t>
      </w:r>
      <w:r>
        <w:rPr>
          <w:rFonts w:ascii="Calibri" w:cs="Calibri" w:eastAsia="Calibri" w:hAnsi="Calibri"/>
          <w:b/>
          <w:bCs/>
          <w:color w:val="1F3B57"/>
          <w:sz w:val="21"/>
          <w:szCs w:val="21"/>
        </w:rPr>
        <w:t xml:space="preserve">Polygon as the real-time backbone + FMP for fundamentals, ratios and sector data</w:t>
      </w:r>
      <w:r>
        <w:rPr>
          <w:rFonts w:ascii="Calibri" w:cs="Calibri" w:eastAsia="Calibri" w:hAnsi="Calibri"/>
          <w:color w:val="23303B"/>
          <w:sz w:val="21"/>
          <w:szCs w:val="21"/>
        </w:rPr>
        <w:t xml:space="preserve"> — because Polygon’s only two weak dimensions (fundamentals depth, sector performance) are precisely FMP’s two strongest.</w:t>
      </w:r>
    </w:p>
    <w:p>
      <w:pPr>
        <w:pStyle w:val="Heading2"/>
        <w:spacing w:after="100" w:before="240"/>
      </w:pPr>
      <w:r>
        <w:rPr>
          <w:rFonts w:ascii="Calibri" w:cs="Calibri" w:eastAsia="Calibri" w:hAnsi="Calibri"/>
          <w:b/>
          <w:bCs/>
          <w:color w:val="2E6DA4"/>
          <w:sz w:val="24"/>
          <w:szCs w:val="24"/>
        </w:rPr>
        <w:t xml:space="preserve">Ranking at a glance</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3600"/>
        <w:gridCol w:w="1500"/>
        <w:gridCol w:w="2160"/>
        <w:gridCol w:w="2100"/>
      </w:tblGrid>
      <w:tr>
        <w:trPr>
          <w:tblHeader/>
        </w:trPr>
        <w:tc>
          <w:tcPr>
            <w:tcW w:type="dxa" w:w="360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Provider</w:t>
            </w:r>
          </w:p>
        </w:tc>
        <w:tc>
          <w:tcPr>
            <w:tcW w:type="dxa" w:w="15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Score /10</w:t>
            </w:r>
          </w:p>
        </w:tc>
        <w:tc>
          <w:tcPr>
            <w:tcW w:type="dxa" w:w="216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Rank</w:t>
            </w:r>
          </w:p>
        </w:tc>
        <w:tc>
          <w:tcPr>
            <w:tcW w:type="dxa" w:w="21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Best role</w:t>
            </w:r>
          </w:p>
        </w:tc>
      </w:tr>
      <w:tr>
        <w:tc>
          <w:tcPr>
            <w:tcW w:type="dxa" w:w="3600"/>
            <w:shd w:fill="E6F0E6"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Polygon (massive.com)</w:t>
            </w:r>
          </w:p>
        </w:tc>
        <w:tc>
          <w:tcPr>
            <w:tcW w:type="dxa" w:w="1500"/>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9.0</w:t>
            </w:r>
          </w:p>
        </w:tc>
        <w:tc>
          <w:tcPr>
            <w:tcW w:type="dxa" w:w="2160"/>
            <w:shd w:fill="E6F0E6"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1st</w:t>
            </w:r>
          </w:p>
        </w:tc>
        <w:tc>
          <w:tcPr>
            <w:tcW w:type="dxa" w:w="2100"/>
            <w:shd w:fill="E6F0E6"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Real-time backbone</w:t>
            </w:r>
          </w:p>
        </w:tc>
      </w:tr>
      <w:tr>
        <w:tc>
          <w:tcPr>
            <w:tcW w:type="dxa" w:w="3600"/>
            <w:shd w:fill="EEF2F6" w:color="auto" w:val="clear"/>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Finnhub</w:t>
            </w:r>
          </w:p>
        </w:tc>
        <w:tc>
          <w:tcPr>
            <w:tcW w:type="dxa" w:w="15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3303B"/>
                <w:sz w:val="19"/>
                <w:szCs w:val="19"/>
              </w:rPr>
              <w:t xml:space="preserve">7.0</w:t>
            </w:r>
          </w:p>
        </w:tc>
        <w:tc>
          <w:tcPr>
            <w:tcW w:type="dxa" w:w="2160"/>
            <w:shd w:fill="EEF2F6"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2nd</w:t>
            </w:r>
          </w:p>
        </w:tc>
        <w:tc>
          <w:tcPr>
            <w:tcW w:type="dxa" w:w="2100"/>
            <w:shd w:fill="EEF2F6"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News / alt-data</w:t>
            </w:r>
          </w:p>
        </w:tc>
      </w:tr>
      <w:tr>
        <w:tc>
          <w:tcPr>
            <w:tcW w:type="dxa" w:w="36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FMP</w:t>
            </w:r>
          </w:p>
        </w:tc>
        <w:tc>
          <w:tcPr>
            <w:tcW w:type="dxa" w:w="15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3303B"/>
                <w:sz w:val="19"/>
                <w:szCs w:val="19"/>
              </w:rPr>
              <w:t xml:space="preserve">6.9</w:t>
            </w:r>
          </w:p>
        </w:tc>
        <w:tc>
          <w:tcPr>
            <w:tcW w:type="dxa" w:w="2160"/>
            <w:shd w:fill="FFFFFF"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3rd</w:t>
            </w:r>
          </w:p>
        </w:tc>
        <w:tc>
          <w:tcPr>
            <w:tcW w:type="dxa" w:w="2100"/>
            <w:shd w:fill="FFFFFF"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Fundamentals companion</w:t>
            </w:r>
          </w:p>
        </w:tc>
      </w:tr>
      <w:tr>
        <w:tc>
          <w:tcPr>
            <w:tcW w:type="dxa" w:w="3600"/>
            <w:shd w:fill="EEF2F6" w:color="auto" w:val="clear"/>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Alpha Vantage</w:t>
            </w:r>
          </w:p>
        </w:tc>
        <w:tc>
          <w:tcPr>
            <w:tcW w:type="dxa" w:w="15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3303B"/>
                <w:sz w:val="19"/>
                <w:szCs w:val="19"/>
              </w:rPr>
              <w:t xml:space="preserve">4.8</w:t>
            </w:r>
          </w:p>
        </w:tc>
        <w:tc>
          <w:tcPr>
            <w:tcW w:type="dxa" w:w="2160"/>
            <w:shd w:fill="EEF2F6"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4th</w:t>
            </w:r>
          </w:p>
        </w:tc>
        <w:tc>
          <w:tcPr>
            <w:tcW w:type="dxa" w:w="2100"/>
            <w:shd w:fill="EEF2F6"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Polling fallback only</w:t>
            </w:r>
          </w:p>
        </w:tc>
      </w:tr>
    </w:tbl>
    <w:p>
      <w:pPr>
        <w:spacing w:before="60"/>
      </w:pPr>
      <w:r>
        <w:rPr>
          <w:rFonts w:ascii="Calibri" w:cs="Calibri" w:eastAsia="Calibri" w:hAnsi="Calibri"/>
          <w:i/>
          <w:iCs/>
          <w:color w:val="5A6672"/>
          <w:sz w:val="16"/>
          <w:szCs w:val="16"/>
        </w:rPr>
        <w:t xml:space="preserve">Score = requirement-weighted (real-time streaming ×3, market breadth ×2, all other dimensions ×1).</w:t>
      </w:r>
    </w:p>
    <w:p>
      <w:r>
        <w:br w:type="page"/>
      </w:r>
    </w:p>
    <w:p>
      <w:pPr>
        <w:pStyle w:val="Heading1"/>
        <w:pBdr>
          <w:bottom w:val="single" w:color="C9A227" w:sz="10" w:space="6"/>
        </w:pBdr>
        <w:spacing w:after="140" w:before="320"/>
      </w:pPr>
      <w:r>
        <w:rPr>
          <w:rFonts w:ascii="Calibri" w:cs="Calibri" w:eastAsia="Calibri" w:hAnsi="Calibri"/>
          <w:b/>
          <w:bCs/>
          <w:color w:val="1F3B57"/>
          <w:sz w:val="30"/>
          <w:szCs w:val="30"/>
        </w:rPr>
        <w:t xml:space="preserve">2.  Common Features — present in all four</w:t>
      </w:r>
    </w:p>
    <w:p>
      <w:pPr>
        <w:spacing w:after="140" w:line="276"/>
      </w:pPr>
      <w:r>
        <w:rPr>
          <w:rFonts w:ascii="Calibri" w:cs="Calibri" w:eastAsia="Calibri" w:hAnsi="Calibri"/>
          <w:color w:val="23303B"/>
          <w:sz w:val="21"/>
          <w:szCs w:val="21"/>
        </w:rPr>
        <w:t xml:space="preserve">These eleven capability areas form the shared baseline. Every provider documents them, though depth and paid-tier gating vary as noted.</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520"/>
        <w:gridCol w:w="3200"/>
        <w:gridCol w:w="5640"/>
      </w:tblGrid>
      <w:tr>
        <w:trPr>
          <w:tblHeader/>
        </w:trPr>
        <w:tc>
          <w:tcPr>
            <w:tcW w:type="dxa" w:w="52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w:t>
            </w:r>
          </w:p>
        </w:tc>
        <w:tc>
          <w:tcPr>
            <w:tcW w:type="dxa" w:w="32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Common feature</w:t>
            </w:r>
          </w:p>
        </w:tc>
        <w:tc>
          <w:tcPr>
            <w:tcW w:type="dxa" w:w="564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Parity notes</w:t>
            </w:r>
          </w:p>
        </w:tc>
      </w:tr>
      <w:tr>
        <w:tc>
          <w:tcPr>
            <w:tcW w:type="dxa" w:w="52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1</w:t>
            </w:r>
          </w:p>
        </w:tc>
        <w:tc>
          <w:tcPr>
            <w:tcW w:type="dxa" w:w="32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Latest / real-time quotes</w:t>
            </w:r>
          </w:p>
        </w:tc>
        <w:tc>
          <w:tcPr>
            <w:tcW w:type="dxa" w:w="5640"/>
            <w:shd w:fill="FFFFFF"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 Real-time on paid for Polygon / FMP / Finnhub; Alpha Vantage requires a separate exchange entitlement.</w:t>
            </w:r>
          </w:p>
        </w:tc>
      </w:tr>
      <w:tr>
        <w:tc>
          <w:tcPr>
            <w:tcW w:type="dxa" w:w="52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2</w:t>
            </w:r>
          </w:p>
        </w:tc>
        <w:tc>
          <w:tcPr>
            <w:tcW w:type="dxa" w:w="32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Intraday bars (1–60 min)</w:t>
            </w:r>
          </w:p>
        </w:tc>
        <w:tc>
          <w:tcPr>
            <w:tcW w:type="dxa" w:w="5640"/>
            <w:shd w:fill="EEF2F6"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 Finnhub gates candles behind its paid Market Data module.</w:t>
            </w:r>
          </w:p>
        </w:tc>
      </w:tr>
      <w:tr>
        <w:tc>
          <w:tcPr>
            <w:tcW w:type="dxa" w:w="52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3</w:t>
            </w:r>
          </w:p>
        </w:tc>
        <w:tc>
          <w:tcPr>
            <w:tcW w:type="dxa" w:w="32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Daily + historical OHLC</w:t>
            </w:r>
          </w:p>
        </w:tc>
        <w:tc>
          <w:tcPr>
            <w:tcW w:type="dxa" w:w="5640"/>
            <w:shd w:fill="FFFFFF"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 History depth: Alpha Vantage &amp; FMP ~20–30 yr, Polygon to 2003, Finnhub paid.</w:t>
            </w:r>
          </w:p>
        </w:tc>
      </w:tr>
      <w:tr>
        <w:tc>
          <w:tcPr>
            <w:tcW w:type="dxa" w:w="52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4</w:t>
            </w:r>
          </w:p>
        </w:tc>
        <w:tc>
          <w:tcPr>
            <w:tcW w:type="dxa" w:w="32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Full ticker / symbol universe</w:t>
            </w:r>
          </w:p>
        </w:tc>
        <w:tc>
          <w:tcPr>
            <w:tcW w:type="dxa" w:w="5640"/>
            <w:shd w:fill="EEF2F6"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 (Polygon All-Tickers, FMP stock-list, Finnhub symbols, AV listing-status).</w:t>
            </w:r>
          </w:p>
        </w:tc>
      </w:tr>
      <w:tr>
        <w:tc>
          <w:tcPr>
            <w:tcW w:type="dxa" w:w="52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5</w:t>
            </w:r>
          </w:p>
        </w:tc>
        <w:tc>
          <w:tcPr>
            <w:tcW w:type="dxa" w:w="32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Company profile / overview</w:t>
            </w:r>
          </w:p>
        </w:tc>
        <w:tc>
          <w:tcPr>
            <w:tcW w:type="dxa" w:w="5640"/>
            <w:shd w:fill="FFFFFF"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w:t>
            </w:r>
          </w:p>
        </w:tc>
      </w:tr>
      <w:tr>
        <w:tc>
          <w:tcPr>
            <w:tcW w:type="dxa" w:w="52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6</w:t>
            </w:r>
          </w:p>
        </w:tc>
        <w:tc>
          <w:tcPr>
            <w:tcW w:type="dxa" w:w="32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Financial statements (I/B/C, annual + quarterly)</w:t>
            </w:r>
          </w:p>
        </w:tc>
        <w:tc>
          <w:tcPr>
            <w:tcW w:type="dxa" w:w="5640"/>
            <w:shd w:fill="EEF2F6"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 depth differs sharply (see §3).</w:t>
            </w:r>
          </w:p>
        </w:tc>
      </w:tr>
      <w:tr>
        <w:tc>
          <w:tcPr>
            <w:tcW w:type="dxa" w:w="52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7</w:t>
            </w:r>
          </w:p>
        </w:tc>
        <w:tc>
          <w:tcPr>
            <w:tcW w:type="dxa" w:w="32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Dividends &amp; splits</w:t>
            </w:r>
          </w:p>
        </w:tc>
        <w:tc>
          <w:tcPr>
            <w:tcW w:type="dxa" w:w="5640"/>
            <w:shd w:fill="FFFFFF"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 Finnhub gates these behind paid modules.</w:t>
            </w:r>
          </w:p>
        </w:tc>
      </w:tr>
      <w:tr>
        <w:tc>
          <w:tcPr>
            <w:tcW w:type="dxa" w:w="52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8</w:t>
            </w:r>
          </w:p>
        </w:tc>
        <w:tc>
          <w:tcPr>
            <w:tcW w:type="dxa" w:w="32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IPO data / calendar</w:t>
            </w:r>
          </w:p>
        </w:tc>
        <w:tc>
          <w:tcPr>
            <w:tcW w:type="dxa" w:w="5640"/>
            <w:shd w:fill="EEF2F6"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w:t>
            </w:r>
          </w:p>
        </w:tc>
      </w:tr>
      <w:tr>
        <w:tc>
          <w:tcPr>
            <w:tcW w:type="dxa" w:w="52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9</w:t>
            </w:r>
          </w:p>
        </w:tc>
        <w:tc>
          <w:tcPr>
            <w:tcW w:type="dxa" w:w="32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News feed</w:t>
            </w:r>
          </w:p>
        </w:tc>
        <w:tc>
          <w:tcPr>
            <w:tcW w:type="dxa" w:w="5640"/>
            <w:shd w:fill="FFFFFF"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 sentiment on Polygon / Finnhub / AV, weaker on FMP.</w:t>
            </w:r>
          </w:p>
        </w:tc>
      </w:tr>
      <w:tr>
        <w:tc>
          <w:tcPr>
            <w:tcW w:type="dxa" w:w="52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10</w:t>
            </w:r>
          </w:p>
        </w:tc>
        <w:tc>
          <w:tcPr>
            <w:tcW w:type="dxa" w:w="32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Technical indicators</w:t>
            </w:r>
          </w:p>
        </w:tc>
        <w:tc>
          <w:tcPr>
            <w:tcW w:type="dxa" w:w="5640"/>
            <w:shd w:fill="EEF2F6"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 expose SMA/EMA/MACD/RSI…; Alpha Vantage by far the deepest.</w:t>
            </w:r>
          </w:p>
        </w:tc>
      </w:tr>
      <w:tr>
        <w:tc>
          <w:tcPr>
            <w:tcW w:type="dxa" w:w="52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6DA4"/>
                <w:sz w:val="19"/>
                <w:szCs w:val="19"/>
              </w:rPr>
              <w:t xml:space="preserve">11</w:t>
            </w:r>
          </w:p>
        </w:tc>
        <w:tc>
          <w:tcPr>
            <w:tcW w:type="dxa" w:w="32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Market / reference metadata</w:t>
            </w:r>
          </w:p>
        </w:tc>
        <w:tc>
          <w:tcPr>
            <w:tcW w:type="dxa" w:w="5640"/>
            <w:shd w:fill="FFFFFF" w:color="auto" w:val="clear"/>
            <w:tcMar>
              <w:top w:type="dxa" w:w="60"/>
              <w:left w:type="dxa" w:w="90"/>
              <w:bottom w:type="dxa" w:w="60"/>
              <w:right w:type="dxa" w:w="90"/>
            </w:tcMar>
          </w:tcPr>
          <w:p>
            <w:pPr>
              <w:spacing w:after="0" w:line="240"/>
              <w:jc w:val="left"/>
            </w:pPr>
            <w:r>
              <w:rPr>
                <w:rFonts w:ascii="Calibri" w:cs="Calibri" w:eastAsia="Calibri" w:hAnsi="Calibri"/>
                <w:sz w:val="18"/>
                <w:szCs w:val="18"/>
              </w:rPr>
              <w:t xml:space="preserve">All four (market status, exchanges, symbol search).</w:t>
            </w:r>
          </w:p>
        </w:tc>
      </w:tr>
    </w:tbl>
    <w:p>
      <w:pPr>
        <w:spacing w:before="100"/>
      </w:pPr>
      <w:r>
        <w:rPr>
          <w:rFonts w:ascii="Calibri" w:cs="Calibri" w:eastAsia="Calibri" w:hAnsi="Calibri"/>
          <w:b/>
          <w:bCs/>
          <w:color w:val="1F3B57"/>
          <w:sz w:val="21"/>
          <w:szCs w:val="21"/>
        </w:rPr>
        <w:t xml:space="preserve">Takeaway.  </w:t>
      </w:r>
      <w:r>
        <w:rPr>
          <w:rFonts w:ascii="Calibri" w:cs="Calibri" w:eastAsia="Calibri" w:hAnsi="Calibri"/>
          <w:color w:val="23303B"/>
          <w:sz w:val="21"/>
          <w:szCs w:val="21"/>
        </w:rPr>
        <w:t xml:space="preserve">All four can serve quotes, bars, the ticker universe, fundamentals, corporate actions, IPOs, news and indicators. Differentiation lies entirely in real-time delivery, fundamentals depth, alternative data and cost — not the basic catalog.</w:t>
      </w:r>
    </w:p>
    <w:p>
      <w:r>
        <w:br w:type="page"/>
      </w:r>
    </w:p>
    <w:p>
      <w:pPr>
        <w:pStyle w:val="Heading1"/>
        <w:pBdr>
          <w:bottom w:val="single" w:color="C9A227" w:sz="10" w:space="6"/>
        </w:pBdr>
        <w:spacing w:after="140" w:before="320"/>
      </w:pPr>
      <w:r>
        <w:rPr>
          <w:rFonts w:ascii="Calibri" w:cs="Calibri" w:eastAsia="Calibri" w:hAnsi="Calibri"/>
          <w:b/>
          <w:bCs/>
          <w:color w:val="1F3B57"/>
          <w:sz w:val="30"/>
          <w:szCs w:val="30"/>
        </w:rPr>
        <w:t xml:space="preserve">3.  Unique &amp; Standout Features</w:t>
      </w:r>
    </w:p>
    <w:p>
      <w:pPr>
        <w:spacing w:after="80" w:before="200"/>
      </w:pPr>
      <w:r>
        <w:rPr>
          <w:rFonts w:ascii="Calibri" w:cs="Calibri" w:eastAsia="Calibri" w:hAnsi="Calibri"/>
          <w:b/>
          <w:bCs/>
          <w:color w:val="1F3B57"/>
          <w:sz w:val="24"/>
          <w:szCs w:val="24"/>
        </w:rPr>
        <w:t xml:space="preserve">Polygon  (massive.com)</w:t>
      </w:r>
      <w:r>
        <w:rPr>
          <w:rFonts w:ascii="Calibri" w:cs="Calibri" w:eastAsia="Calibri" w:hAnsi="Calibri"/>
          <w:b/>
          <w:bCs/>
          <w:color w:val="6A3FA0"/>
          <w:sz w:val="18"/>
          <w:szCs w:val="18"/>
        </w:rPr>
        <w:t xml:space="preserve">   the real-time tape</w:t>
      </w:r>
    </w:p>
    <w:p>
      <w:pPr>
        <w:pStyle w:val="ListParagraph"/>
        <w:numPr>
          <w:ilvl w:val="0"/>
          <w:numId w:val="2"/>
        </w:numPr>
        <w:spacing w:after="80" w:line="264"/>
      </w:pPr>
      <w:r>
        <w:rPr>
          <w:rFonts w:ascii="Calibri" w:cs="Calibri" w:eastAsia="Calibri" w:hAnsi="Calibri"/>
          <w:b/>
          <w:bCs/>
          <w:color w:val="23303B"/>
          <w:sz w:val="20"/>
          <w:szCs w:val="20"/>
        </w:rPr>
        <w:t xml:space="preserve">Tick-level trade + quote + per-second / per-minute aggregate WebSocket</w:t>
      </w:r>
      <w:r>
        <w:rPr>
          <w:rFonts w:ascii="Calibri" w:cs="Calibri" w:eastAsia="Calibri" w:hAnsi="Calibri"/>
          <w:color w:val="3A4650"/>
          <w:sz w:val="20"/>
          <w:szCs w:val="20"/>
        </w:rPr>
        <w:t xml:space="preserve"> — the most granular streaming of the four; subscribe per-ticker or “*” for the entire market</w:t>
      </w:r>
    </w:p>
    <w:p>
      <w:pPr>
        <w:pStyle w:val="ListParagraph"/>
        <w:numPr>
          <w:ilvl w:val="0"/>
          <w:numId w:val="2"/>
        </w:numPr>
        <w:spacing w:after="80" w:line="264"/>
      </w:pPr>
      <w:r>
        <w:rPr>
          <w:rFonts w:ascii="Calibri" w:cs="Calibri" w:eastAsia="Calibri" w:hAnsi="Calibri"/>
          <w:b/>
          <w:bCs/>
          <w:color w:val="23303B"/>
          <w:sz w:val="20"/>
          <w:szCs w:val="20"/>
        </w:rPr>
        <w:t xml:space="preserve">Full-Market Snapshot</w:t>
      </w:r>
      <w:r>
        <w:rPr>
          <w:rFonts w:ascii="Calibri" w:cs="Calibri" w:eastAsia="Calibri" w:hAnsi="Calibri"/>
          <w:color w:val="3A4650"/>
          <w:sz w:val="20"/>
          <w:szCs w:val="20"/>
        </w:rPr>
        <w:t xml:space="preserve"> — every ticker’s state in a single call</w:t>
      </w:r>
    </w:p>
    <w:p>
      <w:pPr>
        <w:pStyle w:val="ListParagraph"/>
        <w:numPr>
          <w:ilvl w:val="0"/>
          <w:numId w:val="2"/>
        </w:numPr>
        <w:spacing w:after="80" w:line="264"/>
      </w:pPr>
      <w:r>
        <w:rPr>
          <w:rFonts w:ascii="Calibri" w:cs="Calibri" w:eastAsia="Calibri" w:hAnsi="Calibri"/>
          <w:b/>
          <w:bCs/>
          <w:color w:val="23303B"/>
          <w:sz w:val="20"/>
          <w:szCs w:val="20"/>
        </w:rPr>
        <w:t xml:space="preserve">50,000 bars per request</w:t>
      </w:r>
      <w:r>
        <w:rPr>
          <w:rFonts w:ascii="Calibri" w:cs="Calibri" w:eastAsia="Calibri" w:hAnsi="Calibri"/>
          <w:color w:val="3A4650"/>
          <w:sz w:val="20"/>
          <w:szCs w:val="20"/>
        </w:rPr>
        <w:t xml:space="preserve"> — history back to 2003-09-10</w:t>
      </w:r>
    </w:p>
    <w:p>
      <w:pPr>
        <w:pStyle w:val="ListParagraph"/>
        <w:numPr>
          <w:ilvl w:val="0"/>
          <w:numId w:val="2"/>
        </w:numPr>
        <w:spacing w:after="80" w:line="264"/>
      </w:pPr>
      <w:r>
        <w:rPr>
          <w:rFonts w:ascii="Calibri" w:cs="Calibri" w:eastAsia="Calibri" w:hAnsi="Calibri"/>
          <w:b/>
          <w:bCs/>
          <w:color w:val="23303B"/>
          <w:sz w:val="20"/>
          <w:szCs w:val="20"/>
        </w:rPr>
        <w:t xml:space="preserve">Unlimited API request rate on all paid tiers</w:t>
      </w:r>
      <w:r>
        <w:rPr>
          <w:rFonts w:ascii="Calibri" w:cs="Calibri" w:eastAsia="Calibri" w:hAnsi="Calibri"/>
          <w:color w:val="3A4650"/>
          <w:sz w:val="20"/>
          <w:szCs w:val="20"/>
        </w:rPr>
        <w:t xml:space="preserve"> — no per-minute throttle</w:t>
      </w:r>
    </w:p>
    <w:p>
      <w:pPr>
        <w:pStyle w:val="ListParagraph"/>
        <w:numPr>
          <w:ilvl w:val="0"/>
          <w:numId w:val="2"/>
        </w:numPr>
        <w:spacing w:after="80" w:line="264"/>
      </w:pPr>
      <w:r>
        <w:rPr>
          <w:rFonts w:ascii="Calibri" w:cs="Calibri" w:eastAsia="Calibri" w:hAnsi="Calibri"/>
          <w:b/>
          <w:bCs/>
          <w:color w:val="23303B"/>
          <w:sz w:val="20"/>
          <w:szCs w:val="20"/>
        </w:rPr>
        <w:t xml:space="preserve">SEC-filing-linked financials</w:t>
      </w:r>
      <w:r>
        <w:rPr>
          <w:rFonts w:ascii="Calibri" w:cs="Calibri" w:eastAsia="Calibri" w:hAnsi="Calibri"/>
          <w:color w:val="3A4650"/>
          <w:sz w:val="20"/>
          <w:szCs w:val="20"/>
        </w:rPr>
        <w:t xml:space="preserve"> — CIK-mapped, with trailing-twelve-month periods</w:t>
      </w:r>
    </w:p>
    <w:p>
      <w:pPr>
        <w:spacing w:after="60" w:before="40"/>
      </w:pPr>
      <w:r>
        <w:rPr>
          <w:rFonts w:ascii="Calibri" w:cs="Calibri" w:eastAsia="Calibri" w:hAnsi="Calibri"/>
          <w:b/>
          <w:bCs/>
          <w:color w:val="B03A3A"/>
          <w:sz w:val="19"/>
          <w:szCs w:val="19"/>
        </w:rPr>
        <w:t xml:space="preserve">Weaknesses:  </w:t>
      </w:r>
      <w:r>
        <w:rPr>
          <w:rFonts w:ascii="Calibri" w:cs="Calibri" w:eastAsia="Calibri" w:hAnsi="Calibri"/>
          <w:i/>
          <w:iCs/>
          <w:color w:val="5A6672"/>
          <w:sz w:val="19"/>
          <w:szCs w:val="19"/>
        </w:rPr>
        <w:t xml:space="preserve">no first-class sector-performance endpoint; ratios thinner; real-time gated to the $199/mo Advanced tier.</w:t>
      </w:r>
    </w:p>
    <w:p>
      <w:pPr>
        <w:spacing w:after="80" w:before="200"/>
      </w:pPr>
      <w:r>
        <w:rPr>
          <w:rFonts w:ascii="Calibri" w:cs="Calibri" w:eastAsia="Calibri" w:hAnsi="Calibri"/>
          <w:b/>
          <w:bCs/>
          <w:color w:val="1F3B57"/>
          <w:sz w:val="24"/>
          <w:szCs w:val="24"/>
        </w:rPr>
        <w:t xml:space="preserve">FMP  (Financial Modeling Prep)</w:t>
      </w:r>
      <w:r>
        <w:rPr>
          <w:rFonts w:ascii="Calibri" w:cs="Calibri" w:eastAsia="Calibri" w:hAnsi="Calibri"/>
          <w:b/>
          <w:bCs/>
          <w:color w:val="2E6DA4"/>
          <w:sz w:val="18"/>
          <w:szCs w:val="18"/>
        </w:rPr>
        <w:t xml:space="preserve">   the fundamentals &amp; analysis powerhouse</w:t>
      </w:r>
    </w:p>
    <w:p>
      <w:pPr>
        <w:pStyle w:val="ListParagraph"/>
        <w:numPr>
          <w:ilvl w:val="0"/>
          <w:numId w:val="2"/>
        </w:numPr>
        <w:spacing w:after="80" w:line="264"/>
      </w:pPr>
      <w:r>
        <w:rPr>
          <w:rFonts w:ascii="Calibri" w:cs="Calibri" w:eastAsia="Calibri" w:hAnsi="Calibri"/>
          <w:b/>
          <w:bCs/>
          <w:color w:val="23303B"/>
          <w:sz w:val="20"/>
          <w:szCs w:val="20"/>
        </w:rPr>
        <w:t xml:space="preserve">Deepest fundamentals suite</w:t>
      </w:r>
      <w:r>
        <w:rPr>
          <w:rFonts w:ascii="Calibri" w:cs="Calibri" w:eastAsia="Calibri" w:hAnsi="Calibri"/>
          <w:color w:val="3A4650"/>
          <w:sz w:val="20"/>
          <w:szCs w:val="20"/>
        </w:rPr>
        <w:t xml:space="preserve"> — DCF, Levered &amp; custom DCF, Altman Z-Score, Piotroski Score, owner earnings, revenue segmentation (product + geographic), key metrics TTM, growth</w:t>
      </w:r>
    </w:p>
    <w:p>
      <w:pPr>
        <w:pStyle w:val="ListParagraph"/>
        <w:numPr>
          <w:ilvl w:val="0"/>
          <w:numId w:val="2"/>
        </w:numPr>
        <w:spacing w:after="80" w:line="264"/>
      </w:pPr>
      <w:r>
        <w:rPr>
          <w:rFonts w:ascii="Calibri" w:cs="Calibri" w:eastAsia="Calibri" w:hAnsi="Calibri"/>
          <w:b/>
          <w:bCs/>
          <w:color w:val="23303B"/>
          <w:sz w:val="20"/>
          <w:szCs w:val="20"/>
        </w:rPr>
        <w:t xml:space="preserve">Sector &amp; Industry performance + Sector/Industry P/E, current &amp; historical</w:t>
      </w:r>
      <w:r>
        <w:rPr>
          <w:rFonts w:ascii="Calibri" w:cs="Calibri" w:eastAsia="Calibri" w:hAnsi="Calibri"/>
          <w:color w:val="3A4650"/>
          <w:sz w:val="20"/>
          <w:szCs w:val="20"/>
        </w:rPr>
        <w:t xml:space="preserve"> — no competitor offers this as a first-class feature</w:t>
      </w:r>
    </w:p>
    <w:p>
      <w:pPr>
        <w:pStyle w:val="ListParagraph"/>
        <w:numPr>
          <w:ilvl w:val="0"/>
          <w:numId w:val="2"/>
        </w:numPr>
        <w:spacing w:after="80" w:line="264"/>
      </w:pPr>
      <w:r>
        <w:rPr>
          <w:rFonts w:ascii="Calibri" w:cs="Calibri" w:eastAsia="Calibri" w:hAnsi="Calibri"/>
          <w:b/>
          <w:bCs/>
          <w:color w:val="23303B"/>
          <w:sz w:val="20"/>
          <w:szCs w:val="20"/>
        </w:rPr>
        <w:t xml:space="preserve">Earnings-call transcripts + earnings surprises</w:t>
      </w:r>
    </w:p>
    <w:p>
      <w:pPr>
        <w:pStyle w:val="ListParagraph"/>
        <w:numPr>
          <w:ilvl w:val="0"/>
          <w:numId w:val="2"/>
        </w:numPr>
        <w:spacing w:after="80" w:line="264"/>
      </w:pPr>
      <w:r>
        <w:rPr>
          <w:rFonts w:ascii="Calibri" w:cs="Calibri" w:eastAsia="Calibri" w:hAnsi="Calibri"/>
          <w:b/>
          <w:bCs/>
          <w:color w:val="23303B"/>
          <w:sz w:val="20"/>
          <w:szCs w:val="20"/>
        </w:rPr>
        <w:t xml:space="preserve">Stock screener with rich filters; search by CUSIP / ISIN / CIK</w:t>
      </w:r>
    </w:p>
    <w:p>
      <w:pPr>
        <w:pStyle w:val="ListParagraph"/>
        <w:numPr>
          <w:ilvl w:val="0"/>
          <w:numId w:val="2"/>
        </w:numPr>
        <w:spacing w:after="80" w:line="264"/>
      </w:pPr>
      <w:r>
        <w:rPr>
          <w:rFonts w:ascii="Calibri" w:cs="Calibri" w:eastAsia="Calibri" w:hAnsi="Calibri"/>
          <w:b/>
          <w:bCs/>
          <w:color w:val="23303B"/>
          <w:sz w:val="20"/>
          <w:szCs w:val="20"/>
        </w:rPr>
        <w:t xml:space="preserve">Up to 30 years of statement history</w:t>
      </w:r>
    </w:p>
    <w:p>
      <w:pPr>
        <w:spacing w:after="60" w:before="40"/>
      </w:pPr>
      <w:r>
        <w:rPr>
          <w:rFonts w:ascii="Calibri" w:cs="Calibri" w:eastAsia="Calibri" w:hAnsi="Calibri"/>
          <w:b/>
          <w:bCs/>
          <w:color w:val="B03A3A"/>
          <w:sz w:val="19"/>
          <w:szCs w:val="19"/>
        </w:rPr>
        <w:t xml:space="preserve">Weaknesses:  </w:t>
      </w:r>
      <w:r>
        <w:rPr>
          <w:rFonts w:ascii="Calibri" w:cs="Calibri" w:eastAsia="Calibri" w:hAnsi="Calibri"/>
          <w:i/>
          <w:iCs/>
          <w:color w:val="5A6672"/>
          <w:sz w:val="19"/>
          <w:szCs w:val="19"/>
        </w:rPr>
        <w:t xml:space="preserve">WebSocket is legacy-flagged, one connection per account, top-tier + declaration form; plan names and pricing recently in flux.</w:t>
      </w:r>
    </w:p>
    <w:p>
      <w:pPr>
        <w:spacing w:after="80" w:before="200"/>
      </w:pPr>
      <w:r>
        <w:rPr>
          <w:rFonts w:ascii="Calibri" w:cs="Calibri" w:eastAsia="Calibri" w:hAnsi="Calibri"/>
          <w:b/>
          <w:bCs/>
          <w:color w:val="1F3B57"/>
          <w:sz w:val="24"/>
          <w:szCs w:val="24"/>
        </w:rPr>
        <w:t xml:space="preserve">Finnhub</w:t>
      </w:r>
      <w:r>
        <w:rPr>
          <w:rFonts w:ascii="Calibri" w:cs="Calibri" w:eastAsia="Calibri" w:hAnsi="Calibri"/>
          <w:b/>
          <w:bCs/>
          <w:color w:val="2E7D32"/>
          <w:sz w:val="18"/>
          <w:szCs w:val="18"/>
        </w:rPr>
        <w:t xml:space="preserve">   news &amp; alternative data</w:t>
      </w:r>
    </w:p>
    <w:p>
      <w:pPr>
        <w:pStyle w:val="ListParagraph"/>
        <w:numPr>
          <w:ilvl w:val="0"/>
          <w:numId w:val="2"/>
        </w:numPr>
        <w:spacing w:after="80" w:line="264"/>
      </w:pPr>
      <w:r>
        <w:rPr>
          <w:rFonts w:ascii="Calibri" w:cs="Calibri" w:eastAsia="Calibri" w:hAnsi="Calibri"/>
          <w:b/>
          <w:bCs/>
          <w:color w:val="23303B"/>
          <w:sz w:val="20"/>
          <w:szCs w:val="20"/>
        </w:rPr>
        <w:t xml:space="preserve">Real-time trade WebSocket on the FREE tier (≤50 symbols)</w:t>
      </w:r>
      <w:r>
        <w:rPr>
          <w:rFonts w:ascii="Calibri" w:cs="Calibri" w:eastAsia="Calibri" w:hAnsi="Calibri"/>
          <w:color w:val="3A4650"/>
          <w:sz w:val="20"/>
          <w:szCs w:val="20"/>
        </w:rPr>
        <w:t xml:space="preserve"> — unique free real-time streaming</w:t>
      </w:r>
    </w:p>
    <w:p>
      <w:pPr>
        <w:pStyle w:val="ListParagraph"/>
        <w:numPr>
          <w:ilvl w:val="0"/>
          <w:numId w:val="2"/>
        </w:numPr>
        <w:spacing w:after="80" w:line="264"/>
      </w:pPr>
      <w:r>
        <w:rPr>
          <w:rFonts w:ascii="Calibri" w:cs="Calibri" w:eastAsia="Calibri" w:hAnsi="Calibri"/>
          <w:b/>
          <w:bCs/>
          <w:color w:val="23303B"/>
          <w:sz w:val="20"/>
          <w:szCs w:val="20"/>
        </w:rPr>
        <w:t xml:space="preserve">Best news &amp; alternative data</w:t>
      </w:r>
      <w:r>
        <w:rPr>
          <w:rFonts w:ascii="Calibri" w:cs="Calibri" w:eastAsia="Calibri" w:hAnsi="Calibri"/>
          <w:color w:val="3A4650"/>
          <w:sz w:val="20"/>
          <w:szCs w:val="20"/>
        </w:rPr>
        <w:t xml:space="preserve"> — social &amp; news sentiment, insider transactions, congressional/senate trading, lobbying, patents, visa applications, supply-chain</w:t>
      </w:r>
    </w:p>
    <w:p>
      <w:pPr>
        <w:pStyle w:val="ListParagraph"/>
        <w:numPr>
          <w:ilvl w:val="0"/>
          <w:numId w:val="2"/>
        </w:numPr>
        <w:spacing w:after="80" w:line="264"/>
      </w:pPr>
      <w:r>
        <w:rPr>
          <w:rFonts w:ascii="Calibri" w:cs="Calibri" w:eastAsia="Calibri" w:hAnsi="Calibri"/>
          <w:b/>
          <w:bCs/>
          <w:color w:val="23303B"/>
          <w:sz w:val="20"/>
          <w:szCs w:val="20"/>
        </w:rPr>
        <w:t xml:space="preserve">Analyst layer</w:t>
      </w:r>
      <w:r>
        <w:rPr>
          <w:rFonts w:ascii="Calibri" w:cs="Calibri" w:eastAsia="Calibri" w:hAnsi="Calibri"/>
          <w:color w:val="3A4650"/>
          <w:sz w:val="20"/>
          <w:szCs w:val="20"/>
        </w:rPr>
        <w:t xml:space="preserve"> — recommendation trends, price targets, EPS estimates, earnings surprises</w:t>
      </w:r>
    </w:p>
    <w:p>
      <w:pPr>
        <w:pStyle w:val="ListParagraph"/>
        <w:numPr>
          <w:ilvl w:val="0"/>
          <w:numId w:val="2"/>
        </w:numPr>
        <w:spacing w:after="80" w:line="264"/>
      </w:pPr>
      <w:r>
        <w:rPr>
          <w:rFonts w:ascii="Calibri" w:cs="Calibri" w:eastAsia="Calibri" w:hAnsi="Calibri"/>
          <w:b/>
          <w:bCs/>
          <w:color w:val="23303B"/>
          <w:sz w:val="20"/>
          <w:szCs w:val="20"/>
        </w:rPr>
        <w:t xml:space="preserve">Institutional / fund ownership</w:t>
      </w:r>
    </w:p>
    <w:p>
      <w:pPr>
        <w:spacing w:after="60" w:before="40"/>
      </w:pPr>
      <w:r>
        <w:rPr>
          <w:rFonts w:ascii="Calibri" w:cs="Calibri" w:eastAsia="Calibri" w:hAnsi="Calibri"/>
          <w:b/>
          <w:bCs/>
          <w:color w:val="B03A3A"/>
          <w:sz w:val="19"/>
          <w:szCs w:val="19"/>
        </w:rPr>
        <w:t xml:space="preserve">Weaknesses:  </w:t>
      </w:r>
      <w:r>
        <w:rPr>
          <w:rFonts w:ascii="Calibri" w:cs="Calibri" w:eastAsia="Calibri" w:hAnsi="Calibri"/>
          <w:i/>
          <w:iCs/>
          <w:color w:val="5A6672"/>
          <w:sz w:val="19"/>
          <w:szCs w:val="19"/>
        </w:rPr>
        <w:t xml:space="preserve">candles paywalled (free keys return 403); NO market-movers endpoint at all; free tier is non-commercial; modular pricing stacks up.</w:t>
      </w:r>
    </w:p>
    <w:p>
      <w:pPr>
        <w:spacing w:after="80" w:before="200"/>
      </w:pPr>
      <w:r>
        <w:rPr>
          <w:rFonts w:ascii="Calibri" w:cs="Calibri" w:eastAsia="Calibri" w:hAnsi="Calibri"/>
          <w:b/>
          <w:bCs/>
          <w:color w:val="1F3B57"/>
          <w:sz w:val="24"/>
          <w:szCs w:val="24"/>
        </w:rPr>
        <w:t xml:space="preserve">Alpha Vantage</w:t>
      </w:r>
      <w:r>
        <w:rPr>
          <w:rFonts w:ascii="Calibri" w:cs="Calibri" w:eastAsia="Calibri" w:hAnsi="Calibri"/>
          <w:b/>
          <w:bCs/>
          <w:color w:val="C77C2A"/>
          <w:sz w:val="18"/>
          <w:szCs w:val="18"/>
        </w:rPr>
        <w:t xml:space="preserve">   indicators, options &amp; analytics</w:t>
      </w:r>
    </w:p>
    <w:p>
      <w:pPr>
        <w:pStyle w:val="ListParagraph"/>
        <w:numPr>
          <w:ilvl w:val="0"/>
          <w:numId w:val="2"/>
        </w:numPr>
        <w:spacing w:after="80" w:line="264"/>
      </w:pPr>
      <w:r>
        <w:rPr>
          <w:rFonts w:ascii="Calibri" w:cs="Calibri" w:eastAsia="Calibri" w:hAnsi="Calibri"/>
          <w:b/>
          <w:bCs/>
          <w:color w:val="23303B"/>
          <w:sz w:val="20"/>
          <w:szCs w:val="20"/>
        </w:rPr>
        <w:t xml:space="preserve">50+ server-side technical indicators</w:t>
      </w:r>
      <w:r>
        <w:rPr>
          <w:rFonts w:ascii="Calibri" w:cs="Calibri" w:eastAsia="Calibri" w:hAnsi="Calibri"/>
          <w:color w:val="3A4650"/>
          <w:sz w:val="20"/>
          <w:szCs w:val="20"/>
        </w:rPr>
        <w:t xml:space="preserve"> — by far the most extensive library</w:t>
      </w:r>
    </w:p>
    <w:p>
      <w:pPr>
        <w:pStyle w:val="ListParagraph"/>
        <w:numPr>
          <w:ilvl w:val="0"/>
          <w:numId w:val="2"/>
        </w:numPr>
        <w:spacing w:after="80" w:line="264"/>
      </w:pPr>
      <w:r>
        <w:rPr>
          <w:rFonts w:ascii="Calibri" w:cs="Calibri" w:eastAsia="Calibri" w:hAnsi="Calibri"/>
          <w:b/>
          <w:bCs/>
          <w:color w:val="23303B"/>
          <w:sz w:val="20"/>
          <w:szCs w:val="20"/>
        </w:rPr>
        <w:t xml:space="preserve">Options data with Greeks + put-call ratios + volume-to-OI</w:t>
      </w:r>
      <w:r>
        <w:rPr>
          <w:rFonts w:ascii="Calibri" w:cs="Calibri" w:eastAsia="Calibri" w:hAnsi="Calibri"/>
          <w:color w:val="3A4650"/>
          <w:sz w:val="20"/>
          <w:szCs w:val="20"/>
        </w:rPr>
        <w:t xml:space="preserve"> — real-time &amp; historical — the strongest options coverage</w:t>
      </w:r>
    </w:p>
    <w:p>
      <w:pPr>
        <w:pStyle w:val="ListParagraph"/>
        <w:numPr>
          <w:ilvl w:val="0"/>
          <w:numId w:val="2"/>
        </w:numPr>
        <w:spacing w:after="80" w:line="264"/>
      </w:pPr>
      <w:r>
        <w:rPr>
          <w:rFonts w:ascii="Calibri" w:cs="Calibri" w:eastAsia="Calibri" w:hAnsi="Calibri"/>
          <w:b/>
          <w:bCs/>
          <w:color w:val="23303B"/>
          <w:sz w:val="20"/>
          <w:szCs w:val="20"/>
        </w:rPr>
        <w:t xml:space="preserve">Built-in analytics windows</w:t>
      </w:r>
      <w:r>
        <w:rPr>
          <w:rFonts w:ascii="Calibri" w:cs="Calibri" w:eastAsia="Calibri" w:hAnsi="Calibri"/>
          <w:color w:val="3A4650"/>
          <w:sz w:val="20"/>
          <w:szCs w:val="20"/>
        </w:rPr>
        <w:t xml:space="preserve"> — correlation, variance, drawdown (fixed &amp; sliding window)</w:t>
      </w:r>
    </w:p>
    <w:p>
      <w:pPr>
        <w:pStyle w:val="ListParagraph"/>
        <w:numPr>
          <w:ilvl w:val="0"/>
          <w:numId w:val="2"/>
        </w:numPr>
        <w:spacing w:after="80" w:line="264"/>
      </w:pPr>
      <w:r>
        <w:rPr>
          <w:rFonts w:ascii="Calibri" w:cs="Calibri" w:eastAsia="Calibri" w:hAnsi="Calibri"/>
          <w:b/>
          <w:bCs/>
          <w:color w:val="23303B"/>
          <w:sz w:val="20"/>
          <w:szCs w:val="20"/>
        </w:rPr>
        <w:t xml:space="preserve">One API spanning macro/economic, commodities, FX, crypto and indices</w:t>
      </w:r>
      <w:r>
        <w:rPr>
          <w:rFonts w:ascii="Calibri" w:cs="Calibri" w:eastAsia="Calibri" w:hAnsi="Calibri"/>
          <w:color w:val="3A4650"/>
          <w:sz w:val="20"/>
          <w:szCs w:val="20"/>
        </w:rPr>
        <w:t xml:space="preserve"> — S&amp;P, VIX, Russell and 195+ more</w:t>
      </w:r>
    </w:p>
    <w:p>
      <w:pPr>
        <w:pStyle w:val="ListParagraph"/>
        <w:numPr>
          <w:ilvl w:val="0"/>
          <w:numId w:val="2"/>
        </w:numPr>
        <w:spacing w:after="80" w:line="264"/>
      </w:pPr>
      <w:r>
        <w:rPr>
          <w:rFonts w:ascii="Calibri" w:cs="Calibri" w:eastAsia="Calibri" w:hAnsi="Calibri"/>
          <w:b/>
          <w:bCs/>
          <w:color w:val="23303B"/>
          <w:sz w:val="20"/>
          <w:szCs w:val="20"/>
        </w:rPr>
        <w:t xml:space="preserve">Insider transactions, institutional holdings, earnings transcripts</w:t>
      </w:r>
      <w:r>
        <w:rPr>
          <w:rFonts w:ascii="Calibri" w:cs="Calibri" w:eastAsia="Calibri" w:hAnsi="Calibri"/>
          <w:color w:val="3A4650"/>
          <w:sz w:val="20"/>
          <w:szCs w:val="20"/>
        </w:rPr>
        <w:t xml:space="preserve"> — intraday history back to 2000</w:t>
      </w:r>
    </w:p>
    <w:p>
      <w:pPr>
        <w:spacing w:after="60" w:before="40"/>
      </w:pPr>
      <w:r>
        <w:rPr>
          <w:rFonts w:ascii="Calibri" w:cs="Calibri" w:eastAsia="Calibri" w:hAnsi="Calibri"/>
          <w:b/>
          <w:bCs/>
          <w:color w:val="B03A3A"/>
          <w:sz w:val="19"/>
          <w:szCs w:val="19"/>
        </w:rPr>
        <w:t xml:space="preserve">Weaknesses:  </w:t>
      </w:r>
      <w:r>
        <w:rPr>
          <w:rFonts w:ascii="Calibri" w:cs="Calibri" w:eastAsia="Calibri" w:hAnsi="Calibri"/>
          <w:i/>
          <w:iCs/>
          <w:color w:val="5A6672"/>
          <w:sz w:val="19"/>
          <w:szCs w:val="19"/>
        </w:rPr>
        <w:t xml:space="preserve">no streaming at any price; free tier is 25 requests per day; real-time requires a separate exchange entitlement.</w:t>
      </w:r>
    </w:p>
    <w:p>
      <w:r>
        <w:br w:type="page"/>
      </w:r>
    </w:p>
    <w:p>
      <w:pPr>
        <w:pStyle w:val="Heading1"/>
        <w:pBdr>
          <w:bottom w:val="single" w:color="C9A227" w:sz="10" w:space="6"/>
        </w:pBdr>
        <w:spacing w:after="140" w:before="320"/>
      </w:pPr>
      <w:r>
        <w:rPr>
          <w:rFonts w:ascii="Calibri" w:cs="Calibri" w:eastAsia="Calibri" w:hAnsi="Calibri"/>
          <w:b/>
          <w:bCs/>
          <w:color w:val="1F3B57"/>
          <w:sz w:val="30"/>
          <w:szCs w:val="30"/>
        </w:rPr>
        <w:t xml:space="preserve">4.  Scorecard</w:t>
      </w:r>
    </w:p>
    <w:p>
      <w:pPr>
        <w:spacing w:after="140" w:line="276"/>
      </w:pPr>
      <w:r>
        <w:rPr>
          <w:rFonts w:ascii="Calibri" w:cs="Calibri" w:eastAsia="Calibri" w:hAnsi="Calibri"/>
          <w:color w:val="23303B"/>
          <w:sz w:val="21"/>
          <w:szCs w:val="21"/>
        </w:rPr>
        <w:t xml:space="preserve">Each dimension is scored out of 10 from the documented capabilities. The winning provider in every row is highlighted.</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3060"/>
        <w:gridCol w:w="1575"/>
        <w:gridCol w:w="1575"/>
        <w:gridCol w:w="1575"/>
        <w:gridCol w:w="1575"/>
      </w:tblGrid>
      <w:tr>
        <w:trPr>
          <w:tblHeader/>
        </w:trPr>
        <w:tc>
          <w:tcPr>
            <w:tcW w:type="dxa" w:w="306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Dimension</w:t>
            </w:r>
          </w:p>
        </w:tc>
        <w:tc>
          <w:tcPr>
            <w:tcW w:type="dxa" w:w="1575"/>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Polygon</w:t>
            </w:r>
          </w:p>
        </w:tc>
        <w:tc>
          <w:tcPr>
            <w:tcW w:type="dxa" w:w="1575"/>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FMP</w:t>
            </w:r>
          </w:p>
        </w:tc>
        <w:tc>
          <w:tcPr>
            <w:tcW w:type="dxa" w:w="1575"/>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Finnhub</w:t>
            </w:r>
          </w:p>
        </w:tc>
        <w:tc>
          <w:tcPr>
            <w:tcW w:type="dxa" w:w="1575"/>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Alpha V.</w:t>
            </w:r>
          </w:p>
        </w:tc>
      </w:tr>
      <w:tr>
        <w:tc>
          <w:tcPr>
            <w:tcW w:type="dxa" w:w="306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Real-time streaming</w:t>
            </w:r>
          </w:p>
        </w:tc>
        <w:tc>
          <w:tcPr>
            <w:tcW w:type="dxa" w:w="1575"/>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10</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5</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8</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B03A3A"/>
                <w:sz w:val="19"/>
                <w:szCs w:val="19"/>
              </w:rPr>
              <w:t xml:space="preserve">1</w:t>
            </w:r>
          </w:p>
        </w:tc>
      </w:tr>
      <w:tr>
        <w:tc>
          <w:tcPr>
            <w:tcW w:type="dxa" w:w="306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Market-data breadth (bars/snapshots/movers)</w:t>
            </w:r>
          </w:p>
        </w:tc>
        <w:tc>
          <w:tcPr>
            <w:tcW w:type="dxa" w:w="1575"/>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10</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8</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6</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6</w:t>
            </w:r>
          </w:p>
        </w:tc>
      </w:tr>
      <w:tr>
        <w:tc>
          <w:tcPr>
            <w:tcW w:type="dxa" w:w="306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Fundamentals depth</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6</w:t>
            </w:r>
          </w:p>
        </w:tc>
        <w:tc>
          <w:tcPr>
            <w:tcW w:type="dxa" w:w="1575"/>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10</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7</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6</w:t>
            </w:r>
          </w:p>
        </w:tc>
      </w:tr>
      <w:tr>
        <w:tc>
          <w:tcPr>
            <w:tcW w:type="dxa" w:w="306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Corporate actions &amp; calendars</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8</w:t>
            </w:r>
          </w:p>
        </w:tc>
        <w:tc>
          <w:tcPr>
            <w:tcW w:type="dxa" w:w="1575"/>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10</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8</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8</w:t>
            </w:r>
          </w:p>
        </w:tc>
      </w:tr>
      <w:tr>
        <w:tc>
          <w:tcPr>
            <w:tcW w:type="dxa" w:w="306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News / sentiment / alt-data</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6</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7</w:t>
            </w:r>
          </w:p>
        </w:tc>
        <w:tc>
          <w:tcPr>
            <w:tcW w:type="dxa" w:w="1575"/>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10</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8</w:t>
            </w:r>
          </w:p>
        </w:tc>
      </w:tr>
      <w:tr>
        <w:tc>
          <w:tcPr>
            <w:tcW w:type="dxa" w:w="306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Technical indicators &amp; analytics</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6</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7</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7</w:t>
            </w:r>
          </w:p>
        </w:tc>
        <w:tc>
          <w:tcPr>
            <w:tcW w:type="dxa" w:w="1575"/>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10</w:t>
            </w:r>
          </w:p>
        </w:tc>
      </w:tr>
      <w:tr>
        <w:tc>
          <w:tcPr>
            <w:tcW w:type="dxa" w:w="306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Rate limits / scalability</w:t>
            </w:r>
          </w:p>
        </w:tc>
        <w:tc>
          <w:tcPr>
            <w:tcW w:type="dxa" w:w="1575"/>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10</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8</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6</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B03A3A"/>
                <w:sz w:val="19"/>
                <w:szCs w:val="19"/>
              </w:rPr>
              <w:t xml:space="preserve">4</w:t>
            </w:r>
          </w:p>
        </w:tc>
      </w:tr>
      <w:tr>
        <w:tc>
          <w:tcPr>
            <w:tcW w:type="dxa" w:w="306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Cost efficiency</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5</w:t>
            </w:r>
          </w:p>
        </w:tc>
        <w:tc>
          <w:tcPr>
            <w:tcW w:type="dxa" w:w="1575"/>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9</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5</w:t>
            </w:r>
          </w:p>
        </w:tc>
        <w:tc>
          <w:tcPr>
            <w:tcW w:type="dxa" w:w="1575"/>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6</w:t>
            </w:r>
          </w:p>
        </w:tc>
      </w:tr>
      <w:tr>
        <w:tc>
          <w:tcPr>
            <w:tcW w:type="dxa" w:w="306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Production reliability</w:t>
            </w:r>
          </w:p>
        </w:tc>
        <w:tc>
          <w:tcPr>
            <w:tcW w:type="dxa" w:w="1575"/>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9</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7</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7</w:t>
            </w:r>
          </w:p>
        </w:tc>
        <w:tc>
          <w:tcPr>
            <w:tcW w:type="dxa" w:w="1575"/>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color w:val="23303B"/>
                <w:sz w:val="19"/>
                <w:szCs w:val="19"/>
              </w:rPr>
              <w:t xml:space="preserve">6</w:t>
            </w:r>
          </w:p>
        </w:tc>
      </w:tr>
      <w:tr>
        <w:tc>
          <w:tcPr>
            <w:tcW w:type="dxa" w:w="306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RAW TOTAL /90</w:t>
            </w:r>
          </w:p>
        </w:tc>
        <w:tc>
          <w:tcPr>
            <w:tcW w:type="dxa" w:w="1575"/>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70</w:t>
            </w:r>
          </w:p>
        </w:tc>
        <w:tc>
          <w:tcPr>
            <w:tcW w:type="dxa" w:w="1575"/>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71</w:t>
            </w:r>
          </w:p>
        </w:tc>
        <w:tc>
          <w:tcPr>
            <w:tcW w:type="dxa" w:w="1575"/>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64</w:t>
            </w:r>
          </w:p>
        </w:tc>
        <w:tc>
          <w:tcPr>
            <w:tcW w:type="dxa" w:w="1575"/>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55</w:t>
            </w:r>
          </w:p>
        </w:tc>
      </w:tr>
      <w:tr>
        <w:tc>
          <w:tcPr>
            <w:tcW w:type="dxa" w:w="3060"/>
            <w:shd w:fill="2E6DA4"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Normalized /10</w:t>
            </w:r>
          </w:p>
        </w:tc>
        <w:tc>
          <w:tcPr>
            <w:tcW w:type="dxa" w:w="1575"/>
            <w:shd w:fill="2E6DA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7.8</w:t>
            </w:r>
          </w:p>
        </w:tc>
        <w:tc>
          <w:tcPr>
            <w:tcW w:type="dxa" w:w="1575"/>
            <w:shd w:fill="2E6DA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7.9</w:t>
            </w:r>
          </w:p>
        </w:tc>
        <w:tc>
          <w:tcPr>
            <w:tcW w:type="dxa" w:w="1575"/>
            <w:shd w:fill="2E6DA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7.1</w:t>
            </w:r>
          </w:p>
        </w:tc>
        <w:tc>
          <w:tcPr>
            <w:tcW w:type="dxa" w:w="1575"/>
            <w:shd w:fill="2E6DA4"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6.1</w:t>
            </w:r>
          </w:p>
        </w:tc>
      </w:tr>
    </w:tbl>
    <w:p>
      <w:pPr>
        <w:pStyle w:val="Heading2"/>
        <w:spacing w:after="100" w:before="240"/>
      </w:pPr>
      <w:r>
        <w:rPr>
          <w:rFonts w:ascii="Calibri" w:cs="Calibri" w:eastAsia="Calibri" w:hAnsi="Calibri"/>
          <w:b/>
          <w:bCs/>
          <w:color w:val="2E6DA4"/>
          <w:sz w:val="24"/>
          <w:szCs w:val="24"/>
        </w:rPr>
        <w:t xml:space="preserve">Requirement-weighted score</w:t>
      </w:r>
    </w:p>
    <w:p>
      <w:pPr>
        <w:spacing w:after="140" w:line="276"/>
      </w:pPr>
      <w:r>
        <w:rPr>
          <w:rFonts w:ascii="Calibri" w:cs="Calibri" w:eastAsia="Calibri" w:hAnsi="Calibri"/>
          <w:color w:val="23303B"/>
          <w:sz w:val="21"/>
          <w:szCs w:val="21"/>
        </w:rPr>
        <w:t xml:space="preserve">Re-weighted toward what this application actually depends on: real-time streaming ×3, market breadth ×2, every other dimension ×1.</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4200"/>
        <w:gridCol w:w="2580"/>
        <w:gridCol w:w="2580"/>
      </w:tblGrid>
      <w:tr>
        <w:trPr>
          <w:tblHeader/>
        </w:trPr>
        <w:tc>
          <w:tcPr>
            <w:tcW w:type="dxa" w:w="420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Provider</w:t>
            </w:r>
          </w:p>
        </w:tc>
        <w:tc>
          <w:tcPr>
            <w:tcW w:type="dxa" w:w="258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Weighted score</w:t>
            </w:r>
          </w:p>
        </w:tc>
        <w:tc>
          <w:tcPr>
            <w:tcW w:type="dxa" w:w="258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Rank</w:t>
            </w:r>
          </w:p>
        </w:tc>
      </w:tr>
      <w:tr>
        <w:tc>
          <w:tcPr>
            <w:tcW w:type="dxa" w:w="4200"/>
            <w:shd w:fill="E6F0E6"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Polygon (massive.com)</w:t>
            </w:r>
          </w:p>
        </w:tc>
        <w:tc>
          <w:tcPr>
            <w:tcW w:type="dxa" w:w="2580"/>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9.0 / 10</w:t>
            </w:r>
          </w:p>
        </w:tc>
        <w:tc>
          <w:tcPr>
            <w:tcW w:type="dxa" w:w="2580"/>
            <w:shd w:fill="E6F0E6"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1st</w:t>
            </w:r>
          </w:p>
        </w:tc>
      </w:tr>
      <w:tr>
        <w:tc>
          <w:tcPr>
            <w:tcW w:type="dxa" w:w="4200"/>
            <w:shd w:fill="EEF2F6" w:color="auto" w:val="clear"/>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Finnhub</w:t>
            </w:r>
          </w:p>
        </w:tc>
        <w:tc>
          <w:tcPr>
            <w:tcW w:type="dxa" w:w="258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3303B"/>
                <w:sz w:val="19"/>
                <w:szCs w:val="19"/>
              </w:rPr>
              <w:t xml:space="preserve">7.0 / 10</w:t>
            </w:r>
          </w:p>
        </w:tc>
        <w:tc>
          <w:tcPr>
            <w:tcW w:type="dxa" w:w="2580"/>
            <w:shd w:fill="EEF2F6"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2nd</w:t>
            </w:r>
          </w:p>
        </w:tc>
      </w:tr>
      <w:tr>
        <w:tc>
          <w:tcPr>
            <w:tcW w:type="dxa" w:w="420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FMP</w:t>
            </w:r>
          </w:p>
        </w:tc>
        <w:tc>
          <w:tcPr>
            <w:tcW w:type="dxa" w:w="258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3303B"/>
                <w:sz w:val="19"/>
                <w:szCs w:val="19"/>
              </w:rPr>
              <w:t xml:space="preserve">6.9 / 10</w:t>
            </w:r>
          </w:p>
        </w:tc>
        <w:tc>
          <w:tcPr>
            <w:tcW w:type="dxa" w:w="2580"/>
            <w:shd w:fill="FFFFFF"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3rd</w:t>
            </w:r>
          </w:p>
        </w:tc>
      </w:tr>
      <w:tr>
        <w:tc>
          <w:tcPr>
            <w:tcW w:type="dxa" w:w="4200"/>
            <w:shd w:fill="EEF2F6" w:color="auto" w:val="clear"/>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Alpha Vantage</w:t>
            </w:r>
          </w:p>
        </w:tc>
        <w:tc>
          <w:tcPr>
            <w:tcW w:type="dxa" w:w="258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3303B"/>
                <w:sz w:val="19"/>
                <w:szCs w:val="19"/>
              </w:rPr>
              <w:t xml:space="preserve">4.8 / 10</w:t>
            </w:r>
          </w:p>
        </w:tc>
        <w:tc>
          <w:tcPr>
            <w:tcW w:type="dxa" w:w="2580"/>
            <w:shd w:fill="EEF2F6" w:color="auto" w:val="clear"/>
            <w:tcMar>
              <w:top w:type="dxa" w:w="60"/>
              <w:left w:type="dxa" w:w="90"/>
              <w:bottom w:type="dxa" w:w="60"/>
              <w:right w:type="dxa" w:w="90"/>
            </w:tcMar>
          </w:tcPr>
          <w:p>
            <w:pPr>
              <w:spacing w:after="0" w:line="240"/>
              <w:jc w:val="center"/>
            </w:pPr>
            <w:r>
              <w:rPr>
                <w:rFonts w:ascii="Calibri" w:cs="Calibri" w:eastAsia="Calibri" w:hAnsi="Calibri"/>
                <w:sz w:val="19"/>
                <w:szCs w:val="19"/>
              </w:rPr>
              <w:t xml:space="preserve">4th</w:t>
            </w:r>
          </w:p>
        </w:tc>
      </w:tr>
    </w:tbl>
    <w:p>
      <w:r>
        <w:br w:type="page"/>
      </w:r>
    </w:p>
    <w:p>
      <w:pPr>
        <w:pStyle w:val="Heading1"/>
        <w:pBdr>
          <w:bottom w:val="single" w:color="C9A227" w:sz="10" w:space="6"/>
        </w:pBdr>
        <w:spacing w:after="140" w:before="320"/>
      </w:pPr>
      <w:r>
        <w:rPr>
          <w:rFonts w:ascii="Calibri" w:cs="Calibri" w:eastAsia="Calibri" w:hAnsi="Calibri"/>
          <w:b/>
          <w:bCs/>
          <w:color w:val="1F3B57"/>
          <w:sz w:val="30"/>
          <w:szCs w:val="30"/>
        </w:rPr>
        <w:t xml:space="preserve">5.  Verdict &amp; Recommendation</w:t>
      </w:r>
    </w:p>
    <w:p>
      <w:pPr>
        <w:pStyle w:val="ListParagraph"/>
        <w:numPr>
          <w:ilvl w:val="0"/>
          <w:numId w:val="2"/>
        </w:numPr>
        <w:spacing w:after="80" w:line="264"/>
      </w:pPr>
      <w:r>
        <w:rPr>
          <w:rFonts w:ascii="Calibri" w:cs="Calibri" w:eastAsia="Calibri" w:hAnsi="Calibri"/>
          <w:b/>
          <w:bCs/>
          <w:sz w:val="21"/>
          <w:szCs w:val="21"/>
        </w:rPr>
        <w:t xml:space="preserve">On raw features, FMP (7.9) and Polygon (7.8) finish neck-and-neck</w:t>
      </w:r>
      <w:r>
        <w:rPr>
          <w:rFonts w:ascii="Calibri" w:cs="Calibri" w:eastAsia="Calibri" w:hAnsi="Calibri"/>
          <w:color w:val="23303B"/>
          <w:sz w:val="21"/>
          <w:szCs w:val="21"/>
        </w:rPr>
        <w:t xml:space="preserve"> — FMP wins on fundamentals, sectors and cost; Polygon wins on real-time, breadth and scalability.</w:t>
      </w:r>
    </w:p>
    <w:p>
      <w:pPr>
        <w:pStyle w:val="ListParagraph"/>
        <w:numPr>
          <w:ilvl w:val="0"/>
          <w:numId w:val="2"/>
        </w:numPr>
        <w:spacing w:after="80" w:line="264"/>
      </w:pPr>
      <w:r>
        <w:rPr>
          <w:rFonts w:ascii="Calibri" w:cs="Calibri" w:eastAsia="Calibri" w:hAnsi="Calibri"/>
          <w:b/>
          <w:bCs/>
          <w:sz w:val="21"/>
          <w:szCs w:val="21"/>
        </w:rPr>
        <w:t xml:space="preserve">On this application’s requirement, Polygon wins decisively (9.0)</w:t>
      </w:r>
      <w:r>
        <w:rPr>
          <w:rFonts w:ascii="Calibri" w:cs="Calibri" w:eastAsia="Calibri" w:hAnsi="Calibri"/>
          <w:color w:val="23303B"/>
          <w:sz w:val="21"/>
          <w:szCs w:val="21"/>
        </w:rPr>
        <w:t xml:space="preserve"> — it is the only provider with a true production-grade streaming tape.</w:t>
      </w:r>
    </w:p>
    <w:p>
      <w:pPr>
        <w:pStyle w:val="ListParagraph"/>
        <w:numPr>
          <w:ilvl w:val="0"/>
          <w:numId w:val="2"/>
        </w:numPr>
        <w:spacing w:after="80" w:line="264"/>
      </w:pPr>
      <w:r>
        <w:rPr>
          <w:rFonts w:ascii="Calibri" w:cs="Calibri" w:eastAsia="Calibri" w:hAnsi="Calibri"/>
          <w:b/>
          <w:bCs/>
          <w:sz w:val="21"/>
          <w:szCs w:val="21"/>
        </w:rPr>
        <w:t xml:space="preserve">Alpha Vantage ranks last for this use case</w:t>
      </w:r>
      <w:r>
        <w:rPr>
          <w:rFonts w:ascii="Calibri" w:cs="Calibri" w:eastAsia="Calibri" w:hAnsi="Calibri"/>
          <w:color w:val="23303B"/>
          <w:sz w:val="21"/>
          <w:szCs w:val="21"/>
        </w:rPr>
        <w:t xml:space="preserve"> — its genuine strengths (indicators, options Greeks, analytics) are irrelevant to a streaming app it architecturally cannot serve.</w:t>
      </w:r>
    </w:p>
    <w:p>
      <w:pPr>
        <w:pBdr>
          <w:left w:val="single" w:color="2E7D32" w:sz="24" w:space="12"/>
        </w:pBdr>
        <w:shd w:fill="E6F0E6" w:color="auto" w:val="clear"/>
        <w:spacing w:after="120" w:before="160"/>
      </w:pPr>
      <w:r>
        <w:rPr>
          <w:rFonts w:ascii="Calibri" w:cs="Calibri" w:eastAsia="Calibri" w:hAnsi="Calibri"/>
          <w:b/>
          <w:bCs/>
          <w:color w:val="1B5E20"/>
          <w:sz w:val="22"/>
          <w:szCs w:val="22"/>
        </w:rPr>
        <w:t xml:space="preserve">Recommended architecture:  </w:t>
      </w:r>
      <w:r>
        <w:rPr>
          <w:rFonts w:ascii="Calibri" w:cs="Calibri" w:eastAsia="Calibri" w:hAnsi="Calibri"/>
          <w:b/>
          <w:bCs/>
          <w:color w:val="23303B"/>
          <w:sz w:val="22"/>
          <w:szCs w:val="22"/>
        </w:rPr>
        <w:t xml:space="preserve">Polygon (real-time backbone) + FMP (fundamentals, ratios, DCF, sectors). </w:t>
      </w:r>
      <w:r>
        <w:rPr>
          <w:rFonts w:ascii="Calibri" w:cs="Calibri" w:eastAsia="Calibri" w:hAnsi="Calibri"/>
          <w:color w:val="23303B"/>
          <w:sz w:val="22"/>
          <w:szCs w:val="22"/>
        </w:rPr>
        <w:t xml:space="preserve">Polygon’s exactly-two weak dimensions are FMP’s two strongest, so the pair cover every requirement with no gap. Estimated cost ≈ $250/mo (Polygon Advanced + FMP Premium).</w:t>
      </w:r>
    </w:p>
    <w:p>
      <w:pPr>
        <w:pStyle w:val="Heading2"/>
        <w:spacing w:after="100" w:before="240"/>
      </w:pPr>
      <w:r>
        <w:rPr>
          <w:rFonts w:ascii="Calibri" w:cs="Calibri" w:eastAsia="Calibri" w:hAnsi="Calibri"/>
          <w:b/>
          <w:bCs/>
          <w:color w:val="2E6DA4"/>
          <w:sz w:val="24"/>
          <w:szCs w:val="24"/>
        </w:rPr>
        <w:t xml:space="preserve">Suggested configuration change</w:t>
      </w:r>
    </w:p>
    <w:p>
      <w:pPr>
        <w:pStyle w:val="ListParagraph"/>
        <w:numPr>
          <w:ilvl w:val="0"/>
          <w:numId w:val="2"/>
        </w:numPr>
        <w:spacing w:after="80" w:line="264"/>
      </w:pPr>
      <w:r>
        <w:rPr>
          <w:rFonts w:ascii="Calibri" w:cs="Calibri" w:eastAsia="Calibri" w:hAnsi="Calibri"/>
          <w:color w:val="23303B"/>
          <w:sz w:val="21"/>
          <w:szCs w:val="21"/>
        </w:rPr>
        <w:t xml:space="preserve">Set the financials fallback source to FMP (currently “none”) so fundamentals degrade gracefully.</w:t>
      </w:r>
    </w:p>
    <w:p>
      <w:pPr>
        <w:pStyle w:val="ListParagraph"/>
        <w:numPr>
          <w:ilvl w:val="0"/>
          <w:numId w:val="2"/>
        </w:numPr>
        <w:spacing w:after="80" w:line="264"/>
      </w:pPr>
      <w:r>
        <w:rPr>
          <w:rFonts w:ascii="Calibri" w:cs="Calibri" w:eastAsia="Calibri" w:hAnsi="Calibri"/>
          <w:color w:val="23303B"/>
          <w:sz w:val="21"/>
          <w:szCs w:val="21"/>
        </w:rPr>
        <w:t xml:space="preserve">Consider making FMP the primary source for financials and sector performance, where paid FMP is strictly stronger than Polygon.</w:t>
      </w:r>
    </w:p>
    <w:p>
      <w:pPr>
        <w:pStyle w:val="ListParagraph"/>
        <w:numPr>
          <w:ilvl w:val="0"/>
          <w:numId w:val="2"/>
        </w:numPr>
        <w:spacing w:after="80" w:line="264"/>
      </w:pPr>
      <w:r>
        <w:rPr>
          <w:rFonts w:ascii="Calibri" w:cs="Calibri" w:eastAsia="Calibri" w:hAnsi="Calibri"/>
          <w:color w:val="23303B"/>
          <w:sz w:val="21"/>
          <w:szCs w:val="21"/>
        </w:rPr>
        <w:t xml:space="preserve">Confirm the Polygon key is on the Advanced tier — Starter/Developer deliver 15-minute-delayed data, not real-time.</w:t>
      </w:r>
    </w:p>
    <w:p>
      <w:pPr>
        <w:pStyle w:val="ListParagraph"/>
        <w:numPr>
          <w:ilvl w:val="0"/>
          <w:numId w:val="2"/>
        </w:numPr>
        <w:spacing w:after="80" w:line="264"/>
      </w:pPr>
      <w:r>
        <w:rPr>
          <w:rFonts w:ascii="Calibri" w:cs="Calibri" w:eastAsia="Calibri" w:hAnsi="Calibri"/>
          <w:color w:val="23303B"/>
          <w:sz w:val="21"/>
          <w:szCs w:val="21"/>
        </w:rPr>
        <w:t xml:space="preserve">Verify integrations still resolve after Polygon’s recent “massive.com” rebrand of its docs/pricing (the api.polygon.io host is expected to be unaffected).</w:t>
      </w:r>
    </w:p>
    <w:p>
      <w:pPr>
        <w:pBdr>
          <w:top w:val="single" w:color="C7D0D9" w:sz="6" w:space="8"/>
        </w:pBdr>
        <w:spacing w:before="300"/>
      </w:pPr>
      <w:r>
        <w:rPr>
          <w:rFonts w:ascii="Calibri" w:cs="Calibri" w:eastAsia="Calibri" w:hAnsi="Calibri"/>
          <w:i/>
          <w:iCs/>
          <w:color w:val="9AA5B0"/>
          <w:sz w:val="15"/>
          <w:szCs w:val="15"/>
        </w:rPr>
        <w:t xml:space="preserve">All capabilities verified against official vendor documentation and pricing pages, August 2026. Dollar figures and tier names can change — confirm live before procurement.</w:t>
      </w:r>
    </w:p>
    <w:p>
      <w:r>
        <w:br w:type="page"/>
      </w:r>
    </w:p>
    <w:p>
      <w:pPr>
        <w:pStyle w:val="Heading1"/>
        <w:pBdr>
          <w:bottom w:val="single" w:color="C9A227" w:sz="10" w:space="6"/>
        </w:pBdr>
        <w:spacing w:after="140" w:before="320"/>
      </w:pPr>
      <w:r>
        <w:rPr>
          <w:rFonts w:ascii="Calibri" w:cs="Calibri" w:eastAsia="Calibri" w:hAnsi="Calibri"/>
          <w:b/>
          <w:bCs/>
          <w:color w:val="1F3B57"/>
          <w:sz w:val="30"/>
          <w:szCs w:val="30"/>
        </w:rPr>
        <w:t xml:space="preserve">6.  Application Feature Support Matrix</w:t>
      </w:r>
    </w:p>
    <w:p>
      <w:pPr>
        <w:spacing w:after="140" w:line="276"/>
      </w:pPr>
      <w:r>
        <w:rPr>
          <w:rFonts w:ascii="Calibri" w:cs="Calibri" w:eastAsia="Calibri" w:hAnsi="Calibri"/>
          <w:color w:val="23303B"/>
          <w:sz w:val="21"/>
          <w:szCs w:val="21"/>
        </w:rPr>
        <w:t xml:space="preserve">This section decomposes the Market Catalyst application into granular, individually vendor-checkable capabilities and tests whether each vendor can supply the underlying data. Features are grounded in the actual backend data-source routing, vendor services and UI screens, and are grouped by domain so the list can be extended as the app grows.</w:t>
      </w:r>
    </w:p>
    <w:p>
      <w:pPr>
        <w:pBdr>
          <w:left w:val="single" w:color="2E6DA4" w:sz="18" w:space="10"/>
        </w:pBdr>
        <w:shd w:fill="EEF2F6" w:color="auto" w:val="clear"/>
        <w:spacing w:after="60" w:before="40"/>
      </w:pPr>
      <w:r>
        <w:rPr>
          <w:rFonts w:ascii="Calibri" w:cs="Calibri" w:eastAsia="Calibri" w:hAnsi="Calibri"/>
          <w:b/>
          <w:bCs/>
          <w:color w:val="1F3B57"/>
          <w:sz w:val="18"/>
          <w:szCs w:val="18"/>
        </w:rPr>
        <w:t xml:space="preserve">Legend:   </w:t>
      </w:r>
      <w:r>
        <w:rPr>
          <w:rFonts w:ascii="Calibri" w:cs="Calibri" w:eastAsia="Calibri" w:hAnsi="Calibri"/>
          <w:b/>
          <w:bCs/>
          <w:color w:val="2E7D32"/>
          <w:sz w:val="18"/>
          <w:szCs w:val="18"/>
        </w:rPr>
        <w:t xml:space="preserve">Y</w:t>
      </w:r>
      <w:r>
        <w:rPr>
          <w:rFonts w:ascii="Calibri" w:cs="Calibri" w:eastAsia="Calibri" w:hAnsi="Calibri"/>
          <w:color w:val="3A4650"/>
          <w:sz w:val="18"/>
          <w:szCs w:val="18"/>
        </w:rPr>
        <w:t xml:space="preserve"> = the vendor can supply it via a documented endpoint on some plan (tier / delay / paywall aside).     </w:t>
      </w:r>
      <w:r>
        <w:rPr>
          <w:rFonts w:ascii="Calibri" w:cs="Calibri" w:eastAsia="Calibri" w:hAnsi="Calibri"/>
          <w:b/>
          <w:bCs/>
          <w:color w:val="B03A3A"/>
          <w:sz w:val="18"/>
          <w:szCs w:val="18"/>
        </w:rPr>
        <w:t xml:space="preserve">N</w:t>
      </w:r>
      <w:r>
        <w:rPr>
          <w:rFonts w:ascii="Calibri" w:cs="Calibri" w:eastAsia="Calibri" w:hAnsi="Calibri"/>
          <w:color w:val="3A4650"/>
          <w:sz w:val="18"/>
          <w:szCs w:val="18"/>
        </w:rPr>
        <w:t xml:space="preserve"> = no endpoint — the app must derive it from other data, or it is unavailable.</w:t>
      </w:r>
    </w:p>
    <w:p>
      <w:pPr>
        <w:spacing w:after="120"/>
      </w:pPr>
      <w:r>
        <w:rPr>
          <w:rFonts w:ascii="Calibri" w:cs="Calibri" w:eastAsia="Calibri" w:hAnsi="Calibri"/>
          <w:b/>
          <w:bCs/>
          <w:color w:val="1F3B57"/>
          <w:sz w:val="17"/>
          <w:szCs w:val="17"/>
        </w:rPr>
        <w:t xml:space="preserve">Decision rule.  </w:t>
      </w:r>
      <w:r>
        <w:rPr>
          <w:rFonts w:ascii="Calibri" w:cs="Calibri" w:eastAsia="Calibri" w:hAnsi="Calibri"/>
          <w:i/>
          <w:iCs/>
          <w:color w:val="5A6672"/>
          <w:sz w:val="17"/>
          <w:szCs w:val="17"/>
        </w:rPr>
        <w:t xml:space="preserve">Every previously “Partial” cell is now resolved to Y or N by this rule: data that exists but is gated to a higher tier, delivered on a delay, or requires a paid module counts as Y; data with no dedicated endpoint that the application would have to compute or assemble itself counts as N. Notable “Y-but-paywalled” cases are flagged after the table.</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4560"/>
        <w:gridCol w:w="1200"/>
        <w:gridCol w:w="1200"/>
        <w:gridCol w:w="1200"/>
        <w:gridCol w:w="1200"/>
      </w:tblGrid>
      <w:tr>
        <w:trPr>
          <w:tblHeader/>
        </w:trPr>
        <w:tc>
          <w:tcPr>
            <w:tcW w:type="dxa" w:w="456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Application feature</w:t>
            </w:r>
          </w:p>
        </w:tc>
        <w:tc>
          <w:tcPr>
            <w:tcW w:type="dxa" w:w="12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Polygon</w:t>
            </w:r>
          </w:p>
        </w:tc>
        <w:tc>
          <w:tcPr>
            <w:tcW w:type="dxa" w:w="12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FMP</w:t>
            </w:r>
          </w:p>
        </w:tc>
        <w:tc>
          <w:tcPr>
            <w:tcW w:type="dxa" w:w="12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Finnhub</w:t>
            </w:r>
          </w:p>
        </w:tc>
        <w:tc>
          <w:tcPr>
            <w:tcW w:type="dxa" w:w="12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Alpha V.</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A · Real-time &amp; streaming</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Live tape price stream (SSE fed by vendor WebSocket)</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Real-time trade tick stream (WebSocket)</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Explicit 15-min delayed data tier (cost-saving)</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Per-second aggregate bars over WebSocket</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Real-time single-ticker quote (REST)</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Bulk / universal multi-ticker snapshot</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Live market-status / session phase</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Pre-market quotes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After-hours / post-market quotes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B · Charts &amp; bars</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Historical daily OHLCV bars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Intraday bars (1–60 min)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Long-range 1Y / 5Y charts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Grouped daily (whole-market one-day snapshot)</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Daily open/close &amp; previous close</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Market index levels + history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On-demand bars for any ticker</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Earnings markers on chart (event dates)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C · Movers &amp; screeners</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Top gainers list</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Top losers list</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Most-active / volume movers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Mover enrichment (profile + quote join)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Fundamental + technical stock screener</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Relative-Strength (RS) rating (deep price history)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Technical rating (indicator inputs)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D · Fundamentals</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Company profile / details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Income statement (annual + quarterly)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Balance sheet</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Cash-flow statement</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TTM financial ratios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TTM EPS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Fundamentals growth metrics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Peers / related companies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52-week key levels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E · Corporate actions &amp; calendars</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Dividend history per ticker</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Dividend calendar (forward)</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Stock splits (incl. in-range)</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Ticker corporate-events feed</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Earnings calendar + estimates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Earnings history per ticker</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Earnings-call transcripts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IPO calendar</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Economic / macro-event calendar</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Upcoming market holidays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F · News &amp; sentiment</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Market-wide news feed</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Per-company news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News sentiment scoring</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Market breadth (advancers / decliners)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Analyst / press-release news wire</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G · Technical / analytics</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Native indicators (SMA / EMA / RSI / VWAP)</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Advanced analytics (correlation / variance / drawdown)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H · Options / derivatives</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Options chain by ticker</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Option Greeks + implied volatility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Open interest</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Options flow / dark-pool (specialist feed)</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I · Ownership / insider / institutional</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Insider transactions (SEC Form 4)</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Institutional holdings (SEC 13F)</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SEC filings index / submissions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J · Analyst / ratings</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Analyst rating consensus (Buy/Hold/Sell)</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Upgrades / downgrades feed</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Analyst price targets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gridSpan w:val="5"/>
            <w:shd w:fill="1F3B57" w:color="auto" w:val="clear"/>
            <w:tcMar>
              <w:top w:type="dxa" w:w="40"/>
              <w:left w:type="dxa" w:w="90"/>
              <w:bottom w:type="dxa" w:w="40"/>
              <w:right w:type="dxa" w:w="90"/>
            </w:tcMar>
          </w:tcPr>
          <w:p>
            <w:r>
              <w:rPr>
                <w:rFonts w:ascii="Calibri" w:cs="Calibri" w:eastAsia="Calibri" w:hAnsi="Calibri"/>
                <w:b/>
                <w:bCs/>
                <w:caps w:val="false"/>
                <w:color w:val="FFFFFF"/>
                <w:sz w:val="18"/>
                <w:szCs w:val="18"/>
              </w:rPr>
              <w:t xml:space="preserve">K · Macro / reference / universe</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Macro-economic series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Treasury yields</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Inflation / inflation-expectations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FX previous close</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Full ticker universe / all-tickers</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Ticker types / exchanges / conditions reference</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Sector performance snapshot + heatmap</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8"/>
                <w:szCs w:val="18"/>
              </w:rPr>
              <w:t xml:space="preserve">N</w:t>
            </w:r>
          </w:p>
        </w:tc>
      </w:tr>
      <w:tr>
        <w:tc>
          <w:tcPr>
            <w:tcW w:type="dxa" w:w="4560"/>
            <w:shd w:fill="EEF2F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Ticker search / autocomplete</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8"/>
                <w:szCs w:val="18"/>
              </w:rPr>
              <w:t xml:space="preserve">Y</w:t>
            </w:r>
          </w:p>
        </w:tc>
      </w:tr>
    </w:tbl>
    <w:p>
      <w:pPr>
        <w:spacing w:before="80"/>
      </w:pPr>
      <w:r>
        <w:rPr>
          <w:rFonts w:ascii="Calibri" w:cs="Calibri" w:eastAsia="Calibri" w:hAnsi="Calibri"/>
          <w:b/>
          <w:bCs/>
          <w:color w:val="1F3B57"/>
          <w:sz w:val="17"/>
          <w:szCs w:val="17"/>
        </w:rPr>
        <w:t xml:space="preserve">Total granular features assessed: 68.  </w:t>
      </w:r>
      <w:r>
        <w:rPr>
          <w:rFonts w:ascii="Calibri" w:cs="Calibri" w:eastAsia="Calibri" w:hAnsi="Calibri"/>
          <w:i/>
          <w:iCs/>
          <w:color w:val="5A6672"/>
          <w:sz w:val="17"/>
          <w:szCs w:val="17"/>
        </w:rPr>
        <w:t xml:space="preserve">AI / LLM features (market recap, copilot, intraday commentary narrative) and user features (watchlist, portfolio, alerts, notes) are app-side and vendor-agnostic — they consume the primitives above rather than any single vendor, so they are excluded from this matrix.</w:t>
      </w:r>
    </w:p>
    <w:p>
      <w:pPr>
        <w:pStyle w:val="Heading2"/>
        <w:spacing w:after="100" w:before="240"/>
      </w:pPr>
      <w:r>
        <w:rPr>
          <w:rFonts w:ascii="Calibri" w:cs="Calibri" w:eastAsia="Calibri" w:hAnsi="Calibri"/>
          <w:b/>
          <w:bCs/>
          <w:color w:val="2E6DA4"/>
          <w:sz w:val="24"/>
          <w:szCs w:val="24"/>
        </w:rPr>
        <w:t xml:space="preserve">Coverage summary</w:t>
      </w:r>
    </w:p>
    <w:p>
      <w:pPr>
        <w:spacing w:after="140" w:line="276"/>
      </w:pPr>
      <w:r>
        <w:rPr>
          <w:rFonts w:ascii="Calibri" w:cs="Calibri" w:eastAsia="Calibri" w:hAnsi="Calibri"/>
          <w:color w:val="23303B"/>
          <w:sz w:val="21"/>
          <w:szCs w:val="21"/>
        </w:rPr>
        <w:t xml:space="preserve">Coverage = supported (Y) features as a share of all assessed features, under the decision rule above.</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3480"/>
        <w:gridCol w:w="1800"/>
        <w:gridCol w:w="1800"/>
        <w:gridCol w:w="2280"/>
      </w:tblGrid>
      <w:tr>
        <w:trPr>
          <w:tblHeader/>
        </w:trPr>
        <w:tc>
          <w:tcPr>
            <w:tcW w:type="dxa" w:w="348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Provider</w:t>
            </w:r>
          </w:p>
        </w:tc>
        <w:tc>
          <w:tcPr>
            <w:tcW w:type="dxa" w:w="18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Supported (Y)</w:t>
            </w:r>
          </w:p>
        </w:tc>
        <w:tc>
          <w:tcPr>
            <w:tcW w:type="dxa" w:w="18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Not supported (N)</w:t>
            </w:r>
          </w:p>
        </w:tc>
        <w:tc>
          <w:tcPr>
            <w:tcW w:type="dxa" w:w="228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Coverage</w:t>
            </w:r>
          </w:p>
        </w:tc>
      </w:tr>
      <w:tr>
        <w:tc>
          <w:tcPr>
            <w:tcW w:type="dxa" w:w="348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Polygon</w:t>
            </w:r>
          </w:p>
        </w:tc>
        <w:tc>
          <w:tcPr>
            <w:tcW w:type="dxa" w:w="18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50</w:t>
            </w:r>
          </w:p>
        </w:tc>
        <w:tc>
          <w:tcPr>
            <w:tcW w:type="dxa" w:w="18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9"/>
                <w:szCs w:val="19"/>
              </w:rPr>
              <w:t xml:space="preserve">18</w:t>
            </w:r>
          </w:p>
        </w:tc>
        <w:tc>
          <w:tcPr>
            <w:tcW w:type="dxa" w:w="228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1F3B57"/>
                <w:sz w:val="19"/>
                <w:szCs w:val="19"/>
              </w:rPr>
              <w:t xml:space="preserve">74%</w:t>
            </w:r>
          </w:p>
        </w:tc>
      </w:tr>
      <w:tr>
        <w:tc>
          <w:tcPr>
            <w:tcW w:type="dxa" w:w="3480"/>
            <w:shd w:fill="E6F0E6"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FMP</w:t>
            </w:r>
          </w:p>
        </w:tc>
        <w:tc>
          <w:tcPr>
            <w:tcW w:type="dxa" w:w="1800"/>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58</w:t>
            </w:r>
          </w:p>
        </w:tc>
        <w:tc>
          <w:tcPr>
            <w:tcW w:type="dxa" w:w="1800"/>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9"/>
                <w:szCs w:val="19"/>
              </w:rPr>
              <w:t xml:space="preserve">10</w:t>
            </w:r>
          </w:p>
        </w:tc>
        <w:tc>
          <w:tcPr>
            <w:tcW w:type="dxa" w:w="2280"/>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85%</w:t>
            </w:r>
          </w:p>
        </w:tc>
      </w:tr>
      <w:tr>
        <w:tc>
          <w:tcPr>
            <w:tcW w:type="dxa" w:w="3480"/>
            <w:shd w:fill="FFFFFF" w:color="auto" w:val="clear"/>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Finnhub</w:t>
            </w:r>
          </w:p>
        </w:tc>
        <w:tc>
          <w:tcPr>
            <w:tcW w:type="dxa" w:w="18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51</w:t>
            </w:r>
          </w:p>
        </w:tc>
        <w:tc>
          <w:tcPr>
            <w:tcW w:type="dxa" w:w="18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9"/>
                <w:szCs w:val="19"/>
              </w:rPr>
              <w:t xml:space="preserve">17</w:t>
            </w:r>
          </w:p>
        </w:tc>
        <w:tc>
          <w:tcPr>
            <w:tcW w:type="dxa" w:w="228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1F3B57"/>
                <w:sz w:val="19"/>
                <w:szCs w:val="19"/>
              </w:rPr>
              <w:t xml:space="preserve">75%</w:t>
            </w:r>
          </w:p>
        </w:tc>
      </w:tr>
      <w:tr>
        <w:tc>
          <w:tcPr>
            <w:tcW w:type="dxa" w:w="3480"/>
            <w:shd w:fill="EEF2F6" w:color="auto" w:val="clear"/>
            <w:tcMar>
              <w:top w:type="dxa" w:w="60"/>
              <w:left w:type="dxa" w:w="90"/>
              <w:bottom w:type="dxa" w:w="60"/>
              <w:right w:type="dxa" w:w="90"/>
            </w:tcMar>
          </w:tcPr>
          <w:p>
            <w:pPr>
              <w:spacing w:after="0" w:line="240"/>
              <w:jc w:val="left"/>
            </w:pPr>
            <w:r>
              <w:rPr>
                <w:rFonts w:ascii="Calibri" w:cs="Calibri" w:eastAsia="Calibri" w:hAnsi="Calibri"/>
                <w:b w:val="false"/>
                <w:bCs w:val="false"/>
                <w:sz w:val="19"/>
                <w:szCs w:val="19"/>
              </w:rPr>
              <w:t xml:space="preserve">Alpha Vantage</w:t>
            </w:r>
          </w:p>
        </w:tc>
        <w:tc>
          <w:tcPr>
            <w:tcW w:type="dxa" w:w="18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48</w:t>
            </w:r>
          </w:p>
        </w:tc>
        <w:tc>
          <w:tcPr>
            <w:tcW w:type="dxa" w:w="180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B03A3A"/>
                <w:sz w:val="19"/>
                <w:szCs w:val="19"/>
              </w:rPr>
              <w:t xml:space="preserve">20</w:t>
            </w:r>
          </w:p>
        </w:tc>
        <w:tc>
          <w:tcPr>
            <w:tcW w:type="dxa" w:w="2280"/>
            <w:shd w:fill="EEF2F6" w:color="auto" w:val="clear"/>
            <w:tcMar>
              <w:top w:type="dxa" w:w="60"/>
              <w:left w:type="dxa" w:w="90"/>
              <w:bottom w:type="dxa" w:w="60"/>
              <w:right w:type="dxa" w:w="90"/>
            </w:tcMar>
          </w:tcPr>
          <w:p>
            <w:pPr>
              <w:spacing w:after="0" w:line="240"/>
              <w:jc w:val="center"/>
            </w:pPr>
            <w:r>
              <w:rPr>
                <w:rFonts w:ascii="Calibri" w:cs="Calibri" w:eastAsia="Calibri" w:hAnsi="Calibri"/>
                <w:b/>
                <w:bCs/>
                <w:color w:val="1F3B57"/>
                <w:sz w:val="19"/>
                <w:szCs w:val="19"/>
              </w:rPr>
              <w:t xml:space="preserve">71%</w:t>
            </w:r>
          </w:p>
        </w:tc>
      </w:tr>
    </w:tbl>
    <w:p>
      <w:pPr>
        <w:pStyle w:val="Heading2"/>
        <w:spacing w:after="100" w:before="240"/>
      </w:pPr>
      <w:r>
        <w:rPr>
          <w:rFonts w:ascii="Calibri" w:cs="Calibri" w:eastAsia="Calibri" w:hAnsi="Calibri"/>
          <w:b/>
          <w:bCs/>
          <w:color w:val="2E6DA4"/>
          <w:sz w:val="24"/>
          <w:szCs w:val="24"/>
        </w:rPr>
        <w:t xml:space="preserve">“Y-but-paywalled” — supported, yet gated behind a paid tier</w:t>
      </w:r>
    </w:p>
    <w:p>
      <w:pPr>
        <w:spacing w:after="140" w:line="276"/>
      </w:pPr>
      <w:r>
        <w:rPr>
          <w:rFonts w:ascii="Calibri" w:cs="Calibri" w:eastAsia="Calibri" w:hAnsi="Calibri"/>
          <w:color w:val="23303B"/>
          <w:sz w:val="21"/>
          <w:szCs w:val="21"/>
        </w:rPr>
        <w:t xml:space="preserve">These cells count as Y because the data exists, but require a specific paid plan/module — worth knowing for budgeting:</w:t>
      </w:r>
    </w:p>
    <w:p>
      <w:pPr>
        <w:pStyle w:val="ListParagraph"/>
        <w:numPr>
          <w:ilvl w:val="0"/>
          <w:numId w:val="2"/>
        </w:numPr>
        <w:spacing w:after="80" w:line="264"/>
      </w:pPr>
      <w:r>
        <w:rPr>
          <w:rFonts w:ascii="Calibri" w:cs="Calibri" w:eastAsia="Calibri" w:hAnsi="Calibri"/>
          <w:b/>
          <w:bCs/>
          <w:sz w:val="20"/>
          <w:szCs w:val="20"/>
        </w:rPr>
        <w:t xml:space="preserve">Finnhub</w:t>
      </w:r>
      <w:r>
        <w:rPr>
          <w:rFonts w:ascii="Calibri" w:cs="Calibri" w:eastAsia="Calibri" w:hAnsi="Calibri"/>
          <w:color w:val="23303B"/>
          <w:sz w:val="20"/>
          <w:szCs w:val="20"/>
        </w:rPr>
        <w:t xml:space="preserve"> — candles/bars (Market Data module), full financial statements + dividends/splits (Fundamental module), options chain, technical indicators. Free tier is also non-commercial.</w:t>
      </w:r>
    </w:p>
    <w:p>
      <w:pPr>
        <w:pStyle w:val="ListParagraph"/>
        <w:numPr>
          <w:ilvl w:val="0"/>
          <w:numId w:val="2"/>
        </w:numPr>
        <w:spacing w:after="80" w:line="264"/>
      </w:pPr>
      <w:r>
        <w:rPr>
          <w:rFonts w:ascii="Calibri" w:cs="Calibri" w:eastAsia="Calibri" w:hAnsi="Calibri"/>
          <w:b/>
          <w:bCs/>
          <w:sz w:val="20"/>
          <w:szCs w:val="20"/>
        </w:rPr>
        <w:t xml:space="preserve">Polygon</w:t>
      </w:r>
      <w:r>
        <w:rPr>
          <w:rFonts w:ascii="Calibri" w:cs="Calibri" w:eastAsia="Calibri" w:hAnsi="Calibri"/>
          <w:color w:val="23303B"/>
          <w:sz w:val="20"/>
          <w:szCs w:val="20"/>
        </w:rPr>
        <w:t xml:space="preserve"> — real-time streaming and financials/ratios require the Advanced tier; options Greeks require an options subscription. Lower tiers are 15-min delayed.</w:t>
      </w:r>
    </w:p>
    <w:p>
      <w:pPr>
        <w:pStyle w:val="ListParagraph"/>
        <w:numPr>
          <w:ilvl w:val="0"/>
          <w:numId w:val="2"/>
        </w:numPr>
        <w:spacing w:after="80" w:line="264"/>
      </w:pPr>
      <w:r>
        <w:rPr>
          <w:rFonts w:ascii="Calibri" w:cs="Calibri" w:eastAsia="Calibri" w:hAnsi="Calibri"/>
          <w:b/>
          <w:bCs/>
          <w:sz w:val="20"/>
          <w:szCs w:val="20"/>
        </w:rPr>
        <w:t xml:space="preserve">Alpha Vantage</w:t>
      </w:r>
      <w:r>
        <w:rPr>
          <w:rFonts w:ascii="Calibri" w:cs="Calibri" w:eastAsia="Calibri" w:hAnsi="Calibri"/>
          <w:color w:val="23303B"/>
          <w:sz w:val="20"/>
          <w:szCs w:val="20"/>
        </w:rPr>
        <w:t xml:space="preserve"> — real-time quotes need premium plus a separate exchange entitlement; every Y is REST-poll only against a per-minute cap (no streaming).</w:t>
      </w:r>
    </w:p>
    <w:p>
      <w:pPr>
        <w:pStyle w:val="ListParagraph"/>
        <w:numPr>
          <w:ilvl w:val="0"/>
          <w:numId w:val="2"/>
        </w:numPr>
        <w:spacing w:after="80" w:line="264"/>
      </w:pPr>
      <w:r>
        <w:rPr>
          <w:rFonts w:ascii="Calibri" w:cs="Calibri" w:eastAsia="Calibri" w:hAnsi="Calibri"/>
          <w:b/>
          <w:bCs/>
          <w:sz w:val="20"/>
          <w:szCs w:val="20"/>
        </w:rPr>
        <w:t xml:space="preserve">FMP</w:t>
      </w:r>
      <w:r>
        <w:rPr>
          <w:rFonts w:ascii="Calibri" w:cs="Calibri" w:eastAsia="Calibri" w:hAnsi="Calibri"/>
          <w:color w:val="23303B"/>
          <w:sz w:val="20"/>
          <w:szCs w:val="20"/>
        </w:rPr>
        <w:t xml:space="preserve"> — real-time REST at Premium; WebSocket only on the top tier with a signed declaration form and a single connection.</w:t>
      </w:r>
    </w:p>
    <w:p>
      <w:pPr>
        <w:pBdr>
          <w:left w:val="single" w:color="C9A227" w:sz="24" w:space="12"/>
        </w:pBdr>
        <w:shd w:fill="EEF2F6" w:color="auto" w:val="clear"/>
        <w:spacing w:after="120" w:before="140"/>
      </w:pPr>
      <w:r>
        <w:rPr>
          <w:rFonts w:ascii="Calibri" w:cs="Calibri" w:eastAsia="Calibri" w:hAnsi="Calibri"/>
          <w:b/>
          <w:bCs/>
          <w:color w:val="1F3B57"/>
          <w:sz w:val="20"/>
          <w:szCs w:val="20"/>
        </w:rPr>
        <w:t xml:space="preserve">Reading the matrix.  </w:t>
      </w:r>
      <w:r>
        <w:rPr>
          <w:rFonts w:ascii="Calibri" w:cs="Calibri" w:eastAsia="Calibri" w:hAnsi="Calibri"/>
          <w:color w:val="23303B"/>
          <w:sz w:val="20"/>
          <w:szCs w:val="20"/>
        </w:rPr>
        <w:t xml:space="preserve">No single vendor covers the whole application, and the gaps differ by vendor. Polygon owns real-time streaming, whole-market/grouped data, movers, options and macro, but returns a hard N on insider/institutional, analyst ratings, earnings calendars and sectors. FMP fills exactly those columns (fundamentals, analyst, calendars, sectors, insider/13F, macro) and posts the highest raw coverage — but its streaming is fragile. Finnhub matches FMP on analyst/insider and adds free real-time trades, yet returns N on movers, screener, grouped data and sectors. Alpha Vantage uniquely covers advanced analytics and options Greeks but cannot stream at all. The binary confirms the two-provider conclusion: Polygon + FMP together turn nearly every N into a Y, with Finnhub or Alpha Vantage only needed for niche columns (analyst depth, options analytics).</w:t>
      </w:r>
    </w:p>
    <w:p>
      <w:r>
        <w:br w:type="page"/>
      </w:r>
    </w:p>
    <w:p>
      <w:pPr>
        <w:pStyle w:val="Heading1"/>
        <w:pBdr>
          <w:bottom w:val="single" w:color="C9A227" w:sz="10" w:space="6"/>
        </w:pBdr>
        <w:spacing w:after="140" w:before="320"/>
      </w:pPr>
      <w:r>
        <w:rPr>
          <w:rFonts w:ascii="Calibri" w:cs="Calibri" w:eastAsia="Calibri" w:hAnsi="Calibri"/>
          <w:b/>
          <w:bCs/>
          <w:color w:val="1F3B57"/>
          <w:sz w:val="30"/>
          <w:szCs w:val="30"/>
        </w:rPr>
        <w:t xml:space="preserve">7.  Cost &amp; Pricing Appendix</w:t>
      </w:r>
    </w:p>
    <w:p>
      <w:pPr>
        <w:spacing w:after="140" w:line="276"/>
      </w:pPr>
      <w:r>
        <w:rPr>
          <w:rFonts w:ascii="Calibri" w:cs="Calibri" w:eastAsia="Calibri" w:hAnsi="Calibri"/>
          <w:color w:val="23303B"/>
          <w:sz w:val="21"/>
          <w:szCs w:val="21"/>
        </w:rPr>
        <w:t xml:space="preserve">Documented pricing for the US-stocks products of each vendor, followed by the total monthly cost of the recommended stack and three budget scenarios. Dollar figures are list prices for the equities product and can change — confirm live before procurement. The recommended tier in each table is highlighted.</w:t>
      </w:r>
    </w:p>
    <w:p>
      <w:pPr>
        <w:pStyle w:val="Heading2"/>
        <w:spacing w:after="100" w:before="240"/>
      </w:pPr>
      <w:r>
        <w:rPr>
          <w:rFonts w:ascii="Calibri" w:cs="Calibri" w:eastAsia="Calibri" w:hAnsi="Calibri"/>
          <w:b/>
          <w:bCs/>
          <w:color w:val="2E6DA4"/>
          <w:sz w:val="24"/>
          <w:szCs w:val="24"/>
        </w:rPr>
        <w:t xml:space="preserve">Polygon (massive.com) — Stocks</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1720"/>
        <w:gridCol w:w="1160"/>
        <w:gridCol w:w="1560"/>
        <w:gridCol w:w="1760"/>
        <w:gridCol w:w="1200"/>
        <w:gridCol w:w="1960"/>
      </w:tblGrid>
      <w:tr>
        <w:trPr>
          <w:tblHeader/>
        </w:trPr>
        <w:tc>
          <w:tcPr>
            <w:tcW w:type="dxa" w:w="172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Tier</w:t>
            </w:r>
          </w:p>
        </w:tc>
        <w:tc>
          <w:tcPr>
            <w:tcW w:type="dxa" w:w="116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 / mo</w:t>
            </w:r>
          </w:p>
        </w:tc>
        <w:tc>
          <w:tcPr>
            <w:tcW w:type="dxa" w:w="156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API rate</w:t>
            </w:r>
          </w:p>
        </w:tc>
        <w:tc>
          <w:tcPr>
            <w:tcW w:type="dxa" w:w="176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Recency</w:t>
            </w:r>
          </w:p>
        </w:tc>
        <w:tc>
          <w:tcPr>
            <w:tcW w:type="dxa" w:w="12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History</w:t>
            </w:r>
          </w:p>
        </w:tc>
        <w:tc>
          <w:tcPr>
            <w:tcW w:type="dxa" w:w="196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WebSocket</w:t>
            </w:r>
          </w:p>
        </w:tc>
      </w:tr>
      <w:tr>
        <w:tc>
          <w:tcPr>
            <w:tcW w:type="dxa" w:w="172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Basic (Free)</w:t>
            </w:r>
          </w:p>
        </w:tc>
        <w:tc>
          <w:tcPr>
            <w:tcW w:type="dxa" w:w="11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w:t>
            </w:r>
          </w:p>
        </w:tc>
        <w:tc>
          <w:tcPr>
            <w:tcW w:type="dxa" w:w="15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5 / min</w:t>
            </w:r>
          </w:p>
        </w:tc>
        <w:tc>
          <w:tcPr>
            <w:tcW w:type="dxa" w:w="17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End-of-day</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2 yr</w:t>
            </w:r>
          </w:p>
        </w:tc>
        <w:tc>
          <w:tcPr>
            <w:tcW w:type="dxa" w:w="19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None</w:t>
            </w:r>
          </w:p>
        </w:tc>
      </w:tr>
      <w:tr>
        <w:tc>
          <w:tcPr>
            <w:tcW w:type="dxa" w:w="172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Starter</w:t>
            </w:r>
          </w:p>
        </w:tc>
        <w:tc>
          <w:tcPr>
            <w:tcW w:type="dxa" w:w="116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$29</w:t>
            </w:r>
          </w:p>
        </w:tc>
        <w:tc>
          <w:tcPr>
            <w:tcW w:type="dxa" w:w="156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Unlimited</w:t>
            </w:r>
          </w:p>
        </w:tc>
        <w:tc>
          <w:tcPr>
            <w:tcW w:type="dxa" w:w="176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15-min delayed</w:t>
            </w:r>
          </w:p>
        </w:tc>
        <w:tc>
          <w:tcPr>
            <w:tcW w:type="dxa" w:w="120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5 yr</w:t>
            </w:r>
          </w:p>
        </w:tc>
        <w:tc>
          <w:tcPr>
            <w:tcW w:type="dxa" w:w="196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Aggs / snapshot</w:t>
            </w:r>
          </w:p>
        </w:tc>
      </w:tr>
      <w:tr>
        <w:tc>
          <w:tcPr>
            <w:tcW w:type="dxa" w:w="172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Developer</w:t>
            </w:r>
          </w:p>
        </w:tc>
        <w:tc>
          <w:tcPr>
            <w:tcW w:type="dxa" w:w="11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$79</w:t>
            </w:r>
          </w:p>
        </w:tc>
        <w:tc>
          <w:tcPr>
            <w:tcW w:type="dxa" w:w="15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Unlimited</w:t>
            </w:r>
          </w:p>
        </w:tc>
        <w:tc>
          <w:tcPr>
            <w:tcW w:type="dxa" w:w="17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15-min delayed</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10 yr</w:t>
            </w:r>
          </w:p>
        </w:tc>
        <w:tc>
          <w:tcPr>
            <w:tcW w:type="dxa" w:w="19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 Trades (delayed)</w:t>
            </w:r>
          </w:p>
        </w:tc>
      </w:tr>
      <w:tr>
        <w:tc>
          <w:tcPr>
            <w:tcW w:type="dxa" w:w="1720"/>
            <w:shd w:fill="E6F0E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Advanced</w:t>
            </w:r>
          </w:p>
        </w:tc>
        <w:tc>
          <w:tcPr>
            <w:tcW w:type="dxa" w:w="1160"/>
            <w:shd w:fill="E6F0E6" w:color="auto"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$199</w:t>
            </w:r>
          </w:p>
        </w:tc>
        <w:tc>
          <w:tcPr>
            <w:tcW w:type="dxa" w:w="1560"/>
            <w:shd w:fill="E6F0E6" w:color="auto"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Unlimited</w:t>
            </w:r>
          </w:p>
        </w:tc>
        <w:tc>
          <w:tcPr>
            <w:tcW w:type="dxa" w:w="1760"/>
            <w:shd w:fill="E6F0E6" w:color="auto"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Real-time</w:t>
            </w:r>
          </w:p>
        </w:tc>
        <w:tc>
          <w:tcPr>
            <w:tcW w:type="dxa" w:w="1200"/>
            <w:shd w:fill="E6F0E6" w:color="auto"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20 yr+</w:t>
            </w:r>
          </w:p>
        </w:tc>
        <w:tc>
          <w:tcPr>
            <w:tcW w:type="dxa" w:w="1960"/>
            <w:shd w:fill="E6F0E6" w:color="auto"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Full real-time</w:t>
            </w:r>
          </w:p>
        </w:tc>
      </w:tr>
      <w:tr>
        <w:tc>
          <w:tcPr>
            <w:tcW w:type="dxa" w:w="172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Business</w:t>
            </w:r>
          </w:p>
        </w:tc>
        <w:tc>
          <w:tcPr>
            <w:tcW w:type="dxa" w:w="11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Custom</w:t>
            </w:r>
          </w:p>
        </w:tc>
        <w:tc>
          <w:tcPr>
            <w:tcW w:type="dxa" w:w="15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Unlimited</w:t>
            </w:r>
          </w:p>
        </w:tc>
        <w:tc>
          <w:tcPr>
            <w:tcW w:type="dxa" w:w="17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Real-time</w:t>
            </w:r>
          </w:p>
        </w:tc>
        <w:tc>
          <w:tcPr>
            <w:tcW w:type="dxa" w:w="12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Full</w:t>
            </w:r>
          </w:p>
        </w:tc>
        <w:tc>
          <w:tcPr>
            <w:tcW w:type="dxa" w:w="19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Full + FMV</w:t>
            </w:r>
          </w:p>
        </w:tc>
      </w:tr>
    </w:tbl>
    <w:p>
      <w:pPr>
        <w:spacing w:after="60" w:before="40"/>
      </w:pPr>
      <w:r>
        <w:rPr>
          <w:rFonts w:ascii="Calibri" w:cs="Calibri" w:eastAsia="Calibri" w:hAnsi="Calibri"/>
          <w:i/>
          <w:iCs/>
          <w:color w:val="5A6672"/>
          <w:sz w:val="16"/>
          <w:szCs w:val="16"/>
        </w:rPr>
        <w:t xml:space="preserve">Real-time is unlocked only at Advanced ($199). Starter/Developer are 15-min delayed; your current live tape is delayed unless the key is on Advanced.</w:t>
      </w:r>
    </w:p>
    <w:p>
      <w:pPr>
        <w:pStyle w:val="Heading2"/>
        <w:spacing w:after="100" w:before="240"/>
      </w:pPr>
      <w:r>
        <w:rPr>
          <w:rFonts w:ascii="Calibri" w:cs="Calibri" w:eastAsia="Calibri" w:hAnsi="Calibri"/>
          <w:b/>
          <w:bCs/>
          <w:color w:val="2E6DA4"/>
          <w:sz w:val="24"/>
          <w:szCs w:val="24"/>
        </w:rPr>
        <w:t xml:space="preserve">FMP — Financial Modeling Prep</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1700"/>
        <w:gridCol w:w="1440"/>
        <w:gridCol w:w="1520"/>
        <w:gridCol w:w="1300"/>
        <w:gridCol w:w="1440"/>
        <w:gridCol w:w="1960"/>
      </w:tblGrid>
      <w:tr>
        <w:trPr>
          <w:tblHeader/>
        </w:trPr>
        <w:tc>
          <w:tcPr>
            <w:tcW w:type="dxa" w:w="170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Plan</w:t>
            </w:r>
          </w:p>
        </w:tc>
        <w:tc>
          <w:tcPr>
            <w:tcW w:type="dxa" w:w="144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 / mo</w:t>
            </w:r>
          </w:p>
        </w:tc>
        <w:tc>
          <w:tcPr>
            <w:tcW w:type="dxa" w:w="152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API rate</w:t>
            </w:r>
          </w:p>
        </w:tc>
        <w:tc>
          <w:tcPr>
            <w:tcW w:type="dxa" w:w="13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History</w:t>
            </w:r>
          </w:p>
        </w:tc>
        <w:tc>
          <w:tcPr>
            <w:tcW w:type="dxa" w:w="144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Real-time</w:t>
            </w:r>
          </w:p>
        </w:tc>
        <w:tc>
          <w:tcPr>
            <w:tcW w:type="dxa" w:w="196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WebSocket</w:t>
            </w:r>
          </w:p>
        </w:tc>
      </w:tr>
      <w:tr>
        <w:tc>
          <w:tcPr>
            <w:tcW w:type="dxa" w:w="17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Free</w:t>
            </w:r>
          </w:p>
        </w:tc>
        <w:tc>
          <w:tcPr>
            <w:tcW w:type="dxa" w:w="144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w:t>
            </w:r>
          </w:p>
        </w:tc>
        <w:tc>
          <w:tcPr>
            <w:tcW w:type="dxa" w:w="152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250 / day</w:t>
            </w:r>
          </w:p>
        </w:tc>
        <w:tc>
          <w:tcPr>
            <w:tcW w:type="dxa" w:w="13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EOD</w:t>
            </w:r>
          </w:p>
        </w:tc>
        <w:tc>
          <w:tcPr>
            <w:tcW w:type="dxa" w:w="144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No</w:t>
            </w:r>
          </w:p>
        </w:tc>
        <w:tc>
          <w:tcPr>
            <w:tcW w:type="dxa" w:w="196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No</w:t>
            </w:r>
          </w:p>
        </w:tc>
      </w:tr>
      <w:tr>
        <w:tc>
          <w:tcPr>
            <w:tcW w:type="dxa" w:w="17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Starter</w:t>
            </w:r>
          </w:p>
        </w:tc>
        <w:tc>
          <w:tcPr>
            <w:tcW w:type="dxa" w:w="144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~$19–22</w:t>
            </w:r>
          </w:p>
        </w:tc>
        <w:tc>
          <w:tcPr>
            <w:tcW w:type="dxa" w:w="152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300 / min</w:t>
            </w:r>
          </w:p>
        </w:tc>
        <w:tc>
          <w:tcPr>
            <w:tcW w:type="dxa" w:w="130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5 yr</w:t>
            </w:r>
          </w:p>
        </w:tc>
        <w:tc>
          <w:tcPr>
            <w:tcW w:type="dxa" w:w="144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Yes (REST)</w:t>
            </w:r>
          </w:p>
        </w:tc>
        <w:tc>
          <w:tcPr>
            <w:tcW w:type="dxa" w:w="196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No</w:t>
            </w:r>
          </w:p>
        </w:tc>
      </w:tr>
      <w:tr>
        <w:tc>
          <w:tcPr>
            <w:tcW w:type="dxa" w:w="1700"/>
            <w:shd w:fill="E6F0E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Premium</w:t>
            </w:r>
          </w:p>
        </w:tc>
        <w:tc>
          <w:tcPr>
            <w:tcW w:type="dxa" w:w="1440"/>
            <w:shd w:fill="E6F0E6" w:color="auto"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~$49–59</w:t>
            </w:r>
          </w:p>
        </w:tc>
        <w:tc>
          <w:tcPr>
            <w:tcW w:type="dxa" w:w="1520"/>
            <w:shd w:fill="E6F0E6" w:color="auto"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750 / min</w:t>
            </w:r>
          </w:p>
        </w:tc>
        <w:tc>
          <w:tcPr>
            <w:tcW w:type="dxa" w:w="1300"/>
            <w:shd w:fill="E6F0E6" w:color="auto"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30 yr</w:t>
            </w:r>
          </w:p>
        </w:tc>
        <w:tc>
          <w:tcPr>
            <w:tcW w:type="dxa" w:w="1440"/>
            <w:shd w:fill="E6F0E6" w:color="auto"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Yes (REST)</w:t>
            </w:r>
          </w:p>
        </w:tc>
        <w:tc>
          <w:tcPr>
            <w:tcW w:type="dxa" w:w="1960"/>
            <w:shd w:fill="E6F0E6" w:color="auto" w:val="clear"/>
            <w:tcMar>
              <w:top w:type="dxa" w:w="60"/>
              <w:left w:type="dxa" w:w="90"/>
              <w:bottom w:type="dxa" w:w="60"/>
              <w:right w:type="dxa" w:w="90"/>
            </w:tcMar>
          </w:tcPr>
          <w:p>
            <w:pPr>
              <w:spacing w:after="0" w:line="240"/>
              <w:jc w:val="center"/>
            </w:pPr>
            <w:r>
              <w:rPr>
                <w:rFonts w:ascii="Calibri" w:cs="Calibri" w:eastAsia="Calibri" w:hAnsi="Calibri"/>
                <w:b/>
                <w:bCs/>
                <w:sz w:val="17"/>
                <w:szCs w:val="17"/>
              </w:rPr>
              <w:t xml:space="preserve">No</w:t>
            </w:r>
          </w:p>
        </w:tc>
      </w:tr>
      <w:tr>
        <w:tc>
          <w:tcPr>
            <w:tcW w:type="dxa" w:w="17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Ultimate</w:t>
            </w:r>
          </w:p>
        </w:tc>
        <w:tc>
          <w:tcPr>
            <w:tcW w:type="dxa" w:w="144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~$99–149</w:t>
            </w:r>
          </w:p>
        </w:tc>
        <w:tc>
          <w:tcPr>
            <w:tcW w:type="dxa" w:w="152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3,000 / min</w:t>
            </w:r>
          </w:p>
        </w:tc>
        <w:tc>
          <w:tcPr>
            <w:tcW w:type="dxa" w:w="130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Full</w:t>
            </w:r>
          </w:p>
        </w:tc>
        <w:tc>
          <w:tcPr>
            <w:tcW w:type="dxa" w:w="144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Yes</w:t>
            </w:r>
          </w:p>
        </w:tc>
        <w:tc>
          <w:tcPr>
            <w:tcW w:type="dxa" w:w="196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Top-tier + form</w:t>
            </w:r>
          </w:p>
        </w:tc>
      </w:tr>
    </w:tbl>
    <w:p>
      <w:pPr>
        <w:spacing w:after="60" w:before="40"/>
      </w:pPr>
      <w:r>
        <w:rPr>
          <w:rFonts w:ascii="Calibri" w:cs="Calibri" w:eastAsia="Calibri" w:hAnsi="Calibri"/>
          <w:i/>
          <w:iCs/>
          <w:color w:val="5A6672"/>
          <w:sz w:val="16"/>
          <w:szCs w:val="16"/>
        </w:rPr>
        <w:t xml:space="preserve">Prices differ between FMP’s own pricing pages (annual vs monthly billing) and were visibly in flux — verify live. WebSocket needs the top tier, a signed declaration form, and allows one connection per account.</w:t>
      </w:r>
    </w:p>
    <w:p>
      <w:pPr>
        <w:pStyle w:val="Heading2"/>
        <w:spacing w:after="100" w:before="240"/>
      </w:pPr>
      <w:r>
        <w:rPr>
          <w:rFonts w:ascii="Calibri" w:cs="Calibri" w:eastAsia="Calibri" w:hAnsi="Calibri"/>
          <w:b/>
          <w:bCs/>
          <w:color w:val="2E6DA4"/>
          <w:sz w:val="24"/>
          <w:szCs w:val="24"/>
        </w:rPr>
        <w:t xml:space="preserve">Finnhub — modular pricing</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2520"/>
        <w:gridCol w:w="1440"/>
        <w:gridCol w:w="5400"/>
      </w:tblGrid>
      <w:tr>
        <w:trPr>
          <w:tblHeader/>
        </w:trPr>
        <w:tc>
          <w:tcPr>
            <w:tcW w:type="dxa" w:w="252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Module / plan</w:t>
            </w:r>
          </w:p>
        </w:tc>
        <w:tc>
          <w:tcPr>
            <w:tcW w:type="dxa" w:w="144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 / mo</w:t>
            </w:r>
          </w:p>
        </w:tc>
        <w:tc>
          <w:tcPr>
            <w:tcW w:type="dxa" w:w="54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Unlocks</w:t>
            </w:r>
          </w:p>
        </w:tc>
      </w:tr>
      <w:tr>
        <w:tc>
          <w:tcPr>
            <w:tcW w:type="dxa" w:w="252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Free</w:t>
            </w:r>
          </w:p>
        </w:tc>
        <w:tc>
          <w:tcPr>
            <w:tcW w:type="dxa" w:w="144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w:t>
            </w:r>
          </w:p>
        </w:tc>
        <w:tc>
          <w:tcPr>
            <w:tcW w:type="dxa" w:w="54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Real-time WS trades (≤50 symbols), news, calendars, basic metrics — non-commercial use only</w:t>
            </w:r>
          </w:p>
        </w:tc>
      </w:tr>
      <w:tr>
        <w:tc>
          <w:tcPr>
            <w:tcW w:type="dxa" w:w="252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Market Data</w:t>
            </w:r>
          </w:p>
        </w:tc>
        <w:tc>
          <w:tcPr>
            <w:tcW w:type="dxa" w:w="144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~$49.99</w:t>
            </w:r>
          </w:p>
        </w:tc>
        <w:tc>
          <w:tcPr>
            <w:tcW w:type="dxa" w:w="540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Historical &amp; intraday candles/aggregates, splits, tick data</w:t>
            </w:r>
          </w:p>
        </w:tc>
      </w:tr>
      <w:tr>
        <w:tc>
          <w:tcPr>
            <w:tcW w:type="dxa" w:w="252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Fundamental Data</w:t>
            </w:r>
          </w:p>
        </w:tc>
        <w:tc>
          <w:tcPr>
            <w:tcW w:type="dxa" w:w="144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~$50</w:t>
            </w:r>
          </w:p>
        </w:tc>
        <w:tc>
          <w:tcPr>
            <w:tcW w:type="dxa" w:w="54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Full financial statements, dividends</w:t>
            </w:r>
          </w:p>
        </w:tc>
      </w:tr>
      <w:tr>
        <w:tc>
          <w:tcPr>
            <w:tcW w:type="dxa" w:w="252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Estimates Data</w:t>
            </w:r>
          </w:p>
        </w:tc>
        <w:tc>
          <w:tcPr>
            <w:tcW w:type="dxa" w:w="144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~$75</w:t>
            </w:r>
          </w:p>
        </w:tc>
        <w:tc>
          <w:tcPr>
            <w:tcW w:type="dxa" w:w="540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Analyst estimates, price targets, recommendations</w:t>
            </w:r>
          </w:p>
        </w:tc>
      </w:tr>
      <w:tr>
        <w:tc>
          <w:tcPr>
            <w:tcW w:type="dxa" w:w="252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Economic Data</w:t>
            </w:r>
          </w:p>
        </w:tc>
        <w:tc>
          <w:tcPr>
            <w:tcW w:type="dxa" w:w="144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~$50</w:t>
            </w:r>
          </w:p>
        </w:tc>
        <w:tc>
          <w:tcPr>
            <w:tcW w:type="dxa" w:w="54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Macro / economic datasets</w:t>
            </w:r>
          </w:p>
        </w:tc>
      </w:tr>
      <w:tr>
        <w:tc>
          <w:tcPr>
            <w:tcW w:type="dxa" w:w="252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All-in-One / Enterprise</w:t>
            </w:r>
          </w:p>
        </w:tc>
        <w:tc>
          <w:tcPr>
            <w:tcW w:type="dxa" w:w="144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~$3,500</w:t>
            </w:r>
          </w:p>
        </w:tc>
        <w:tc>
          <w:tcPr>
            <w:tcW w:type="dxa" w:w="540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Everything bundled, higher limits, commercial license</w:t>
            </w:r>
          </w:p>
        </w:tc>
      </w:tr>
    </w:tbl>
    <w:p>
      <w:pPr>
        <w:spacing w:after="60" w:before="40"/>
      </w:pPr>
      <w:r>
        <w:rPr>
          <w:rFonts w:ascii="Calibri" w:cs="Calibri" w:eastAsia="Calibri" w:hAnsi="Calibri"/>
          <w:i/>
          <w:iCs/>
          <w:color w:val="5A6672"/>
          <w:sz w:val="16"/>
          <w:szCs w:val="16"/>
        </w:rPr>
        <w:t xml:space="preserve">Billed per data category — a production app typically needs Market Data + Fundamental (~$100/mo) plus a commercial license, since the free tier is non-commercial.</w:t>
      </w:r>
    </w:p>
    <w:p>
      <w:pPr>
        <w:pStyle w:val="Heading2"/>
        <w:spacing w:after="100" w:before="240"/>
      </w:pPr>
      <w:r>
        <w:rPr>
          <w:rFonts w:ascii="Calibri" w:cs="Calibri" w:eastAsia="Calibri" w:hAnsi="Calibri"/>
          <w:b/>
          <w:bCs/>
          <w:color w:val="2E6DA4"/>
          <w:sz w:val="24"/>
          <w:szCs w:val="24"/>
        </w:rPr>
        <w:t xml:space="preserve">Alpha Vantage</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1700"/>
        <w:gridCol w:w="1440"/>
        <w:gridCol w:w="1720"/>
        <w:gridCol w:w="4500"/>
      </w:tblGrid>
      <w:tr>
        <w:trPr>
          <w:tblHeader/>
        </w:trPr>
        <w:tc>
          <w:tcPr>
            <w:tcW w:type="dxa" w:w="170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Plan</w:t>
            </w:r>
          </w:p>
        </w:tc>
        <w:tc>
          <w:tcPr>
            <w:tcW w:type="dxa" w:w="144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 / mo</w:t>
            </w:r>
          </w:p>
        </w:tc>
        <w:tc>
          <w:tcPr>
            <w:tcW w:type="dxa" w:w="172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Rate limit</w:t>
            </w:r>
          </w:p>
        </w:tc>
        <w:tc>
          <w:tcPr>
            <w:tcW w:type="dxa" w:w="45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Notes</w:t>
            </w:r>
          </w:p>
        </w:tc>
      </w:tr>
      <w:tr>
        <w:tc>
          <w:tcPr>
            <w:tcW w:type="dxa" w:w="17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Free</w:t>
            </w:r>
          </w:p>
        </w:tc>
        <w:tc>
          <w:tcPr>
            <w:tcW w:type="dxa" w:w="144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$0</w:t>
            </w:r>
          </w:p>
        </w:tc>
        <w:tc>
          <w:tcPr>
            <w:tcW w:type="dxa" w:w="172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25 / day</w:t>
            </w:r>
          </w:p>
        </w:tc>
        <w:tc>
          <w:tcPr>
            <w:tcW w:type="dxa" w:w="45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Unusable for a real-time app</w:t>
            </w:r>
          </w:p>
        </w:tc>
      </w:tr>
      <w:tr>
        <w:tc>
          <w:tcPr>
            <w:tcW w:type="dxa" w:w="17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Premium 1</w:t>
            </w:r>
          </w:p>
        </w:tc>
        <w:tc>
          <w:tcPr>
            <w:tcW w:type="dxa" w:w="144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$49.99</w:t>
            </w:r>
          </w:p>
        </w:tc>
        <w:tc>
          <w:tcPr>
            <w:tcW w:type="dxa" w:w="172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75 / min</w:t>
            </w:r>
          </w:p>
        </w:tc>
        <w:tc>
          <w:tcPr>
            <w:tcW w:type="dxa" w:w="450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REST poll only — no streaming at any tier</w:t>
            </w:r>
          </w:p>
        </w:tc>
      </w:tr>
      <w:tr>
        <w:tc>
          <w:tcPr>
            <w:tcW w:type="dxa" w:w="17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Premium 2</w:t>
            </w:r>
          </w:p>
        </w:tc>
        <w:tc>
          <w:tcPr>
            <w:tcW w:type="dxa" w:w="144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$99.99</w:t>
            </w:r>
          </w:p>
        </w:tc>
        <w:tc>
          <w:tcPr>
            <w:tcW w:type="dxa" w:w="172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150 / min</w:t>
            </w:r>
          </w:p>
        </w:tc>
        <w:tc>
          <w:tcPr>
            <w:tcW w:type="dxa" w:w="45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
            </w:r>
          </w:p>
        </w:tc>
      </w:tr>
      <w:tr>
        <w:tc>
          <w:tcPr>
            <w:tcW w:type="dxa" w:w="17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Premium 3</w:t>
            </w:r>
          </w:p>
        </w:tc>
        <w:tc>
          <w:tcPr>
            <w:tcW w:type="dxa" w:w="144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$149.99</w:t>
            </w:r>
          </w:p>
        </w:tc>
        <w:tc>
          <w:tcPr>
            <w:tcW w:type="dxa" w:w="172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300 / min</w:t>
            </w:r>
          </w:p>
        </w:tc>
        <w:tc>
          <w:tcPr>
            <w:tcW w:type="dxa" w:w="450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
            </w:r>
          </w:p>
        </w:tc>
      </w:tr>
      <w:tr>
        <w:tc>
          <w:tcPr>
            <w:tcW w:type="dxa" w:w="17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Premium 4</w:t>
            </w:r>
          </w:p>
        </w:tc>
        <w:tc>
          <w:tcPr>
            <w:tcW w:type="dxa" w:w="144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$199.99</w:t>
            </w:r>
          </w:p>
        </w:tc>
        <w:tc>
          <w:tcPr>
            <w:tcW w:type="dxa" w:w="172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600 / min</w:t>
            </w:r>
          </w:p>
        </w:tc>
        <w:tc>
          <w:tcPr>
            <w:tcW w:type="dxa" w:w="4500"/>
            <w:shd w:fill="FFFFFF"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
            </w:r>
          </w:p>
        </w:tc>
      </w:tr>
      <w:tr>
        <w:tc>
          <w:tcPr>
            <w:tcW w:type="dxa" w:w="17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7"/>
                <w:szCs w:val="17"/>
              </w:rPr>
              <w:t xml:space="preserve">Premium 5</w:t>
            </w:r>
          </w:p>
        </w:tc>
        <w:tc>
          <w:tcPr>
            <w:tcW w:type="dxa" w:w="144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$249.99</w:t>
            </w:r>
          </w:p>
        </w:tc>
        <w:tc>
          <w:tcPr>
            <w:tcW w:type="dxa" w:w="172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1,200 / min</w:t>
            </w:r>
          </w:p>
        </w:tc>
        <w:tc>
          <w:tcPr>
            <w:tcW w:type="dxa" w:w="4500"/>
            <w:shd w:fill="EEF2F6" w:color="auto" w:val="clear"/>
            <w:tcMar>
              <w:top w:type="dxa" w:w="60"/>
              <w:left w:type="dxa" w:w="90"/>
              <w:bottom w:type="dxa" w:w="60"/>
              <w:right w:type="dxa" w:w="90"/>
            </w:tcMar>
          </w:tcPr>
          <w:p>
            <w:pPr>
              <w:spacing w:after="0" w:line="240"/>
              <w:jc w:val="center"/>
            </w:pPr>
            <w:r>
              <w:rPr>
                <w:rFonts w:ascii="Calibri" w:cs="Calibri" w:eastAsia="Calibri" w:hAnsi="Calibri"/>
                <w:b w:val="false"/>
                <w:bCs w:val="false"/>
                <w:sz w:val="17"/>
                <w:szCs w:val="17"/>
              </w:rPr>
              <w:t xml:space="preserve">Real-time quotes need a separate exchange entitlement</w:t>
            </w:r>
          </w:p>
        </w:tc>
      </w:tr>
    </w:tbl>
    <w:p>
      <w:pPr>
        <w:pStyle w:val="Heading2"/>
        <w:spacing w:after="100" w:before="240"/>
      </w:pPr>
      <w:r>
        <w:rPr>
          <w:rFonts w:ascii="Calibri" w:cs="Calibri" w:eastAsia="Calibri" w:hAnsi="Calibri"/>
          <w:b/>
          <w:bCs/>
          <w:color w:val="2E6DA4"/>
          <w:sz w:val="24"/>
          <w:szCs w:val="24"/>
        </w:rPr>
        <w:t xml:space="preserve">Recommended stack — total monthly cost</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2400"/>
        <w:gridCol w:w="2400"/>
        <w:gridCol w:w="1360"/>
        <w:gridCol w:w="3200"/>
      </w:tblGrid>
      <w:tr>
        <w:trPr>
          <w:tblHeader/>
        </w:trPr>
        <w:tc>
          <w:tcPr>
            <w:tcW w:type="dxa" w:w="240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Component</w:t>
            </w:r>
          </w:p>
        </w:tc>
        <w:tc>
          <w:tcPr>
            <w:tcW w:type="dxa" w:w="24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Vendor &amp; tier</w:t>
            </w:r>
          </w:p>
        </w:tc>
        <w:tc>
          <w:tcPr>
            <w:tcW w:type="dxa" w:w="136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 / mo</w:t>
            </w:r>
          </w:p>
        </w:tc>
        <w:tc>
          <w:tcPr>
            <w:tcW w:type="dxa" w:w="32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Delivers</w:t>
            </w:r>
          </w:p>
        </w:tc>
      </w:tr>
      <w:tr>
        <w:tc>
          <w:tcPr>
            <w:tcW w:type="dxa" w:w="24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Real-time backbone</w:t>
            </w:r>
          </w:p>
        </w:tc>
        <w:tc>
          <w:tcPr>
            <w:tcW w:type="dxa" w:w="2400"/>
            <w:shd w:fill="FFFFFF" w:color="auto" w:val="clear"/>
            <w:tcMar>
              <w:top w:type="dxa" w:w="60"/>
              <w:left w:type="dxa" w:w="90"/>
              <w:bottom w:type="dxa" w:w="60"/>
              <w:right w:type="dxa" w:w="90"/>
            </w:tcMar>
          </w:tcPr>
          <w:p>
            <w:pPr>
              <w:spacing w:after="0" w:line="240"/>
              <w:jc w:val="center"/>
            </w:pPr>
            <w:r>
              <w:rPr>
                <w:rFonts w:ascii="Calibri" w:cs="Calibri" w:eastAsia="Calibri" w:hAnsi="Calibri"/>
                <w:sz w:val="18"/>
                <w:szCs w:val="18"/>
              </w:rPr>
              <w:t xml:space="preserve">Polygon Advanced</w:t>
            </w:r>
          </w:p>
        </w:tc>
        <w:tc>
          <w:tcPr>
            <w:tcW w:type="dxa" w:w="1360"/>
            <w:shd w:fill="FFFFFF" w:color="auto"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$199</w:t>
            </w:r>
          </w:p>
        </w:tc>
        <w:tc>
          <w:tcPr>
            <w:tcW w:type="dxa" w:w="3200"/>
            <w:shd w:fill="FFFFFF" w:color="auto" w:val="clear"/>
            <w:tcMar>
              <w:top w:type="dxa" w:w="60"/>
              <w:left w:type="dxa" w:w="90"/>
              <w:bottom w:type="dxa" w:w="60"/>
              <w:right w:type="dxa" w:w="90"/>
            </w:tcMar>
          </w:tcPr>
          <w:p>
            <w:pPr>
              <w:spacing w:after="0" w:line="240"/>
              <w:jc w:val="left"/>
            </w:pPr>
            <w:r>
              <w:rPr>
                <w:rFonts w:ascii="Calibri" w:cs="Calibri" w:eastAsia="Calibri" w:hAnsi="Calibri"/>
                <w:sz w:val="16"/>
                <w:szCs w:val="16"/>
              </w:rPr>
              <w:t xml:space="preserve">Real-time tape, bars, movers, snapshots, options, macro, universe</w:t>
            </w:r>
          </w:p>
        </w:tc>
      </w:tr>
      <w:tr>
        <w:tc>
          <w:tcPr>
            <w:tcW w:type="dxa" w:w="2400"/>
            <w:shd w:fill="EEF2F6" w:color="auto" w:val="clear"/>
            <w:tcMar>
              <w:top w:type="dxa" w:w="60"/>
              <w:left w:type="dxa" w:w="90"/>
              <w:bottom w:type="dxa" w:w="60"/>
              <w:right w:type="dxa" w:w="90"/>
            </w:tcMar>
          </w:tcPr>
          <w:p>
            <w:pPr>
              <w:spacing w:after="0" w:line="240"/>
              <w:jc w:val="left"/>
            </w:pPr>
            <w:r>
              <w:rPr>
                <w:rFonts w:ascii="Calibri" w:cs="Calibri" w:eastAsia="Calibri" w:hAnsi="Calibri"/>
                <w:b/>
                <w:bCs/>
                <w:sz w:val="18"/>
                <w:szCs w:val="18"/>
              </w:rPr>
              <w:t xml:space="preserve">Fundamentals &amp; analysis</w:t>
            </w:r>
          </w:p>
        </w:tc>
        <w:tc>
          <w:tcPr>
            <w:tcW w:type="dxa" w:w="2400"/>
            <w:shd w:fill="EEF2F6" w:color="auto" w:val="clear"/>
            <w:tcMar>
              <w:top w:type="dxa" w:w="60"/>
              <w:left w:type="dxa" w:w="90"/>
              <w:bottom w:type="dxa" w:w="60"/>
              <w:right w:type="dxa" w:w="90"/>
            </w:tcMar>
          </w:tcPr>
          <w:p>
            <w:pPr>
              <w:spacing w:after="0" w:line="240"/>
              <w:jc w:val="center"/>
            </w:pPr>
            <w:r>
              <w:rPr>
                <w:rFonts w:ascii="Calibri" w:cs="Calibri" w:eastAsia="Calibri" w:hAnsi="Calibri"/>
                <w:sz w:val="18"/>
                <w:szCs w:val="18"/>
              </w:rPr>
              <w:t xml:space="preserve">FMP Premium</w:t>
            </w:r>
          </w:p>
        </w:tc>
        <w:tc>
          <w:tcPr>
            <w:tcW w:type="dxa" w:w="1360"/>
            <w:shd w:fill="EEF2F6" w:color="auto" w:val="clear"/>
            <w:tcMar>
              <w:top w:type="dxa" w:w="60"/>
              <w:left w:type="dxa" w:w="90"/>
              <w:bottom w:type="dxa" w:w="60"/>
              <w:right w:type="dxa" w:w="90"/>
            </w:tcMar>
          </w:tcPr>
          <w:p>
            <w:pPr>
              <w:spacing w:after="0" w:line="240"/>
              <w:jc w:val="center"/>
            </w:pPr>
            <w:r>
              <w:rPr>
                <w:rFonts w:ascii="Calibri" w:cs="Calibri" w:eastAsia="Calibri" w:hAnsi="Calibri"/>
                <w:b/>
                <w:bCs/>
                <w:sz w:val="18"/>
                <w:szCs w:val="18"/>
              </w:rPr>
              <w:t xml:space="preserve">~$59</w:t>
            </w:r>
          </w:p>
        </w:tc>
        <w:tc>
          <w:tcPr>
            <w:tcW w:type="dxa" w:w="3200"/>
            <w:shd w:fill="EEF2F6" w:color="auto" w:val="clear"/>
            <w:tcMar>
              <w:top w:type="dxa" w:w="60"/>
              <w:left w:type="dxa" w:w="90"/>
              <w:bottom w:type="dxa" w:w="60"/>
              <w:right w:type="dxa" w:w="90"/>
            </w:tcMar>
          </w:tcPr>
          <w:p>
            <w:pPr>
              <w:spacing w:after="0" w:line="240"/>
              <w:jc w:val="left"/>
            </w:pPr>
            <w:r>
              <w:rPr>
                <w:rFonts w:ascii="Calibri" w:cs="Calibri" w:eastAsia="Calibri" w:hAnsi="Calibri"/>
                <w:sz w:val="16"/>
                <w:szCs w:val="16"/>
              </w:rPr>
              <w:t xml:space="preserve">Statements, ratios, DCF, sectors, calendars, insider/13F, analyst</w:t>
            </w:r>
          </w:p>
        </w:tc>
      </w:tr>
      <w:tr>
        <w:tc>
          <w:tcPr>
            <w:tcW w:type="dxa" w:w="240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TOTAL</w:t>
            </w:r>
          </w:p>
        </w:tc>
        <w:tc>
          <w:tcPr>
            <w:tcW w:type="dxa" w:w="2400"/>
            <w:shd w:fill="1F3B57" w:color="auto" w:val="clear"/>
            <w:tcMar>
              <w:top w:type="dxa" w:w="60"/>
              <w:left w:type="dxa" w:w="90"/>
              <w:bottom w:type="dxa" w:w="60"/>
              <w:right w:type="dxa" w:w="90"/>
            </w:tcMar>
          </w:tcPr>
          <w:p>
            <w:pPr>
              <w:spacing w:after="0" w:line="240"/>
              <w:jc w:val="center"/>
            </w:pPr>
            <w:r>
              <w:rPr>
                <w:rFonts w:ascii="Calibri" w:cs="Calibri" w:eastAsia="Calibri" w:hAnsi="Calibri"/>
                <w:color w:val="FFFFFF"/>
                <w:sz w:val="18"/>
                <w:szCs w:val="18"/>
              </w:rPr>
              <w:t xml:space="preserve">Polygon + FMP</w:t>
            </w:r>
          </w:p>
        </w:tc>
        <w:tc>
          <w:tcPr>
            <w:tcW w:type="dxa" w:w="136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 $258</w:t>
            </w:r>
          </w:p>
        </w:tc>
        <w:tc>
          <w:tcPr>
            <w:tcW w:type="dxa" w:w="3200"/>
            <w:shd w:fill="1F3B57" w:color="auto" w:val="clear"/>
            <w:tcMar>
              <w:top w:type="dxa" w:w="60"/>
              <w:left w:type="dxa" w:w="90"/>
              <w:bottom w:type="dxa" w:w="60"/>
              <w:right w:type="dxa" w:w="90"/>
            </w:tcMar>
          </w:tcPr>
          <w:p>
            <w:pPr>
              <w:spacing w:after="0" w:line="240"/>
              <w:jc w:val="left"/>
            </w:pPr>
            <w:r>
              <w:rPr>
                <w:rFonts w:ascii="Calibri" w:cs="Calibri" w:eastAsia="Calibri" w:hAnsi="Calibri"/>
                <w:color w:val="FFFFFF"/>
                <w:sz w:val="16"/>
                <w:szCs w:val="16"/>
              </w:rPr>
              <w:t xml:space="preserve">Covers the full application except analyst depth &amp; options analytics</w:t>
            </w:r>
          </w:p>
        </w:tc>
      </w:tr>
    </w:tbl>
    <w:p>
      <w:pPr>
        <w:pStyle w:val="Heading2"/>
        <w:spacing w:after="100" w:before="240"/>
      </w:pPr>
      <w:r>
        <w:rPr>
          <w:rFonts w:ascii="Calibri" w:cs="Calibri" w:eastAsia="Calibri" w:hAnsi="Calibri"/>
          <w:b/>
          <w:bCs/>
          <w:color w:val="2E6DA4"/>
          <w:sz w:val="24"/>
          <w:szCs w:val="24"/>
        </w:rPr>
        <w:t xml:space="preserve">Budget scenarios</w:t>
      </w:r>
    </w:p>
    <w:tbl>
      <w:tblPr>
        <w:tblW w:type="dxa" w:w="9360"/>
        <w:tblBorders>
          <w:top w:val="single" w:color="C7D0D9" w:sz="4"/>
          <w:left w:val="single" w:color="C7D0D9" w:sz="4"/>
          <w:bottom w:val="single" w:color="C7D0D9" w:sz="4"/>
          <w:right w:val="single" w:color="C7D0D9" w:sz="4"/>
          <w:insideH w:val="single" w:color="DDE4EA" w:sz="4"/>
          <w:insideV w:val="single" w:color="DDE4EA" w:sz="4"/>
        </w:tblBorders>
      </w:tblPr>
      <w:tblGrid>
        <w:gridCol w:w="1900"/>
        <w:gridCol w:w="4260"/>
        <w:gridCol w:w="1400"/>
        <w:gridCol w:w="1800"/>
      </w:tblGrid>
      <w:tr>
        <w:trPr>
          <w:tblHeader/>
        </w:trPr>
        <w:tc>
          <w:tcPr>
            <w:tcW w:type="dxa" w:w="1900"/>
            <w:shd w:fill="1F3B57" w:color="auto" w:val="clear"/>
            <w:tcMar>
              <w:top w:type="dxa" w:w="60"/>
              <w:left w:type="dxa" w:w="90"/>
              <w:bottom w:type="dxa" w:w="60"/>
              <w:right w:type="dxa" w:w="90"/>
            </w:tcMar>
          </w:tcPr>
          <w:p>
            <w:pPr>
              <w:spacing w:after="0" w:line="240"/>
              <w:jc w:val="left"/>
            </w:pPr>
            <w:r>
              <w:rPr>
                <w:rFonts w:ascii="Calibri" w:cs="Calibri" w:eastAsia="Calibri" w:hAnsi="Calibri"/>
                <w:b/>
                <w:bCs/>
                <w:color w:val="FFFFFF"/>
                <w:sz w:val="19"/>
                <w:szCs w:val="19"/>
              </w:rPr>
              <w:t xml:space="preserve">Scenario</w:t>
            </w:r>
          </w:p>
        </w:tc>
        <w:tc>
          <w:tcPr>
            <w:tcW w:type="dxa" w:w="426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Stack</w:t>
            </w:r>
          </w:p>
        </w:tc>
        <w:tc>
          <w:tcPr>
            <w:tcW w:type="dxa" w:w="14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 / mo</w:t>
            </w:r>
          </w:p>
        </w:tc>
        <w:tc>
          <w:tcPr>
            <w:tcW w:type="dxa" w:w="1800"/>
            <w:shd w:fill="1F3B57" w:color="auto" w:val="clear"/>
            <w:tcMar>
              <w:top w:type="dxa" w:w="60"/>
              <w:left w:type="dxa" w:w="90"/>
              <w:bottom w:type="dxa" w:w="60"/>
              <w:right w:type="dxa" w:w="90"/>
            </w:tcMar>
          </w:tcPr>
          <w:p>
            <w:pPr>
              <w:spacing w:after="0" w:line="240"/>
              <w:jc w:val="center"/>
            </w:pPr>
            <w:r>
              <w:rPr>
                <w:rFonts w:ascii="Calibri" w:cs="Calibri" w:eastAsia="Calibri" w:hAnsi="Calibri"/>
                <w:b/>
                <w:bCs/>
                <w:color w:val="FFFFFF"/>
                <w:sz w:val="19"/>
                <w:szCs w:val="19"/>
              </w:rPr>
              <w:t xml:space="preserve">Trade-off</w:t>
            </w:r>
          </w:p>
        </w:tc>
      </w:tr>
      <w:tr>
        <w:tc>
          <w:tcPr>
            <w:tcW w:type="dxa" w:w="19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Lean / MVP</w:t>
            </w:r>
          </w:p>
        </w:tc>
        <w:tc>
          <w:tcPr>
            <w:tcW w:type="dxa" w:w="42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Polygon Developer ($79, 15-min delayed) + FMP Starter (~$22)</w:t>
            </w:r>
          </w:p>
        </w:tc>
        <w:tc>
          <w:tcPr>
            <w:tcW w:type="dxa" w:w="14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1F3B57"/>
                <w:sz w:val="19"/>
                <w:szCs w:val="19"/>
              </w:rPr>
              <w:t xml:space="preserve">≈ $101</w:t>
            </w:r>
          </w:p>
        </w:tc>
        <w:tc>
          <w:tcPr>
            <w:tcW w:type="dxa" w:w="1800"/>
            <w:shd w:fill="FFFFFF" w:color="auto" w:val="clear"/>
            <w:tcMar>
              <w:top w:type="dxa" w:w="60"/>
              <w:left w:type="dxa" w:w="90"/>
              <w:bottom w:type="dxa" w:w="60"/>
              <w:right w:type="dxa" w:w="90"/>
            </w:tcMar>
          </w:tcPr>
          <w:p>
            <w:pPr>
              <w:spacing w:after="0" w:line="240"/>
              <w:jc w:val="center"/>
            </w:pPr>
            <w:r>
              <w:rPr>
                <w:rFonts w:ascii="Calibri" w:cs="Calibri" w:eastAsia="Calibri" w:hAnsi="Calibri"/>
                <w:sz w:val="16"/>
                <w:szCs w:val="16"/>
              </w:rPr>
              <w:t xml:space="preserve">Delayed tape; 5-yr history</w:t>
            </w:r>
          </w:p>
        </w:tc>
      </w:tr>
      <w:tr>
        <w:tc>
          <w:tcPr>
            <w:tcW w:type="dxa" w:w="1900"/>
            <w:shd w:fill="E6F0E6"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Recommended</w:t>
            </w:r>
          </w:p>
        </w:tc>
        <w:tc>
          <w:tcPr>
            <w:tcW w:type="dxa" w:w="4260"/>
            <w:shd w:fill="E6F0E6"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Polygon Advanced ($199) + FMP Premium (~$59)</w:t>
            </w:r>
          </w:p>
        </w:tc>
        <w:tc>
          <w:tcPr>
            <w:tcW w:type="dxa" w:w="1400"/>
            <w:shd w:fill="E6F0E6" w:color="auto" w:val="clear"/>
            <w:tcMar>
              <w:top w:type="dxa" w:w="60"/>
              <w:left w:type="dxa" w:w="90"/>
              <w:bottom w:type="dxa" w:w="60"/>
              <w:right w:type="dxa" w:w="90"/>
            </w:tcMar>
          </w:tcPr>
          <w:p>
            <w:pPr>
              <w:spacing w:after="0" w:line="240"/>
              <w:jc w:val="center"/>
            </w:pPr>
            <w:r>
              <w:rPr>
                <w:rFonts w:ascii="Calibri" w:cs="Calibri" w:eastAsia="Calibri" w:hAnsi="Calibri"/>
                <w:b/>
                <w:bCs/>
                <w:color w:val="2E7D32"/>
                <w:sz w:val="19"/>
                <w:szCs w:val="19"/>
              </w:rPr>
              <w:t xml:space="preserve">≈ $258</w:t>
            </w:r>
          </w:p>
        </w:tc>
        <w:tc>
          <w:tcPr>
            <w:tcW w:type="dxa" w:w="1800"/>
            <w:shd w:fill="E6F0E6" w:color="auto" w:val="clear"/>
            <w:tcMar>
              <w:top w:type="dxa" w:w="60"/>
              <w:left w:type="dxa" w:w="90"/>
              <w:bottom w:type="dxa" w:w="60"/>
              <w:right w:type="dxa" w:w="90"/>
            </w:tcMar>
          </w:tcPr>
          <w:p>
            <w:pPr>
              <w:spacing w:after="0" w:line="240"/>
              <w:jc w:val="center"/>
            </w:pPr>
            <w:r>
              <w:rPr>
                <w:rFonts w:ascii="Calibri" w:cs="Calibri" w:eastAsia="Calibri" w:hAnsi="Calibri"/>
                <w:sz w:val="16"/>
                <w:szCs w:val="16"/>
              </w:rPr>
              <w:t xml:space="preserve">Real-time; full coverage</w:t>
            </w:r>
          </w:p>
        </w:tc>
      </w:tr>
      <w:tr>
        <w:tc>
          <w:tcPr>
            <w:tcW w:type="dxa" w:w="1900"/>
            <w:shd w:fill="FFFFFF" w:color="auto" w:val="clear"/>
            <w:tcMar>
              <w:top w:type="dxa" w:w="60"/>
              <w:left w:type="dxa" w:w="90"/>
              <w:bottom w:type="dxa" w:w="60"/>
              <w:right w:type="dxa" w:w="90"/>
            </w:tcMar>
          </w:tcPr>
          <w:p>
            <w:pPr>
              <w:spacing w:after="0" w:line="240"/>
              <w:jc w:val="left"/>
            </w:pPr>
            <w:r>
              <w:rPr>
                <w:rFonts w:ascii="Calibri" w:cs="Calibri" w:eastAsia="Calibri" w:hAnsi="Calibri"/>
                <w:b/>
                <w:bCs/>
                <w:sz w:val="19"/>
                <w:szCs w:val="19"/>
              </w:rPr>
              <w:t xml:space="preserve">Full coverage</w:t>
            </w:r>
          </w:p>
        </w:tc>
        <w:tc>
          <w:tcPr>
            <w:tcW w:type="dxa" w:w="4260"/>
            <w:shd w:fill="FFFFFF" w:color="auto" w:val="clear"/>
            <w:tcMar>
              <w:top w:type="dxa" w:w="60"/>
              <w:left w:type="dxa" w:w="90"/>
              <w:bottom w:type="dxa" w:w="60"/>
              <w:right w:type="dxa" w:w="90"/>
            </w:tcMar>
          </w:tcPr>
          <w:p>
            <w:pPr>
              <w:spacing w:after="0" w:line="240"/>
              <w:jc w:val="left"/>
            </w:pPr>
            <w:r>
              <w:rPr>
                <w:rFonts w:ascii="Calibri" w:cs="Calibri" w:eastAsia="Calibri" w:hAnsi="Calibri"/>
                <w:sz w:val="17"/>
                <w:szCs w:val="17"/>
              </w:rPr>
              <w:t xml:space="preserve">Recommended + Finnhub Estimates (~$75) + specialist options/flow feed</w:t>
            </w:r>
          </w:p>
        </w:tc>
        <w:tc>
          <w:tcPr>
            <w:tcW w:type="dxa" w:w="1400"/>
            <w:shd w:fill="FFFFFF" w:color="auto" w:val="clear"/>
            <w:tcMar>
              <w:top w:type="dxa" w:w="60"/>
              <w:left w:type="dxa" w:w="90"/>
              <w:bottom w:type="dxa" w:w="60"/>
              <w:right w:type="dxa" w:w="90"/>
            </w:tcMar>
          </w:tcPr>
          <w:p>
            <w:pPr>
              <w:spacing w:after="0" w:line="240"/>
              <w:jc w:val="center"/>
            </w:pPr>
            <w:r>
              <w:rPr>
                <w:rFonts w:ascii="Calibri" w:cs="Calibri" w:eastAsia="Calibri" w:hAnsi="Calibri"/>
                <w:b/>
                <w:bCs/>
                <w:color w:val="1F3B57"/>
                <w:sz w:val="19"/>
                <w:szCs w:val="19"/>
              </w:rPr>
              <w:t xml:space="preserve">≈ $350+</w:t>
            </w:r>
          </w:p>
        </w:tc>
        <w:tc>
          <w:tcPr>
            <w:tcW w:type="dxa" w:w="1800"/>
            <w:shd w:fill="FFFFFF" w:color="auto" w:val="clear"/>
            <w:tcMar>
              <w:top w:type="dxa" w:w="60"/>
              <w:left w:type="dxa" w:w="90"/>
              <w:bottom w:type="dxa" w:w="60"/>
              <w:right w:type="dxa" w:w="90"/>
            </w:tcMar>
          </w:tcPr>
          <w:p>
            <w:pPr>
              <w:spacing w:after="0" w:line="240"/>
              <w:jc w:val="center"/>
            </w:pPr>
            <w:r>
              <w:rPr>
                <w:rFonts w:ascii="Calibri" w:cs="Calibri" w:eastAsia="Calibri" w:hAnsi="Calibri"/>
                <w:sz w:val="16"/>
                <w:szCs w:val="16"/>
              </w:rPr>
              <w:t xml:space="preserve">Adds analyst targets &amp; options flow</w:t>
            </w:r>
          </w:p>
        </w:tc>
      </w:tr>
    </w:tbl>
    <w:p>
      <w:pPr>
        <w:pBdr>
          <w:left w:val="single" w:color="C9A227" w:sz="24" w:space="12"/>
        </w:pBdr>
        <w:shd w:fill="EEF2F6" w:color="auto" w:val="clear"/>
        <w:spacing w:after="120" w:before="140"/>
      </w:pPr>
      <w:r>
        <w:rPr>
          <w:rFonts w:ascii="Calibri" w:cs="Calibri" w:eastAsia="Calibri" w:hAnsi="Calibri"/>
          <w:b/>
          <w:bCs/>
          <w:color w:val="1F3B57"/>
          <w:sz w:val="20"/>
          <w:szCs w:val="20"/>
        </w:rPr>
        <w:t xml:space="preserve">Cost takeaway.  </w:t>
      </w:r>
      <w:r>
        <w:rPr>
          <w:rFonts w:ascii="Calibri" w:cs="Calibri" w:eastAsia="Calibri" w:hAnsi="Calibri"/>
          <w:color w:val="23303B"/>
          <w:sz w:val="20"/>
          <w:szCs w:val="20"/>
        </w:rPr>
        <w:t xml:space="preserve">The recommended Polygon + FMP stack is roughly $258/mo and covers the whole application bar two niche columns. Trying to consolidate onto a single vendor does not save money: Finnhub’s modular à-la-carte quickly exceeds this once candles + fundamentals + a commercial license are added, and no single vendor supplies real-time streaming plus deep fundamentals plus analyst/insider data at a lower total.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7"/>
      <w:sz w:val="30"/>
      <w:szCs w:val="30"/>
    </w:rPr>
  </w:style>
  <w:style w:type="paragraph" w:styleId="Heading2">
    <w:name w:val="Heading 2"/>
    <w:basedOn w:val="Normal"/>
    <w:next w:val="Normal"/>
    <w:qFormat/>
    <w:rPr>
      <w:rFonts w:ascii="Calibri" w:cs="Calibri" w:eastAsia="Calibri" w:hAnsi="Calibri"/>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Data API Feature &amp; Capability Report</dc:title>
  <dc:creator>Market Data Evaluation</dc:creator>
  <dc:description>Polygon vs FMP vs Finnhub vs Alpha Vantage</dc:description>
  <cp:lastModifiedBy>Un-named</cp:lastModifiedBy>
  <cp:revision>1</cp:revision>
  <dcterms:created xsi:type="dcterms:W3CDTF">2026-08-06T14:13:34.811Z</dcterms:created>
  <dcterms:modified xsi:type="dcterms:W3CDTF">2026-08-06T14:13:34.817Z</dcterms:modified>
</cp:coreProperties>
</file>

<file path=docProps/custom.xml><?xml version="1.0" encoding="utf-8"?>
<Properties xmlns="http://schemas.openxmlformats.org/officeDocument/2006/custom-properties" xmlns:vt="http://schemas.openxmlformats.org/officeDocument/2006/docPropsVTypes"/>
</file>