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2A3A"/>
          <w:sz w:val="44"/>
          <w:szCs w:val="44"/>
        </w:rPr>
        <w:t xml:space="preserve">PRODUCT REQUIREMENTS DOCUMENT</w:t>
      </w:r>
    </w:p>
    <w:p>
      <w:pPr>
        <w:spacing w:after="100" w:before="200"/>
        <w:jc w:val="center"/>
      </w:pPr>
      <w:r>
        <w:rPr>
          <w:b/>
          <w:bCs/>
          <w:color w:val="A87C2A"/>
          <w:sz w:val="32"/>
          <w:szCs w:val="32"/>
        </w:rPr>
        <w:t xml:space="preserve">Modern Nepalese Fine Jewelry Brand</w:t>
      </w:r>
    </w:p>
    <w:p>
      <w:pPr>
        <w:spacing w:after="600"/>
        <w:jc w:val="center"/>
      </w:pPr>
      <w:r>
        <w:rPr>
          <w:i/>
          <w:iCs/>
          <w:color w:val="5B5B5B"/>
          <w:sz w:val="22"/>
          <w:szCs w:val="22"/>
        </w:rPr>
        <w:t xml:space="preserve">Brand System • Website &amp; E-Commerce • Marketing &amp; Advertising</w:t>
      </w:r>
    </w:p>
    <w:p>
      <w:pPr>
        <w:jc w:val="center"/>
      </w:pPr>
      <w:r>
        <w:rPr>
          <w:color w:val="5B5B5B"/>
          <w:sz w:val="20"/>
          <w:szCs w:val="20"/>
        </w:rPr>
        <w:t xml:space="preserve">Version 1.0  |  Prepared 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Overview &amp; Objective</w:t>
      </w:r>
    </w:p>
    <w:p>
      <w:pPr>
        <w:spacing w:after="160"/>
      </w:pPr>
      <w:r>
        <w:t xml:space="preserve">This document defines the complete brand, website/e-commerce, and marketing-advertising system for a new modern Nepalese fine jewelry brand. It is phased deliberately: a lean, fundable Phase 1 launch system, followed by Phase 2 and Phase 3 upgrades that are only justified once the business has revenue and data to support them. The intent is to avoid building luxury-conglomerate infrastructure (blockchain provenance, enterprise AR, in-house 3D-print manufacturing) before the brand has proven it can sell.</w:t>
      </w:r>
    </w:p>
    <w:p>
      <w:pPr>
        <w:spacing w:after="120"/>
      </w:pPr>
      <w:r>
        <w:rPr>
          <w:b/>
          <w:bCs/>
        </w:rPr>
        <w:t xml:space="preserve">Core positioning: </w:t>
      </w:r>
      <w:r>
        <w:t xml:space="preserve">Shift the customer from viewing jewelry as priced bullion (gold/silver by weight) to viewing it as wearable art with a recognizable design identity and verifiable purity.</w:t>
      </w:r>
    </w:p>
    <w:p>
      <w:pPr>
        <w:spacing w:after="120"/>
      </w:pPr>
      <w:r>
        <w:rPr>
          <w:b/>
          <w:bCs/>
        </w:rPr>
        <w:t xml:space="preserve">Primary market: </w:t>
      </w:r>
      <w:r>
        <w:t xml:space="preserve">Urban Nepal (Kathmandu Valley first), Gen Z / young millennial buyers plus traditional gifting occasions (weddings, Dashain/Tihar, engagements).</w:t>
      </w:r>
    </w:p>
    <w:p>
      <w:pPr>
        <w:spacing w:after="120"/>
      </w:pPr>
      <w:r>
        <w:rPr>
          <w:b/>
          <w:bCs/>
        </w:rPr>
        <w:t xml:space="preserve">Secondary market (Phase 3+): </w:t>
      </w:r>
      <w:r>
        <w:t xml:space="preserve">Nepali diaspora (Gulf, US, Australia, UK) — higher willingness to pay, added shipping/customs complexity.</w:t>
      </w:r>
    </w:p>
    <w:p>
      <w:pPr>
        <w:spacing w:after="120"/>
      </w:pPr>
      <w:r>
        <w:rPr>
          <w:b/>
          <w:bCs/>
        </w:rPr>
        <w:t xml:space="preserve">Success definition: </w:t>
      </w:r>
      <w:r>
        <w:t xml:space="preserve">A repeatable, unit-economically sound direct-to-consumer channel that does not depend on the founder's personal network to sell.</w:t>
      </w:r>
    </w:p>
    <w:p>
      <w:pPr>
        <w:pStyle w:val="Heading1"/>
        <w:spacing w:after="200" w:before="400"/>
      </w:pPr>
      <w:r>
        <w:t xml:space="preserve">2. Brand Strategy</w:t>
      </w:r>
    </w:p>
    <w:p>
      <w:pPr>
        <w:pStyle w:val="Heading2"/>
        <w:spacing w:after="150" w:before="300"/>
      </w:pPr>
      <w:r>
        <w:t xml:space="preserve">2.1 Positioning Statement</w:t>
      </w:r>
    </w:p>
    <w:p>
      <w:pPr>
        <w:spacing w:after="160"/>
      </w:pPr>
      <w:r>
        <w:t xml:space="preserve">For young, image-conscious Nepali buyers and gifting occasions, [Brand] is the jewelry house that replaces “gold by the tola” thinking with wearable art you can verify — anchored by one recognizable motif and a guarantee of purity that Nepal's market has historically lacked.</w:t>
      </w:r>
    </w:p>
    <w:p>
      <w:pPr>
        <w:pStyle w:val="Heading2"/>
        <w:spacing w:after="150" w:before="300"/>
      </w:pPr>
      <w:r>
        <w:t xml:space="preserve">2.2 Signature Motif (highest-priority brand asset)</w:t>
      </w:r>
    </w:p>
    <w:p>
      <w:pPr>
        <w:spacing w:after="160"/>
      </w:pPr>
      <w:r>
        <w:t xml:space="preserve">A single, ownable design element repeated across every collection — the way Cartier owns the Panthère and Van Cleef &amp; Arpels owns the Alhambra clover. This is the cheapest, highest-leverage thing in this whole PRD and should be locked before anything else ships.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Candidate directions: a stylised lotus petal edge, a geometric motif drawn from Newari temple lattice/strut work, a modern take on the Nepali “paisley” (paankhi) curve.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Requirement: must work as (a) a physical engraving/motif on metal, (b) a 2D logo mark, (c) a packaging pattern, (d) a social media avatar at 40px.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3–5 motif concepts from a designer/illustrator, tested on 2–3 physical prototypes before locking.</w:t>
      </w:r>
    </w:p>
    <w:p>
      <w:pPr>
        <w:pStyle w:val="Heading2"/>
        <w:spacing w:after="150" w:before="300"/>
      </w:pPr>
      <w:r>
        <w:t xml:space="preserve">2.3 Trust &amp; Transparency Pillar</w:t>
      </w:r>
    </w:p>
    <w:p>
      <w:pPr>
        <w:spacing w:after="160"/>
      </w:pPr>
      <w:r>
        <w:t xml:space="preserve">Purity fraud (cadmium-mixed silver, undisclosed alloy content) is a documented, real pain point in the Nepali market. This is a genuine differentiation angle and should be the second pillar of every piece of marketing, not a footnote.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commitment: cadmium-free, disclosed alloy composition on every listing and receipt.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1: a printed purity/certificate card with lab-test batch reference number — no blockchain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2+: NFC tag on packaging linking to a web page with the piece's material origin, karigar (artisan) credit, and batch certificate — a simple database-backed page, not a blockchain product passport.</w:t>
      </w:r>
    </w:p>
    <w:p>
      <w:pPr>
        <w:pStyle w:val="Heading2"/>
        <w:spacing w:after="150" w:before="300"/>
      </w:pPr>
      <w:r>
        <w:t xml:space="preserve">2.4 Brand Voice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Confident, warm, specific — never generic luxury-speak (“indulge,” “timeless elegance”).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Leads with craft and provenance: name the karigar, name the material, name the motif's meaning.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Bilingual by default: Nepali-first tone for local buyers, English for diaspora/global.</w:t>
      </w:r>
    </w:p>
    <w:p>
      <w:pPr>
        <w:pStyle w:val="Heading1"/>
        <w:spacing w:after="200" w:before="400"/>
      </w:pPr>
      <w:r>
        <w:t xml:space="preserve">3. Visual Identity Guidelines</w:t>
      </w:r>
    </w:p>
    <w:p>
      <w:pPr>
        <w:pStyle w:val="Heading2"/>
        <w:spacing w:after="150" w:before="300"/>
      </w:pPr>
      <w:r>
        <w:t xml:space="preserve">3.1 Logo</w:t>
      </w:r>
    </w:p>
    <w:p>
      <w:pPr>
        <w:spacing w:after="160"/>
      </w:pPr>
      <w:r>
        <w:t xml:space="preserve">Wordmark in a refined serif or high-contrast sans (avoid generic “luxury script” cliches), paired with the signature motif as a standalone mark usable without the wordmark (packaging, favicon, social avatar).</w:t>
      </w:r>
    </w:p>
    <w:p>
      <w:pPr>
        <w:pStyle w:val="Heading2"/>
        <w:spacing w:after="150" w:before="300"/>
      </w:pPr>
      <w:r>
        <w:t xml:space="preserve">3.2 Colour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0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Charcoal Navy (#1B2A3A)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Backgrounds, headers, primary text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Accent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Antique Gold (#A87C2A)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CTAs, motif line-work, foil packaging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Warm Ivory (#F2EDE4)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backgrounds, product photography backdrop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Slate Grey (#5B5B5B)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copy, secondary text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3.3 Typography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Headings: a refined serif (e.g. Playfair Display, Canela, or a licensed equivalent) for warmth and craft association.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Body/UI: a clean grotesk (e.g. Inter, Suisse) for readability on mobile — most Nepali traffic will be mobile-first.</w:t>
      </w:r>
    </w:p>
    <w:p>
      <w:pPr>
        <w:pStyle w:val="Heading2"/>
        <w:spacing w:after="150" w:before="300"/>
      </w:pPr>
      <w:r>
        <w:t xml:space="preserve">3.4 Photography Style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Warm ivory/neutral backdrops, natural light emulation, macro shots showing texture and motif detail.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collection includes at least one shoot on a real Nepali model in a real setting (temple courtyard, Kathmandu Valley, a wedding context) — not generic AI-model renders. AI-generated imagery, if used at all, is a Phase 2+ cost-saving supplement for catalogue filler shots only, never for hero/campaign imagery.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Website &amp; E-Commerce PRD</w:t>
      </w:r>
    </w:p>
    <w:p>
      <w:pPr>
        <w:pStyle w:val="Heading2"/>
        <w:spacing w:after="150" w:before="300"/>
      </w:pPr>
      <w:r>
        <w:t xml:space="preserve">4.1 Goals &amp; Success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35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 conversion rate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1.0–1.5%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Realistic for a new jewelry DTC site; luxury AR-enabled sites cite higher, but that's Phase 2+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 abandonment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&lt;70%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High-value items naturally abandon more; retarget via WhatsApp/Meta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share of traffic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70%+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mobile-first, not desktop-first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Avg. order value (AOV)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from month 1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to size CAC ceiling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4.2 Information Architecture (Sitemap)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 → Collections → Category → Product Detail Page (PDP)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Motif (brand story page explaining the signature design)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Purity &amp; Provenance (the trust page — certificate explanation, karigar credits, NFC/DPP lookup in Phase 2+)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Our Karigars (artisan storytelling — doubles as content marketing)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Orders / Bridal (lead-gen form, not full checkout — high-touch sales)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 → Checkout → Order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(order history, wishlist)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Journal/Blog (SEO + storytelling content)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/ WhatsApp chat entry point</w:t>
      </w:r>
    </w:p>
    <w:p>
      <w:pPr>
        <w:pStyle w:val="Heading2"/>
        <w:spacing w:after="150" w:before="300"/>
      </w:pPr>
      <w:r>
        <w:t xml:space="preserve">4.3 Core Page Requirements</w:t>
      </w:r>
    </w:p>
    <w:p>
      <w:pPr>
        <w:pStyle w:val="Heading3"/>
        <w:spacing w:after="100" w:before="200"/>
      </w:pPr>
      <w:r>
        <w:t xml:space="preserve">Home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Hero: single strongest campaign image, one clear CTA (Shop the Collection).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Motif introduction strip — 3–4 pieces shown with the motif detail zoomed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strip: cadmium-free badge, purity certificate mention, karigar credit 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proof: Instagram feed embed or UGC strip.</w:t>
      </w:r>
    </w:p>
    <w:p>
      <w:pPr>
        <w:pStyle w:val="Heading3"/>
        <w:spacing w:after="100" w:before="200"/>
      </w:pPr>
      <w:r>
        <w:t xml:space="preserve">Product Detail Page (PDP)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High-res image set (min. 6 angles) + one macro shot of the motif detail.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 block: metal, purity (with certificate reference number), weight, gemstone info if applicable.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Karigar credit (“Crafted by [name/atelier] in [location]”) — reinforces provenance 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Sizing guide (rings) and a simple size-comparison photo (coin/finger reference) in lieu of AR in Phase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“Ask about this piece” button — Nepali buyers convert heavily through chat; don't force everything through a Western-style cart flow.</w:t>
      </w:r>
    </w:p>
    <w:p>
      <w:pPr>
        <w:pStyle w:val="Heading3"/>
        <w:spacing w:after="100" w:before="200"/>
      </w:pPr>
      <w:r>
        <w:t xml:space="preserve">Purity &amp; Provenance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Explains lab-testing process, cadmium-free commitment, and how to verify a specific piece's certificate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1: static explanation + manual certificate lookup (email/WhatsApp request).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2: searchable certificate number field on this page, backed by a simple database — not blockchain.</w:t>
      </w:r>
    </w:p>
    <w:p>
      <w:pPr>
        <w:pStyle w:val="Heading3"/>
        <w:spacing w:after="100" w:before="200"/>
      </w:pPr>
      <w:r>
        <w:t xml:space="preserve">Checkout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 checkout mandatory — do not force account creation.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payment methods: eSewa, Khalti, Fonepay, plus COD (cash on delivery) since COD is still dominant in Nepali e-commerce and RTO (return-to-origin) risk needs a defined policy — e.g. partial deposit for COD orders above a set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Clear, itemised delivery timeline by zone (Kathmandu Valley vs. outside valley vs. diaspora/international).</w:t>
      </w:r>
    </w:p>
    <w:p>
      <w:pPr>
        <w:pStyle w:val="Heading2"/>
        <w:spacing w:after="150" w:before="300"/>
      </w:pPr>
      <w:r>
        <w:t xml:space="preserve">4.4 Phase 1 (Launch) Feature Set — build this and nothing more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it's Phase 1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Responsive e-commerce storefront (Shopify or WooCommerce)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to launch, low technical overhead for a non-technical founder using freelancers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eSewa / Khalti / Fonepay + COD checkout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Matches actual Nepali payment behaviour today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purity/certificate page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Delivers the trust message without database/NFC build cost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Business chat integration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Where Nepali buyers actually convert for high-value items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photography (real shoot, no AR/AI)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 trust-per-rupee; buyers need to see real pieces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DipArtha for inventory/showroom ops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Already built for this exact market, IRD-recognised, low cost (NPR 30k–90k/yr)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4.5 Phase 2 (Post-revenue) Feature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NFC tag + database-backed provenance lookup (real DPP-lite, no blockchain).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AR try-on for rings/earrings via a mid-market tool (evaluate cost/SKU before committing — verify current vendor pricing directly rather than assuming; Threekit-class tools are enterprise-priced and only justified once catalogue and revenue support the per-SKU 3D-scanning cost).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Email/SMS lifecycle marketing (abandoned cart, restock alerts, gifting-occasion reminders around Dashain/Tihar/wedding season).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Loyalty / referral program (jewelry is gift-driven and high-referral by nature).</w:t>
      </w:r>
    </w:p>
    <w:p>
      <w:pPr>
        <w:pStyle w:val="Heading2"/>
        <w:spacing w:after="150" w:before="300"/>
      </w:pPr>
      <w:r>
        <w:t xml:space="preserve">4.6 Phase 3 (Scale) Feature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blockchain-backed Digital Product Passport — only once you have the volume and international buyer base (diaspora, export) where third-party verification actually matters commercially.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AI-assisted photorealistic catalogue renders for filler/variant SKUs (never for hero campaign imagery).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In-house or dedicated CAD + 3D-print production line — once order volume justifies owning this instead of outsourcing to existing karigars/manufacturers.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International shipping/customs-compliant checkout for diaspora markets (Gulf, US, Australia, UK).</w:t>
      </w:r>
    </w:p>
    <w:p>
      <w:pPr>
        <w:pStyle w:val="Heading2"/>
        <w:spacing w:after="150" w:before="300"/>
      </w:pPr>
      <w:r>
        <w:t xml:space="preserve">4.7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 performance: sub-3-second load on 4G, since most Nepali mobile traffic is not on premium networks.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Nepali + English bilingual site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PCI-compliant payment handling via chosen gateway/aggregator; do not build custom payment handling.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SEO fundamentals (structured data on PDPs, sitemap, fast core web vitals) — organic search is a free CAC channel this market under-uses.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Operations Stack</w:t>
      </w:r>
    </w:p>
    <w:p>
      <w:pPr>
        <w:pStyle w:val="Heading2"/>
        <w:spacing w:after="150" w:before="300"/>
      </w:pPr>
      <w:r>
        <w:t xml:space="preserve">5.1 Inventory &amp; Showroom — DipArtha</w:t>
      </w:r>
    </w:p>
    <w:p>
      <w:pPr>
        <w:spacing w:after="160"/>
      </w:pPr>
      <w:r>
        <w:t xml:space="preserve">Use DipArtha (Autonomous Technology / Swordfish Technology) for day-to-day inventory, dual weight tracking (grams/tola), barcode billing, and karigar order tracking. It is IRD-recognised and already adopted by 200+ Kathmandu jewelers — low integration risk. Cost: roughly NPR 30,000–90,000/year depending on package, plus annual renewal.</w:t>
      </w:r>
    </w:p>
    <w:p>
      <w:pPr>
        <w:pStyle w:val="Heading2"/>
        <w:spacing w:after="150" w:before="300"/>
      </w:pPr>
      <w:r>
        <w:t xml:space="preserve">5.2 Order-to-Delivery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placed on website (prepaid via eSewa/Khalti/Fonepay, or COD with deposit above threshold) → order synced to DipArtha → pick/pack from showroom stock or routed to karigar for made-to-order pieces → quality check against certificate spec → dispatch via courier partner → delivery confirmation → post-delivery review/referral prompt.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Custom/bridal orders route to a manual sales consultation (call/WhatsApp/showroom visit) rather than the standard checkout — high-touch, high-AOV, needs a human.</w:t>
      </w:r>
    </w:p>
    <w:p>
      <w:pPr>
        <w:pStyle w:val="Heading1"/>
        <w:spacing w:after="200" w:before="400"/>
      </w:pPr>
      <w:r>
        <w:t xml:space="preserve">6. Marketing &amp; Advertising Strategy</w:t>
      </w:r>
    </w:p>
    <w:p>
      <w:pPr>
        <w:pStyle w:val="Heading2"/>
        <w:spacing w:after="150" w:before="300"/>
      </w:pPr>
      <w:r>
        <w:t xml:space="preserve">6.1 Channel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0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/ Facebook (organic + paid)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discovery channel; motif storytelling, karigar features, UGC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Conversion channel for high-value/consultative sales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Search (SEO + paid)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 high-intent “jewelry shop Kathmandu” / gifting-occasion searches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1–2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Micro-influencers (Nepali fashion/lifestyle)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Credibility + reach for younger segment; cheaper than celebrity endorsement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1–2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 / Reels short-form video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Motif/craft process content, behind-the-scenes karigar footage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Diaspora-targeted paid (Meta geo-targeting to Gulf/US/UK Nepali communities)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AOV export demand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6.2 Launch Campaign Concept</w:t>
      </w:r>
    </w:p>
    <w:p>
      <w:pPr>
        <w:spacing w:after="160"/>
      </w:pPr>
      <w:r>
        <w:t xml:space="preserve">“Not by weight. By design.” — a campaign built around the two pillars: the signature motif (design identity) and the purity guarantee (trust identity). Launch content directly contrasts old-model buying (priced by tola, no design identity, no purity guarantee) against the new model, without naming competitors.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 video: karigar hands crafting the signature motif, cut with a customer wearing the finished piece.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collection sized deliberately small (8–12 SKUs) to keep photography, DipArtha setup, and cash-tied-up-in-inventory manageable.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 via micro-influencers before paid spend — validate messaging cheaply before scaling ad budget.</w:t>
      </w:r>
    </w:p>
    <w:p>
      <w:pPr>
        <w:pStyle w:val="Heading2"/>
        <w:spacing w:after="150" w:before="300"/>
      </w:pPr>
      <w:r>
        <w:t xml:space="preserve">6.3 Content Pillars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Craft &amp; provenance: karigar profiles, making-of content, motif meaning.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Trust: purity testing explainers, “what cadmium contamination actually is and why it matters” education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Occasion-led: Dashain, Tihar, wedding season, engagement gifting guides.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proof: real customer styling, UGC reposts, review highlights.</w:t>
      </w:r>
    </w:p>
    <w:p>
      <w:pPr>
        <w:pStyle w:val="Heading2"/>
        <w:spacing w:after="150" w:before="300"/>
      </w:pPr>
      <w:r>
        <w:t xml:space="preserve">6.4 Budget Allocation Guidance (indicative, not prescriptive)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700"/>
      </w:tblGrid>
      <w:tr>
        <w:trPr>
          <w:tblHeader/>
        </w:trPr>
        <w:tc>
          <w:tcPr>
            <w:tcW w:type="dxa" w:w="35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marketing budget</w:t>
            </w:r>
          </w:p>
        </w:tc>
        <w:tc>
          <w:tcPr>
            <w:tcW w:type="dxa" w:w="27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Photography/video production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25–30%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Highest-leverage spend at launch; underinvesting here undercuts everything else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Paid social (Meta)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30–35%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discovery + retargeting channel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Influencer seeding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15–20%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Micro-influencers over celebrity at this stage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(SEO/paid)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10–15%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Compounds over time; don't skip SEO fundamentals even if paid budget is thin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Contingency/testing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creative testing and channel experiments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  <w:color w:val="5B5B5B"/>
        </w:rPr>
        <w:t xml:space="preserve">These are directional starting points, not a media plan — actual allocation should shift within the first 60–90 days based on real CAC-by-channel data, not this table.</w:t>
      </w:r>
    </w:p>
    <w:p>
      <w:pPr>
        <w:pStyle w:val="Heading2"/>
        <w:spacing w:after="150" w:before="300"/>
      </w:pPr>
      <w:r>
        <w:t xml:space="preserve">6.5 CAC / LTV Discipline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 maximum acceptable CAC per SKU tier before spending (e.g. entry-tier silver piece vs. bridal-tier gold piece will tolerate very different CAC).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repeat purchase rate and referral rate explicitly — jewelry is gift-driven and high-referral; a referral program should be treated as a core growth channel, not an afterthought.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scale paid spend past Phase 1 budget until at least one full sales cycle of real CAC/AOV/repeat-rate data exists.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Phased Roadmap &amp; Budget Gates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  <w:tc>
          <w:tcPr>
            <w:tcW w:type="dxa" w:w="3000"/>
            <w:shd w:fill="1B2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 to move to next phase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— Launch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Motif locked, brand identity, Shopify/Woo storefront, static trust page, WhatsApp, DipArtha, real photography, organic + light paid social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1 full sales cycle of data: real conversion rate, CAC, AOV, repeat/referral rate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— Post-revenue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NFC/database provenance lookup, lifecycle marketing (email/SMS), loyalty/referral program, mid-market AR pilot on 1–2 SKUs only, TikTok/Reels content push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Consistent positive unit economics across ≥ 2–3 sales cycles; enough SKU volume to justify AR scan cost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— Scale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blockchain DPP (only if exporting/diaspora demand justifies it), in-house CAD/3D-print production, diaspora-targeted international checkout, AI-assisted catalogue rendering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Proven repeat export/diaspora demand and inventory volume that outgrows outsourced karigar/manufacturer capacity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8. Risks &amp;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COD/RTO risk: Nepali e-commerce still leans COD-heavy; needs a deposit or verification policy for high-value items to avoid return-to-origin losses eating margin.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Inventory capital lock-up: jewelry ties up more cash per SKU than typical DTC goods — launch SKU count should stay deliberately small until sell-through data exists.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NRB / import-export regulatory constraints on gold and silver may affect sourcing and, later, diaspora/export shipping — confirm current rules before committing to Phase 3 export plans.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claims (AR conversion lift, AI rendering tools) in this space are often generic marketing stats, not Nepal-specific — re-validate actual vendor pricing and terms at the time of Phase 2/3 evaluation rather than assuming today's figures hold.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Karigar capacity: confirm how many artisans can realistically support the launch collection's production timeline before finalising launch SKU count.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B2A3A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B2A3A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A87C2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2026-07-17T02:24:18.900Z</dcterms:created>
  <dcterms:modified xsi:type="dcterms:W3CDTF">2026-07-17T02:24:18.919Z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