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Cluster-Adaptive Prompting for Multi-Turn Travel and Tourism Conversational Systems</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October 11,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2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2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pPr>
        <w:spacing w:before="0" w:after="2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pPr>
        <w:spacing w:before="0" w:after="2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2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12</w:t>
      </w:r>
    </w:p>
    <w:p>
      <w:pPr>
        <w:spacing w:before="0" w:after="2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2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2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pPr>
        <w:spacing w:before="0" w:after="2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pPr>
        <w:spacing w:before="0" w:after="2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2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pPr>
        <w:spacing w:before="0" w:after="2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pPr>
        <w:spacing w:before="0" w:after="2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2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2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2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pPr>
        <w:spacing w:before="0" w:after="20" w:line="252" w:lineRule="auto"/>
        <w:tabs>
          <w:tab w:val="right" w:leader="dot" w:pos="9360"/>
        </w:tabs>
      </w:pPr>
      <w:r>
        <w:rPr>
          <w:rFonts w:ascii="Times New Roman" w:hAnsi="Times New Roman"/>
          <w:b/>
          <w:sz w:val="21"/>
        </w:rPr>
        <w:t>Appendix C: Related Research Comparison and Literature Positioning</w:t>
      </w:r>
      <w:r>
        <w:rPr>
          <w:rFonts w:ascii="Times New Roman" w:hAnsi="Times New Roman"/>
        </w:rPr>
        <w:tab/>
      </w:r>
      <w:r>
        <w:rPr>
          <w:rFonts w:ascii="Times New Roman" w:hAnsi="Times New Roman"/>
          <w:b/>
          <w:sz w:val="21"/>
        </w:rPr>
        <w:t>31</w:t>
      </w:r>
    </w:p>
    <w:p>
      <w:r>
        <w:br w:type="page"/>
      </w:r>
    </w:p>
    <w:p>
      <w:pPr>
        <w:spacing w:before="0" w:after="240" w:line="480" w:lineRule="auto"/>
        <w:jc w:val="center"/>
      </w:pPr>
      <w:r>
        <w:rPr>
          <w:rFonts w:ascii="Times New Roman" w:hAnsi="Times New Roman"/>
          <w:b/>
          <w:sz w:val="24"/>
        </w:rPr>
        <w:t>Cluster-Adaptive Prompting for Multi-Turn Travel and Tourism Conversational Systems</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Conversational artificial intelligence (AI) agents are increasingly used in travel and tourism to support destination discovery, itinerary planning, and booking (Jannach et al., 2021). Travelers have different needs and interaction styles. First-time travelers often seek reassurance and step-by-step guidance, solo travelers value flexibility, families prioritize comfort and accessibility, and business travelers focus on speed and efficiency (Inaba et al., 2022). However, most current travel chatbots rely on static, "one-size-fits-all" prompts. These rigid prompts treat every user identically and fail to adapt their questions or pacing to the traveler's specific needs. As a result, users face repetitive clarification questions and conversational friction, often abandoning the session before completing their plans.</w:t>
      </w:r>
    </w:p>
    <w:p>
      <w:pPr>
        <w:spacing w:before="0" w:after="0" w:line="480" w:lineRule="auto"/>
        <w:ind w:firstLine="720"/>
        <w:jc w:val="left"/>
      </w:pPr>
      <w:r>
        <w:rPr>
          <w:rFonts w:ascii="Times New Roman" w:hAnsi="Times New Roman"/>
          <w:b w:val="0"/>
          <w:i w:val="0"/>
          <w:sz w:val="24"/>
        </w:rPr>
        <w:t>To solve this issue, system designers often try to adapt the chatbot's style dynamically through prompt engineering, such as adding example dialogues into the prompt. However, adjusting conversation styles through prompts alone creates serious challenges (Rebedea et al., 2023). When unconstrained conversation examples are added to the prompt, large language models frequently get confused. They tend to copy outdated information from the examples, such as old ticket prices, invalid travel dates, or conflicting customer preferences. Worse, the model can hallucinate false details or violate strict travel business policies, such as booking without required passport validity or offering unauthorized discounts. To address these challenges, this research develops a data-driven framework that groups travel conversations into distinct styles to guide the prompt dynamically, while using strict business rules to prevent factual errors and policy violations. This approach aims to provide personalized, style-appropriate conversations while keeping travel bookings accurate and compliant.</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 like Clustering Algorithm, In-Context Conditioning Strategy, Business Rule Enforcement Mode, and In-Context Exemplar Count, statistically impact measurable dependent variables like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data, the methodology guarantees 100% scientific reproducibility without proprietary data dependencies</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 measured via Turns to Goal Completion (TGC) and Redundant Elicitation Rate (RER), 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randomization guarantees equal archetype representation, eliminates ordering and recency artifacts, and ensures findings reflect true behavioral patterns rather than dataset sequencing.</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 Cluster Quality Differences)</w:t>
      </w:r>
    </w:p>
    <w:p>
      <w:pPr>
        <w:spacing w:before="0" w:after="0" w:line="480" w:lineRule="auto"/>
        <w:ind w:firstLine="720"/>
        <w:jc w:val="left"/>
      </w:pPr>
      <w:r>
        <w:rPr>
          <w:rFonts w:ascii="Times New Roman" w:hAnsi="Times New Roman"/>
          <w:b w:val="0"/>
          <w:i w:val="0"/>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pPr>
        <w:spacing w:before="80" w:after="40" w:line="480" w:lineRule="auto"/>
        <w:jc w:val="left"/>
      </w:pPr>
      <w:r>
        <w:rPr>
          <w:rFonts w:ascii="Times New Roman" w:hAnsi="Times New Roman"/>
          <w:b/>
          <w:i/>
          <w:sz w:val="24"/>
        </w:rPr>
        <w:t>Stepwise Calculation for RQ2 (One-Way ANOVA - Semantic Style Convergence)</w:t>
      </w:r>
    </w:p>
    <w:p>
      <w:pPr>
        <w:spacing w:before="0" w:after="0" w:line="480" w:lineRule="auto"/>
        <w:ind w:firstLine="720"/>
        <w:jc w:val="left"/>
      </w:pPr>
      <w:r>
        <w:rPr>
          <w:rFonts w:ascii="Times New Roman" w:hAnsi="Times New Roman"/>
          <w:b w:val="0"/>
          <w:i w:val="0"/>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pPr>
        <w:spacing w:before="80" w:after="40" w:line="480" w:lineRule="auto"/>
        <w:jc w:val="left"/>
      </w:pPr>
      <w:r>
        <w:rPr>
          <w:rFonts w:ascii="Times New Roman" w:hAnsi="Times New Roman"/>
          <w:b/>
          <w:i/>
          <w:sz w:val="24"/>
        </w:rPr>
        <w:t>Stepwise Calculation for RQ3 (Two-Way Factorial ANOVA - 2x2 Ablation Experiment)</w:t>
      </w:r>
    </w:p>
    <w:p>
      <w:pPr>
        <w:spacing w:before="0" w:after="0" w:line="480" w:lineRule="auto"/>
        <w:ind w:firstLine="720"/>
        <w:jc w:val="left"/>
      </w:pPr>
      <w:r>
        <w:rPr>
          <w:rFonts w:ascii="Times New Roman" w:hAnsi="Times New Roman"/>
          <w:b w:val="0"/>
          <w:i w:val="0"/>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pPr>
        <w:spacing w:before="80" w:after="40" w:line="480" w:lineRule="auto"/>
        <w:jc w:val="left"/>
      </w:pPr>
      <w:r>
        <w:rPr>
          <w:rFonts w:ascii="Times New Roman" w:hAnsi="Times New Roman"/>
          <w:b/>
          <w:i/>
          <w:sz w:val="24"/>
        </w:rPr>
        <w:t>Stepwise Calculation for RQ4 (Confidence Interval Method - Turn Economy Estimation)</w:t>
      </w:r>
    </w:p>
    <w:p>
      <w:pPr>
        <w:spacing w:before="0" w:after="0" w:line="480" w:lineRule="auto"/>
        <w:ind w:firstLine="720"/>
        <w:jc w:val="left"/>
      </w:pPr>
      <w:r>
        <w:rPr>
          <w:rFonts w:ascii="Times New Roman" w:hAnsi="Times New Roman"/>
          <w:b w:val="0"/>
          <w:i w:val="0"/>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spacing w:before="240" w:after="40" w:line="276" w:lineRule="auto"/>
        <w:jc w:val="left"/>
      </w:pPr>
      <w:r>
        <w:rPr>
          <w:rFonts w:ascii="Times New Roman" w:hAnsi="Times New Roman"/>
          <w:b/>
          <w:sz w:val="24"/>
        </w:rPr>
        <w:t>Table 1</w:t>
      </w:r>
    </w:p>
    <w:p>
      <w:pPr>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data dictionary defining all experimental variables, operational measures, data types, units, and methodological roles for evaluating RQ1 through RQ4. The framework evaluates six core constructs: Structural Cluster Quality (cluster cohesion and separation), Semantic Style Convergence (archetype alignment), Factual Slot Accuracy (constraint precision), Exemplar Factual Leakage Rate (prompt-induced hallucination), Operational Rule Adherence Rate (business policy compliance), and Conversational Efficiency (turn economy and friction reduction).</w:t>
      </w:r>
    </w:p>
    <w:p>
      <w:pPr>
        <w:spacing w:before="240" w:after="40" w:line="276" w:lineRule="auto"/>
        <w:jc w:val="left"/>
      </w:pPr>
      <w:r>
        <w:rPr>
          <w:rFonts w:ascii="Times New Roman" w:hAnsi="Times New Roman"/>
          <w:b/>
          <w:sz w:val="24"/>
        </w:rPr>
        <w:t>Table 2</w:t>
      </w:r>
    </w:p>
    <w:p>
      <w:pPr>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Clustering Algorithm: Unsupervised clustering method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Conditioning Strategy: 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Business Rule Enforcement Mode: 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Target Behavioral Archetype: 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Exemplar Count: Number of demonstration dialogues injected into prompt context (k in {1, 3, 5})</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Cluster cohesion and separation in trajectory space</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Ratio of within-cluster dispersion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Directional similarity to target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Token-level semantic similarity to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Factual Slot Accuracy: Harmonic mean of slot precision and recall against user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Exemplar Factual Leakage Rate: Proportion of hallucinated entities copied from prompt exemplars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Operational Rule Adherence Rate: Proportion of turns adhering to business rules (passport, party limits, blackouts)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Total interaction turns required to resolve user travel goal</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Proportion of turns re-asking established constraints (friction)</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Commercial Negotiation: 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Acikgoz, E. C., Guo, C., Dey, S., Datta, A., Kim, T., Tur, G., &amp; Hakkani-Tür, D. (2025). TD-EVAL: Revisiting task-oriented dialogue evaluation by combining turn-level precision with dialogue-level comparisons. Proceedings of the 26th Annual Meeting of the Special Interest Group on Discourse and Dialogue (SIGDIAL 2025), 113–132. </w:t>
      </w:r>
      <w:hyperlink r:id="rId13">
        <w:r>
          <w:rPr>
            <w:rFonts w:ascii="Times New Roman" w:hAnsi="Times New Roman"/>
            <w:color w:val="004B87"/>
            <w:u w:val="single"/>
          </w:rPr>
          <w:t>https://doi.org/10.18653/v1/2025.sigdial-1.7</w:t>
        </w:r>
      </w:hyperlink>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4">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 A large-scale multi-domain Wizard-of-Oz dataset for task-oriented dialogue modelling. Proceedings of the 2018 Conference on Empirical Methods in Natural Language Processing (EMNLP 2018), 5016–5026. </w:t>
      </w:r>
      <w:hyperlink r:id="rId15">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6">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7">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8">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Cai, W., &amp; Chen, L. (2021). A survey on conversational recommender systems. ACM Computing Surveys, 54(5), 1–36. </w:t>
      </w:r>
      <w:hyperlink r:id="rId19">
        <w:r>
          <w:rPr>
            <w:rFonts w:ascii="Times New Roman" w:hAnsi="Times New Roman"/>
            <w:color w:val="004B87"/>
            <w:u w:val="single"/>
          </w:rPr>
          <w:t>https://doi.org/10.1145/3453154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20">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1">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2">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3">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4">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Yao, S., Shinn, N., Razavi, P., &amp; Narasimhan, K. (2024). τ-bench: A benchmark for tool-agent-user interaction in real-world domains. arXiv preprint arXiv:2406.12045. </w:t>
      </w:r>
      <w:hyperlink r:id="rId25">
        <w:r>
          <w:rPr>
            <w:rFonts w:ascii="Times New Roman" w:hAnsi="Times New Roman"/>
            <w:color w:val="004B87"/>
            <w:u w:val="single"/>
          </w:rPr>
          <w:t>https://doi.org/10.48550/arXiv.2406.12045</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6">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7">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spacing w:before="240" w:after="40" w:line="276" w:lineRule="auto"/>
        <w:jc w:val="left"/>
      </w:pPr>
      <w:r>
        <w:rPr>
          <w:rFonts w:ascii="Times New Roman" w:hAnsi="Times New Roman"/>
          <w:b/>
          <w:sz w:val="24"/>
        </w:rPr>
        <w:t>Table B1</w:t>
      </w:r>
    </w:p>
    <w:p>
      <w:pPr>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p>
      <w:r>
        <w:br w:type="page"/>
      </w:r>
    </w:p>
    <w:p>
      <w:pPr>
        <w:spacing w:before="160" w:after="40" w:line="480" w:lineRule="auto"/>
        <w:jc w:val="center"/>
      </w:pPr>
      <w:r>
        <w:rPr>
          <w:rFonts w:ascii="Times New Roman" w:hAnsi="Times New Roman"/>
          <w:b/>
          <w:sz w:val="24"/>
        </w:rPr>
        <w:t>Appendix C</w:t>
      </w:r>
    </w:p>
    <w:p>
      <w:pPr>
        <w:spacing w:before="0" w:after="240" w:line="480" w:lineRule="auto"/>
        <w:jc w:val="center"/>
      </w:pPr>
      <w:r>
        <w:rPr>
          <w:rFonts w:ascii="Times New Roman" w:hAnsi="Times New Roman"/>
          <w:i/>
          <w:sz w:val="24"/>
        </w:rPr>
        <w:t>Related Research Comparison and Literature Positioning of the Present Study</w:t>
      </w:r>
    </w:p>
    <w:p>
      <w:pPr>
        <w:spacing w:before="120" w:after="40" w:line="480" w:lineRule="auto"/>
        <w:jc w:val="left"/>
      </w:pPr>
      <w:r>
        <w:rPr>
          <w:rFonts w:ascii="Times New Roman" w:hAnsi="Times New Roman"/>
          <w:b/>
          <w:sz w:val="24"/>
        </w:rPr>
        <w:t>Purpose and Methodological Scope</w:t>
      </w:r>
    </w:p>
    <w:p>
      <w:pPr>
        <w:spacing w:before="0" w:after="0" w:line="480" w:lineRule="auto"/>
        <w:ind w:firstLine="720"/>
        <w:jc w:val="left"/>
      </w:pPr>
      <w:r>
        <w:rPr>
          <w:rFonts w:ascii="Times New Roman" w:hAnsi="Times New Roman"/>
          <w:b w:val="0"/>
          <w:i w:val="0"/>
          <w:sz w:val="24"/>
        </w:rPr>
        <w:t>This appendix positions the present study against foundational literature in task-oriented dialogue benchmarks, in-context exemplar retrieval, operational policy compliance, and conversational evaluation. While prior studies address these dimensions in isolation, this investigation uniquely integrates unsupervised trajectory clustering, dynamic exemplar conditioning, and declarative business rules within a unified experimental design. Table C1 outlines key related benchmarks and their methodological connections to this research.</w:t>
      </w:r>
    </w:p>
    <w:p>
      <w:pPr>
        <w:spacing w:before="240" w:after="40" w:line="276" w:lineRule="auto"/>
        <w:jc w:val="left"/>
      </w:pPr>
      <w:r>
        <w:rPr>
          <w:rFonts w:ascii="Times New Roman" w:hAnsi="Times New Roman"/>
          <w:b/>
          <w:sz w:val="24"/>
        </w:rPr>
        <w:t>Table C1</w:t>
      </w:r>
    </w:p>
    <w:p>
      <w:pPr>
        <w:spacing w:before="0" w:after="120" w:line="276" w:lineRule="auto"/>
        <w:jc w:val="left"/>
      </w:pPr>
      <w:r>
        <w:rPr>
          <w:rFonts w:ascii="Times New Roman" w:hAnsi="Times New Roman"/>
          <w:i/>
          <w:sz w:val="24"/>
        </w:rPr>
        <w:t>Comparison of Related Research and Relevance to Present Capstone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340"/>
        <w:gridCol w:w="2340"/>
        <w:gridCol w:w="2340"/>
        <w:gridCol w:w="2340"/>
      </w:tblGrid>
      <w:tr>
        <w:tc>
          <w:tcPr>
            <w:tcW w:type="dxa" w:w="1872"/>
            <w:shd w:fill="F2F2F2"/>
            <w:tcMar>
              <w:top w:w="30" w:type="dxa"/>
              <w:bottom w:w="30" w:type="dxa"/>
              <w:left w:w="40" w:type="dxa"/>
              <w:right w:w="40" w:type="dxa"/>
            </w:tcMar>
          </w:tcPr>
          <w:p>
            <w:pPr>
              <w:spacing w:line="240" w:lineRule="auto" w:before="0" w:after="0"/>
              <w:jc w:val="center"/>
            </w:pPr>
            <w:r>
              <w:rPr>
                <w:rFonts w:ascii="Times New Roman" w:hAnsi="Times New Roman"/>
                <w:b/>
                <w:sz w:val="16"/>
              </w:rPr>
              <w:t>Study &amp; Benchmark</w:t>
            </w:r>
          </w:p>
        </w:tc>
        <w:tc>
          <w:tcPr>
            <w:tcW w:type="dxa" w:w="2592"/>
            <w:shd w:fill="F2F2F2"/>
            <w:tcMar>
              <w:top w:w="30" w:type="dxa"/>
              <w:bottom w:w="30" w:type="dxa"/>
              <w:left w:w="40" w:type="dxa"/>
              <w:right w:w="40" w:type="dxa"/>
            </w:tcMar>
          </w:tcPr>
          <w:p>
            <w:pPr>
              <w:spacing w:line="240" w:lineRule="auto" w:before="0" w:after="0"/>
              <w:jc w:val="center"/>
            </w:pPr>
            <w:r>
              <w:rPr>
                <w:rFonts w:ascii="Times New Roman" w:hAnsi="Times New Roman"/>
                <w:b/>
                <w:sz w:val="16"/>
              </w:rPr>
              <w:t>Main Contribution</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Connection to This Capstone</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Distinction &amp; Research Opportunity</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El Asri et al. (2017)</w:t>
              <w:br/>
              <w:t>Microsoft Frames</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Introduces 1,369 human-human goal-oriented vacation-package dialogues, formalizing memory and multi-intent frame tracking across complex travel negotiations.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primary public domain corpus for trajectory embedding, cluster modeling, and golden exemplar retrieval.</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The dataset paper does not evaluate behavioral clustering for prompt exemplar selection nor test interaction effects between prompting and rule engines.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Liu et al. (2022)</w:t>
              <w:br/>
              <w:t>KATE Exemplar Selection</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Demonstrates that semantically proximal in-context exemplars retrieved via sentence embeddings significantly boost few-shot LLM performance over random baselines.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Motivates dynamic exemplar retrieval and provides the nearest-neighbor retrieval baseline to isolate the incremental value of cluster-based conditioning.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Evaluates single-turn classification benchmarks; this capstone extends retrieval to multi-turn conversational trajectories and evaluates factual leakage under domain business rules.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Zang et al. (2020)</w:t>
              <w:br/>
              <w:t>MultiWOZ 2.2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Standardizes dialogue state annotations, ontologies, and evaluation baselines across multi-domain task-oriented dialogues.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benchmark for cross-corpus ontology normalization (Two-Tier schema) and external validity checks across travel-adjacent domains.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Focuses on turn-level slot tracking rather than unsupervised trajectory clustering or LLM prompt adaptation dynamics.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Yao et al. (2024)</w:t>
              <w:br/>
              <w:t>τ-bench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Evaluates tool-agent interaction against operational domain policies and database consistency, introducing pass^k reliability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Validates the necessity of testing policy adherence and task completion alongside semantic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Emphasizes API-calling tool agents; this capstone investigates prompt conditioning, exemplar contamination, and declarative rule enforcement.</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Acikgoz et al. (2025)</w:t>
              <w:br/>
              <w:t>TD-EVAL Framework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Combines turn-level precision (factual consistency, policy compliance) with dialogue-level task completion comparisons.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Reaffirms that surface similarity metrics (BERTScore) must be complemented by granular turn-level error and policy tracking.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Proposes a benchmark evaluation suite, whereas this capstone evaluates cluster-driven prompt steering and rule-based guardrails.</w:t>
            </w:r>
          </w:p>
        </w:tc>
      </w:tr>
    </w:tbl>
    <w:p>
      <w:pPr>
        <w:spacing w:before="80" w:after="160" w:line="276" w:lineRule="auto"/>
      </w:pPr>
      <w:r>
        <w:rPr>
          <w:rFonts w:ascii="Times New Roman" w:hAnsi="Times New Roman"/>
          <w:i/>
          <w:sz w:val="18"/>
        </w:rPr>
        <w:t>Note. The comparison summarizes each source's relevance to the proposed research questions; it does not claim that prior studies utilized identical datasets, metrics, or experimental configurations.</w:t>
      </w:r>
    </w:p>
    <w:p>
      <w:pPr>
        <w:spacing w:before="120" w:after="40" w:line="480" w:lineRule="auto"/>
        <w:jc w:val="left"/>
      </w:pPr>
      <w:r>
        <w:rPr>
          <w:rFonts w:ascii="Times New Roman" w:hAnsi="Times New Roman"/>
          <w:b/>
          <w:sz w:val="24"/>
        </w:rPr>
        <w:t>Synthesis of Literature and Identified Research Gaps</w:t>
      </w:r>
    </w:p>
    <w:p>
      <w:pPr>
        <w:spacing w:before="0" w:after="0" w:line="480" w:lineRule="auto"/>
        <w:ind w:firstLine="720"/>
        <w:jc w:val="left"/>
      </w:pPr>
      <w:r>
        <w:rPr>
          <w:rFonts w:ascii="Times New Roman" w:hAnsi="Times New Roman"/>
          <w:b w:val="0"/>
          <w:i w:val="0"/>
          <w:sz w:val="24"/>
        </w:rPr>
        <w:t>The reviewed literature establishes four foundational pillars for conversational AI: domain task validity via Microsoft Frames (El Asri et al., 2017), semantic retrieval mechanisms for in-context learning (Liu et al., 2022), cross-corpus ontology alignment via MultiWOZ 2.2 (Zang et al., 2020), and dual-level evaluation of task success and policy compliance (Acikgoz et al., 2025; Yao et al., 2024). However, prior research treats prompt-based style steering and operational compliance in isolation, either optimizing conversational style without verifying factual leakage or enforcing hardcoded rules without adapting to distinct traveler archetypes. This capstone bridges this empirical gap by evaluating an integrated architecture that couples trajectory clustering with declarative rules across RQ1–RQ4.</w:t>
      </w:r>
    </w:p>
    <w:p>
      <w:pPr>
        <w:spacing w:before="120" w:after="40" w:line="480" w:lineRule="auto"/>
        <w:jc w:val="left"/>
      </w:pPr>
      <w:r>
        <w:rPr>
          <w:rFonts w:ascii="Times New Roman" w:hAnsi="Times New Roman"/>
          <w:b/>
          <w:sz w:val="24"/>
        </w:rPr>
        <w:t>Methodological Safeguards and Experimental Controls</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Retrieval Baselines: </w:t>
      </w:r>
      <w:r>
        <w:rPr>
          <w:rFonts w:ascii="Times New Roman" w:hAnsi="Times New Roman"/>
          <w:sz w:val="22"/>
        </w:rPr>
        <w:t>Evaluates cluster-adaptive few-shot prompting against both static few-shot baselines and unclustered nearest-neighbor semantic retrieval to isolate the exact contribution of behavioral clustering.</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Decoupled Metric Evaluation: </w:t>
      </w:r>
      <w:r>
        <w:rPr>
          <w:rFonts w:ascii="Times New Roman" w:hAnsi="Times New Roman"/>
          <w:sz w:val="22"/>
        </w:rPr>
        <w:t>Evaluates task success, turn economy, factual leakage, and policy compliance independently, ensuring that conversational brevity is never conflated with premature task abandonment.</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Repeated-Measures Statistical Controls: </w:t>
      </w:r>
      <w:r>
        <w:rPr>
          <w:rFonts w:ascii="Times New Roman" w:hAnsi="Times New Roman"/>
          <w:sz w:val="22"/>
        </w:rPr>
        <w:t>Conducts all prompt and ablation comparisons across identical held-out test dialogues using paired and repeated-measures ANOVA to control for dialogue complexity.</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Explicit Schema Cross-Validation: </w:t>
      </w:r>
      <w:r>
        <w:rPr>
          <w:rFonts w:ascii="Times New Roman" w:hAnsi="Times New Roman"/>
          <w:sz w:val="22"/>
        </w:rPr>
        <w:t>Maps slot definitions and domain subsets transparently when executing cross-corpus validation on MultiWOZ 2.2, treating results as an external generalizability check rather than an identical distribution match.</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18653/v1/2025.sigdial-1.7" TargetMode="External"/><Relationship Id="rId14" Type="http://schemas.openxmlformats.org/officeDocument/2006/relationships/hyperlink" Target="https://doi.org/10.48550/arXiv.2005.14165" TargetMode="External"/><Relationship Id="rId15" Type="http://schemas.openxmlformats.org/officeDocument/2006/relationships/hyperlink" Target="https://doi.org/10.18653/v1/D18-1547" TargetMode="External"/><Relationship Id="rId16" Type="http://schemas.openxmlformats.org/officeDocument/2006/relationships/hyperlink" Target="https://doi.org/10.18653/v1/W17-5526" TargetMode="External"/><Relationship Id="rId17" Type="http://schemas.openxmlformats.org/officeDocument/2006/relationships/hyperlink" Target="https://doi.org/10.48550/arXiv.2309.15217" TargetMode="External"/><Relationship Id="rId18" Type="http://schemas.openxmlformats.org/officeDocument/2006/relationships/hyperlink" Target="https://aclanthology.org/2022.lrec-1.619/" TargetMode="External"/><Relationship Id="rId19" Type="http://schemas.openxmlformats.org/officeDocument/2006/relationships/hyperlink" Target="https://doi.org/10.1145/3453154" TargetMode="External"/><Relationship Id="rId20" Type="http://schemas.openxmlformats.org/officeDocument/2006/relationships/hyperlink" Target="https://doi.org/10.18653/v1/2022.deelio-1.10" TargetMode="External"/><Relationship Id="rId21" Type="http://schemas.openxmlformats.org/officeDocument/2006/relationships/hyperlink" Target="https://doi.org/10.21105/joss.00205" TargetMode="External"/><Relationship Id="rId22" Type="http://schemas.openxmlformats.org/officeDocument/2006/relationships/hyperlink" Target="https://doi.org/10.48550/arXiv.2310.10501" TargetMode="External"/><Relationship Id="rId23" Type="http://schemas.openxmlformats.org/officeDocument/2006/relationships/hyperlink" Target="https://doi.org/10.18653/v1/D19-1410" TargetMode="External"/><Relationship Id="rId24" Type="http://schemas.openxmlformats.org/officeDocument/2006/relationships/hyperlink" Target="https://doi.org/10.1016/0377-0427(87)90125-7" TargetMode="External"/><Relationship Id="rId25" Type="http://schemas.openxmlformats.org/officeDocument/2006/relationships/hyperlink" Target="https://doi.org/10.48550/arXiv.2406.12045" TargetMode="External"/><Relationship Id="rId26" Type="http://schemas.openxmlformats.org/officeDocument/2006/relationships/hyperlink" Target="https://doi.org/10.18653/v1/2020.nlp4convai-1.13" TargetMode="External"/><Relationship Id="rId27"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