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Trajectory Clustering and Dynamic In-Context Prompting for Adaptive Goal-Oriented Conversational AI</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Mr. Smitraj Raut</w:t>
        <w:br/>
        <w:t>October 11,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3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3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3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3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3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3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9</w:t>
      </w:r>
    </w:p>
    <w:p>
      <w:pPr>
        <w:spacing w:before="0" w:after="3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10</w:t>
      </w:r>
    </w:p>
    <w:p>
      <w:pPr>
        <w:spacing w:before="0" w:after="3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3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3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3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3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3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pPr>
        <w:spacing w:before="0" w:after="3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19</w:t>
      </w:r>
    </w:p>
    <w:p>
      <w:pPr>
        <w:spacing w:before="0" w:after="3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21</w:t>
      </w:r>
    </w:p>
    <w:p>
      <w:pPr>
        <w:spacing w:before="0" w:after="3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23</w:t>
      </w:r>
    </w:p>
    <w:p>
      <w:pPr>
        <w:spacing w:before="0" w:after="3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pPr>
        <w:spacing w:before="0" w:after="3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25</w:t>
      </w:r>
    </w:p>
    <w:p>
      <w:pPr>
        <w:spacing w:before="0" w:after="3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pPr>
        <w:spacing w:before="0" w:after="3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r>
        <w:br w:type="page"/>
      </w:r>
    </w:p>
    <w:p>
      <w:pPr>
        <w:spacing w:before="0" w:after="240" w:line="480" w:lineRule="auto"/>
        <w:jc w:val="center"/>
      </w:pPr>
      <w:r>
        <w:rPr>
          <w:rFonts w:ascii="Times New Roman" w:hAnsi="Times New Roman"/>
          <w:b/>
          <w:sz w:val="24"/>
        </w:rPr>
        <w:t>Trajectory Clustering and Dynamic In-Context Prompting for Adaptive Goal-Oriented Conversational AI</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Modern conversational artificial intelligence systems are increasingly deployed across high-stakes, consultative customer service and travel domains such as online booking, hospitality advisement, and customer experience operations (Jannach et al., 2021). Despite significant breakthroughs in large language model (LLM) architectures, state-of-the-art commercial agents suffer from a fundamental behavioral limitation: they rely almost exclusively on static, one-size-fits-all system prompts. Consequently, the agent exhibits rigid, monolithic conversational pacing, identical tonal characteristics, and invariant elicitation strategies regardless of whether the interacting human is an exploratory, hesitant first-time buyer requiring consultative reassurance or a time-sensitive, transactional corporate traveler seeking instantaneous booking confirmation (Inaba et al., 2022). This structural misalignment between user personality archetype and system conversational pacing leads to user friction, repetitive clarifying turns, and premature session abandonment.</w:t>
      </w:r>
    </w:p>
    <w:p>
      <w:pPr>
        <w:spacing w:before="0" w:after="0" w:line="480" w:lineRule="auto"/>
        <w:ind w:firstLine="720"/>
        <w:jc w:val="left"/>
      </w:pPr>
      <w:r>
        <w:rPr>
          <w:rFonts w:ascii="Times New Roman" w:hAnsi="Times New Roman"/>
          <w:b w:val="0"/>
          <w:i w:val="0"/>
          <w:sz w:val="24"/>
        </w:rPr>
        <w:t>Simultaneously, when practitioners attempt to adapt conversational style dynamically through prompt engineering, they encounter severe factual hallucination and policy drift (Rebedea et al., 2023). Injecting diverse, unconstrained conversational exemplars into the LLM context window often causes the model to leak stale constraints, hallucinate pricing or dates from the exemplar dialogue, and violate non-negotiable operational business policies (e.g., booking without valid passport lead time or exceeding discount thresholds). There is an urgent empirical need to formulate a data-driven framework that bridges unsupervised dialogue clustering, dynamic few-shot prompt conditioning, and strict declarative rule enforcement to achieve personalized, style-convergent, yet factually grounded conversational interactions.</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Variables—specifically, Clustering Algorithm, In-Context Conditioning Strategy, Business Rule Enforcement Mode, and In-Context Exemplar Count—statistically impact primary measurable Dependent Variables: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corpora, the methodology guarantees 100% scientific reproducibility without proprietary data dependencies. Operational implementation schedule details and syllabus milestone alignments are documented in Appendix B.</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efficiency—measured via Turns to Goal Completion (TGC) and Redundant Elicitation Rate (RER)—when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rigorous separation between training and evaluation partitions is critical to prevent data contamination (data leakage). To establish absolute experimental validity, the primary Microsoft Frames benchmark (1,369 dialogues) is formally partitioned into two mutually exclusive, disjoint subsets: (1) The Golden Reference and Retrieval Pool (D_gold, 70%, N_train approx 958 dialogues): In this study, the training partition operationalizes the empirical 'Gold Standard'. Dialogues in this partition are rigorously filtered for full task success (saturated Tier-1 mandatory slots, verified booking commitment, zero mid-session abandonment). These Wizard-of-Oz conversations serve as the gold standard ground truth of high-performing human consultative dialogue, capturing optimal turn economy, cooperative negotiation, and domain compliance. Operationally, D_gold performs two foundational training functions: first, it is used exclusively to train unsupervised clustering algorithms (K-Means, Agglomerative, HDBSCAN) and establish canonical archetype reference centroids {C_1, C_2, C_3}; second, it populates the FAISS vector database from which k = 3 demonstration exemplars are dynamically retrieved. Crucially, the frozen centroids {C_1, C_2, C_3} derived from D_gold establish the fixed ground-truth reference coordinates against which Trajectory Deviation (delta = 1 - cos(v_generated, C_target)) and Semantic Style Convergence are subsequently measured. (2) The Held-Out Evaluation Test Cohort (D_test, 30%, N = 390 dialogues): In accordance with standard machine learning protocols, this evaluation cohort is held completely unseen during training, clustering, and centroid calculation. Drawn disjointly from Microsoft Frames, this test cohort matches the minimax sample size requirement derived in Section 2.3. All evaluation experiments for RQ1–RQ4 are executed strictly on D_test (where D_test intersect D_gold = empty set). When the LLM agent interacts with an unseen test scenario, the dynamic prompt assembler queries FAISS to retrieve k = 3 stylistic exemplars from D_gold without exposing test dialogue labels or trajectories. This architectural separation guarantees zero data leakage: the agent's generalization, factual slot preservation, and policy adherence are evaluated strictly on novel test data while its conversational style is anchored against frozen Gold Standard exemplars.</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biases, dialogue instances across all corpora are subjected to uniform random shuffling prior to experimental partitioning. Trajectory evaluation splits are generated using Stratified ShuffleSplit cross-validation across 10 repeated iterations with fixed pseudorandom seeds. This randomization guarantees equal archetype representation, eliminates ordering and recency artifacts, and ensures findings reflect true behavioral patterns rather than dataset sequencing.</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Stepwise Calculation for RQ1 (One-Way ANOVA - Cluster Quality Differences)</w:t>
      </w:r>
    </w:p>
    <w:p>
      <w:pPr>
        <w:spacing w:before="0" w:after="0" w:line="480" w:lineRule="auto"/>
        <w:ind w:firstLine="720"/>
        <w:jc w:val="left"/>
      </w:pPr>
      <w:r>
        <w:rPr>
          <w:rFonts w:ascii="Times New Roman" w:hAnsi="Times New Roman"/>
          <w:b w:val="0"/>
          <w:i w:val="0"/>
          <w:sz w:val="24"/>
        </w:rPr>
        <w:t>RQ1 compares Silhouette Scores across three clustering algorithms (K-Means, Agglomerative, HDBSCAN). To detect a medium standardized effect size of Cohen's f = 0.25 at alpha = 0.05 and power = 0.80 across k = 3 groups, Cohen's formula is applied: degrees of freedom df_groups = k - 1 = 2; critical F_(0.05, 2, inf) = 3.00; total sample size is given by N_total = lambda / f^2, where non-centrality parameter lambda = 9.64 for alpha = 0.05, power = 0.80, k = 3. Step 1: Compute f^2: (0.25)^2 = 0.0625. Step 2: Divide lambda by f^2: 9.64 / 0.0625 = 154.24. Step 3: Divide by 3 groups: 154.24 / 3 = 51.41 per algorithm. Rounding up yields n = 52 dialogue samples per group (N_RQ1 = 156 total cluster evaluation units).</w:t>
      </w:r>
    </w:p>
    <w:p>
      <w:pPr>
        <w:spacing w:before="80" w:after="40" w:line="480" w:lineRule="auto"/>
        <w:jc w:val="left"/>
      </w:pPr>
      <w:r>
        <w:rPr>
          <w:rFonts w:ascii="Times New Roman" w:hAnsi="Times New Roman"/>
          <w:b/>
          <w:i/>
          <w:sz w:val="24"/>
        </w:rPr>
        <w:t>Stepwise Calculation for RQ2 (One-Way ANOVA - Semantic Style Convergence)</w:t>
      </w:r>
    </w:p>
    <w:p>
      <w:pPr>
        <w:spacing w:before="0" w:after="0" w:line="480" w:lineRule="auto"/>
        <w:ind w:firstLine="720"/>
        <w:jc w:val="left"/>
      </w:pPr>
      <w:r>
        <w:rPr>
          <w:rFonts w:ascii="Times New Roman" w:hAnsi="Times New Roman"/>
          <w:b w:val="0"/>
          <w:i w:val="0"/>
          <w:sz w:val="24"/>
        </w:rPr>
        <w:t>RQ2 assesses Semantic Cosine Similarity across three conditioning strategies (Zero-Shot, Static Few-Shot, Cluster-Adaptive Few-Shot). To detect a moderate effect size of Cohen's f = 0.28 (reflecting anticipated prompt steering differentials) with alpha = 0.05 and power = 0.80 across three groups: Step 1: Compute f^2: (0.28)^2 = 0.0784. Step 2: Divide lambda = 9.64 by 0.0784: 9.64 / 0.0784 = 122.96. Step 3: Divide by 3 groups: 122.96 / 3 = 40.98 per group. Rounding up yields n = 42 dialogues per treatment arm (N_RQ2 = 126 total dialogue evaluations).</w:t>
      </w:r>
    </w:p>
    <w:p>
      <w:pPr>
        <w:spacing w:before="80" w:after="40" w:line="480" w:lineRule="auto"/>
        <w:jc w:val="left"/>
      </w:pPr>
      <w:r>
        <w:rPr>
          <w:rFonts w:ascii="Times New Roman" w:hAnsi="Times New Roman"/>
          <w:b/>
          <w:i/>
          <w:sz w:val="24"/>
        </w:rPr>
        <w:t>Stepwise Calculation for RQ3 (Two-Way Factorial ANOVA - 2x2 Ablation Experiment)</w:t>
      </w:r>
    </w:p>
    <w:p>
      <w:pPr>
        <w:spacing w:before="0" w:after="0" w:line="480" w:lineRule="auto"/>
        <w:ind w:firstLine="720"/>
        <w:jc w:val="left"/>
      </w:pPr>
      <w:r>
        <w:rPr>
          <w:rFonts w:ascii="Times New Roman" w:hAnsi="Times New Roman"/>
          <w:b w:val="0"/>
          <w:i w:val="0"/>
          <w:sz w:val="24"/>
        </w:rPr>
        <w:t>RQ3 evaluates the 2x2 ablation design (Rules [Active vs. OFF] x Prompting [Zero-Shot vs. Cluster Few-Shot]) on Factual Slot F1 and Rule Adherence Rate. For a 2x2 factorial structure (4 cells), to detect a main effect or interaction effect of size f = 0.25 at alpha = 0.05 and power = 0.80: degrees of freedom df_num = 1; critical F_(0.05, 1, inf) = 3.84; required non-centrality lambda = 7.85. Step 1: Total sample size N_total = lambda / f^2 = 7.85 / 0.0625 = 125.6 dialogues. Step 2: To account for potential dialogue truncation or incomplete synthetic runs, an operational buffer of 40% is incorporated: 125.6 * 1.40 = 175.84. Step 3: Allocating equally across 4 factorial cells yields n = 45 dialogues per cell. Total required sample size is N_RQ3 = 4 * 45 = 180 multi-turn dialogues.</w:t>
      </w:r>
    </w:p>
    <w:p>
      <w:pPr>
        <w:spacing w:before="80" w:after="40" w:line="480" w:lineRule="auto"/>
        <w:jc w:val="left"/>
      </w:pPr>
      <w:r>
        <w:rPr>
          <w:rFonts w:ascii="Times New Roman" w:hAnsi="Times New Roman"/>
          <w:b/>
          <w:i/>
          <w:sz w:val="24"/>
        </w:rPr>
        <w:t>Stepwise Calculation for RQ4 (Confidence Interval Method - Turn Economy Estimation)</w:t>
      </w:r>
    </w:p>
    <w:p>
      <w:pPr>
        <w:spacing w:before="0" w:after="0" w:line="480" w:lineRule="auto"/>
        <w:ind w:firstLine="720"/>
        <w:jc w:val="left"/>
      </w:pPr>
      <w:r>
        <w:rPr>
          <w:rFonts w:ascii="Times New Roman" w:hAnsi="Times New Roman"/>
          <w:b w:val="0"/>
          <w:i w:val="0"/>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 Step 1: Compute numerator: (Z_(alpha/2) * sigma)^2 = (1.96 * 3.5)^2 = (6.86)^2 = 47.0596. Step 2: Compute denominator: E^2 = (0.35)^2 = 0.1225. Step 3: Divide numerator by denominator: 47.0596 / 0.1225 = 384.16. Rounding up yields N_RQ4 = 385 dialogue interactions.</w:t>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spacing w:before="240" w:after="40" w:line="276" w:lineRule="auto"/>
        <w:jc w:val="left"/>
      </w:pPr>
      <w:r>
        <w:rPr>
          <w:rFonts w:ascii="Times New Roman" w:hAnsi="Times New Roman"/>
          <w:b/>
          <w:sz w:val="24"/>
        </w:rPr>
        <w:t>Table 1</w:t>
      </w:r>
    </w:p>
    <w:p>
      <w:pPr>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0" w:after="0" w:line="480" w:lineRule="auto"/>
        <w:ind w:firstLine="720"/>
        <w:jc w:val="left"/>
      </w:pPr>
      <w:r>
        <w:rPr>
          <w:rFonts w:ascii="Times New Roman" w:hAnsi="Times New Roman"/>
          <w:b w:val="0"/>
          <w:i w:val="0"/>
          <w:sz w:val="24"/>
        </w:rPr>
        <w:t>• Tier 1 (Universal Core Slots): Standardized across all datasets and models, including: Origin_City, Destination_City, Departure_Date, Return_Date, Duration_Nights, Traveler_Count (Adults/Children), Budget_Amount, Accommodation_Tier, and Booking_Status.</w:t>
        <w:br/>
        <w:t>• Tier 2 (Operational Extension Slots): 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tabular data dictionary defining all experimental variables, operational measures, data types, units, and methodological roles required for evaluating RQ1–RQ4.</w:t>
      </w:r>
    </w:p>
    <w:p>
      <w:pPr>
        <w:spacing w:before="240" w:after="40" w:line="276" w:lineRule="auto"/>
        <w:jc w:val="left"/>
      </w:pPr>
      <w:r>
        <w:rPr>
          <w:rFonts w:ascii="Times New Roman" w:hAnsi="Times New Roman"/>
          <w:b/>
          <w:sz w:val="24"/>
        </w:rPr>
        <w:t>Table 2</w:t>
      </w:r>
    </w:p>
    <w:p>
      <w:pPr>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Algorithm: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Number of in-context demonstration dialogues injected</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Measure of cluster cohesion and separation</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Ratio of within-cluster distance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Cosine similarity between generated turn and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Token-level semantic similarity to target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Harmonic mean of slot extraction precision and recall</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hallucinated entities traced to exemplar prompt</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respecting visa, pax, and blackout rules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Total turns required to resolve user goal successfully</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turns re-asking established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pPr>
        <w:spacing w:before="0" w:after="0" w:line="480" w:lineRule="auto"/>
        <w:ind w:firstLine="720"/>
        <w:jc w:val="left"/>
      </w:pPr>
      <w:r>
        <w:rPr>
          <w:rFonts w:ascii="Times New Roman" w:hAnsi="Times New Roman"/>
          <w:b w:val="0"/>
          <w:i w:val="0"/>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vector captures the joint semantic-structural arc of the dialogue, enabling clustering algorithms to separate interactions based on customer behavioral pacing.</w:t>
      </w:r>
    </w:p>
    <w:p>
      <w:pPr>
        <w:spacing w:before="80" w:after="40" w:line="480" w:lineRule="auto"/>
        <w:jc w:val="left"/>
      </w:pPr>
      <w:r>
        <w:rPr>
          <w:rFonts w:ascii="Times New Roman" w:hAnsi="Times New Roman"/>
          <w:b/>
          <w:i/>
          <w:sz w:val="24"/>
        </w:rPr>
        <w:t>5.1.2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pPr>
        <w:spacing w:before="80" w:after="40" w:line="480" w:lineRule="auto"/>
        <w:jc w:val="left"/>
      </w:pPr>
      <w:r>
        <w:rPr>
          <w:rFonts w:ascii="Times New Roman" w:hAnsi="Times New Roman"/>
          <w:b/>
          <w:i/>
          <w:sz w:val="24"/>
        </w:rPr>
        <w:t>5.2.2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pPr>
        <w:spacing w:before="80" w:after="40" w:line="480" w:lineRule="auto"/>
        <w:jc w:val="left"/>
      </w:pPr>
      <w:r>
        <w:rPr>
          <w:rFonts w:ascii="Times New Roman" w:hAnsi="Times New Roman"/>
          <w:b/>
          <w:i/>
          <w:sz w:val="24"/>
        </w:rPr>
        <w:t>5.3.2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normality. Expected Outputs: 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3">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MultiWOZ—A large-scale multi-domain Wizard-of-Oz dataset for task-oriented dialogue modelling. Proceedings of the 2018 Conference on Empirical Methods in Natural Language Processing (EMNLP 2018), 5016–5026. </w:t>
      </w:r>
      <w:hyperlink r:id="rId14">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5">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6">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7">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Cai, W., &amp; Chen, L. (2021). A survey on conversational recommender systems. ACM Computing Surveys, 54(5), 1–36. </w:t>
      </w:r>
      <w:hyperlink r:id="rId18">
        <w:r>
          <w:rPr>
            <w:rFonts w:ascii="Times New Roman" w:hAnsi="Times New Roman"/>
            <w:color w:val="004B87"/>
            <w:u w:val="single"/>
          </w:rPr>
          <w:t>https://doi.org/10.1145/3453154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19">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0">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1">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2">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3">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4">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5">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spacing w:before="240" w:after="40" w:line="276" w:lineRule="auto"/>
        <w:jc w:val="left"/>
      </w:pPr>
      <w:r>
        <w:rPr>
          <w:rFonts w:ascii="Times New Roman" w:hAnsi="Times New Roman"/>
          <w:b/>
          <w:sz w:val="24"/>
        </w:rPr>
        <w:t>Table B1</w:t>
      </w:r>
    </w:p>
    <w:p>
      <w:pPr>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jc w:val="center"/>
            </w:pPr>
            <w:r>
              <w:rPr>
                <w:rFonts w:ascii="Times New Roman" w:hAnsi="Times New Roman"/>
                <w:sz w:val="16"/>
              </w:rPr>
              <w:t>Interim Report Draft (Oct 20)</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jc w:val="center"/>
            </w:pPr>
            <w:r>
              <w:rPr>
                <w:rFonts w:ascii="Times New Roman" w:hAnsi="Times New Roman"/>
                <w:sz w:val="16"/>
              </w:rPr>
              <w:t>Final Interim Report (Oct 27)</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48550/arXiv.2005.14165" TargetMode="External"/><Relationship Id="rId14" Type="http://schemas.openxmlformats.org/officeDocument/2006/relationships/hyperlink" Target="https://doi.org/10.18653/v1/D18-1547" TargetMode="External"/><Relationship Id="rId15" Type="http://schemas.openxmlformats.org/officeDocument/2006/relationships/hyperlink" Target="https://doi.org/10.18653/v1/W17-5526" TargetMode="External"/><Relationship Id="rId16" Type="http://schemas.openxmlformats.org/officeDocument/2006/relationships/hyperlink" Target="https://doi.org/10.48550/arXiv.2309.15217" TargetMode="External"/><Relationship Id="rId17" Type="http://schemas.openxmlformats.org/officeDocument/2006/relationships/hyperlink" Target="https://aclanthology.org/2022.lrec-1.619/" TargetMode="External"/><Relationship Id="rId18" Type="http://schemas.openxmlformats.org/officeDocument/2006/relationships/hyperlink" Target="https://doi.org/10.1145/3453154" TargetMode="External"/><Relationship Id="rId19" Type="http://schemas.openxmlformats.org/officeDocument/2006/relationships/hyperlink" Target="https://doi.org/10.18653/v1/2022.deelio-1.10" TargetMode="External"/><Relationship Id="rId20" Type="http://schemas.openxmlformats.org/officeDocument/2006/relationships/hyperlink" Target="https://doi.org/10.21105/joss.00205" TargetMode="External"/><Relationship Id="rId21" Type="http://schemas.openxmlformats.org/officeDocument/2006/relationships/hyperlink" Target="https://doi.org/10.48550/arXiv.2310.10501" TargetMode="External"/><Relationship Id="rId22" Type="http://schemas.openxmlformats.org/officeDocument/2006/relationships/hyperlink" Target="https://doi.org/10.18653/v1/D19-1410" TargetMode="External"/><Relationship Id="rId23" Type="http://schemas.openxmlformats.org/officeDocument/2006/relationships/hyperlink" Target="https://doi.org/10.1016/0377-0427(87)90125-7" TargetMode="External"/><Relationship Id="rId24" Type="http://schemas.openxmlformats.org/officeDocument/2006/relationships/hyperlink" Target="https://doi.org/10.18653/v1/2020.nlp4convai-1.13" TargetMode="External"/><Relationship Id="rId25" Type="http://schemas.openxmlformats.org/officeDocument/2006/relationships/hyperlink" Target="https://doi.org/10.48550/arXiv.1904.0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