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ind w:firstLine="0"/>
        <w:jc w:val="center"/>
      </w:pPr>
      <w:r>
        <w:rPr>
          <w:b/>
          <w:sz w:val="28"/>
        </w:rPr>
        <w:t>Data Analytics Capstone</w:t>
        <w:br/>
        <w:t>Interim Report</w:t>
        <w:br/>
        <w:br/>
      </w:r>
    </w:p>
    <w:p>
      <w:pPr>
        <w:ind w:firstLine="0"/>
        <w:jc w:val="center"/>
      </w:pPr>
      <w:r>
        <w:rPr>
          <w:b/>
          <w:sz w:val="32"/>
        </w:rPr>
        <w:t>Personalized and Context-Adaptive Conversational AI Through Goal-Oriented Dialogue Clustering, Dynamic Few-Shot Prompting, and Decoupled Declarative Verification</w:t>
      </w:r>
    </w:p>
    <w:p>
      <w:pPr>
        <w:spacing w:before="960" w:line="480" w:lineRule="auto"/>
        <w:ind w:firstLine="0"/>
        <w:jc w:val="center"/>
      </w:pPr>
      <w:r>
        <w:t>Surnella Sandeep</w:t>
        <w:br/>
        <w:t>Department of Data Analytics, Walsh College</w:t>
        <w:br/>
        <w:t>QM640: Data Analytics Capstone</w:t>
        <w:br/>
        <w:t>Faculty Mentor: Prof. Javad Katibai &amp; Academic Advisory Committee</w:t>
        <w:br/>
        <w:t>Fall 2026 Term</w:t>
        <w:br/>
        <w:t>October 17, 2026</w:t>
        <w:br/>
        <w:br/>
        <w:t>Project GitHub Repository &amp; Artifact Verification:</w:t>
        <w:br/>
        <w:t>https://github.com/surnella/QM640-Dialogue-Clustering-Capstone</w:t>
      </w:r>
    </w:p>
    <w:p>
      <w:r>
        <w:br w:type="page"/>
      </w:r>
    </w:p>
    <w:p>
      <w:pPr>
        <w:spacing w:before="240" w:after="120" w:line="480" w:lineRule="auto"/>
        <w:ind w:firstLine="0"/>
        <w:jc w:val="center"/>
      </w:pPr>
      <w:r>
        <w:rPr>
          <w:b/>
          <w:sz w:val="24"/>
        </w:rPr>
        <w:t>Table of Contents</w:t>
      </w:r>
    </w:p>
    <w:tbl>
      <w:tblPr>
        <w:tblW w:type="auto" w:w="0"/>
        <w:jc w:val="center"/>
        <w:tblLook w:firstColumn="1" w:firstRow="1" w:lastColumn="0" w:lastRow="0" w:noHBand="0" w:noVBand="1" w:val="04A0"/>
      </w:tblPr>
      <w:tblGrid>
        <w:gridCol w:w="4680"/>
        <w:gridCol w:w="4680"/>
      </w:tblGrid>
      <w:tr>
        <w:tc>
          <w:tcPr>
            <w:tcW w:type="dxa" w:w="7920"/>
          </w:tcPr>
          <w:p>
            <w:pPr>
              <w:spacing w:line="312" w:lineRule="auto"/>
              <w:ind w:firstLine="0"/>
            </w:pPr>
            <w:r>
              <w:rPr>
                <w:b/>
              </w:rPr>
              <w:t>1. Introduction and Project Status</w:t>
            </w:r>
          </w:p>
        </w:tc>
        <w:tc>
          <w:tcPr>
            <w:tcW w:type="dxa" w:w="1440"/>
          </w:tcPr>
          <w:p>
            <w:pPr>
              <w:spacing w:line="312" w:lineRule="auto"/>
              <w:ind w:firstLine="0"/>
              <w:jc w:val="right"/>
            </w:pPr>
            <w:r>
              <w:rPr>
                <w:b/>
              </w:rPr>
              <w:t>3</w:t>
            </w:r>
          </w:p>
        </w:tc>
      </w:tr>
      <w:tr>
        <w:tc>
          <w:tcPr>
            <w:tcW w:type="dxa" w:w="7920"/>
          </w:tcPr>
          <w:p>
            <w:pPr>
              <w:spacing w:line="312" w:lineRule="auto"/>
              <w:ind w:firstLine="0"/>
            </w:pPr>
            <w:r>
              <w:t xml:space="preserve">    1.1 Background and Domain Context</w:t>
            </w:r>
          </w:p>
        </w:tc>
        <w:tc>
          <w:tcPr>
            <w:tcW w:type="dxa" w:w="1440"/>
          </w:tcPr>
          <w:p>
            <w:pPr>
              <w:spacing w:line="312" w:lineRule="auto"/>
              <w:ind w:firstLine="0"/>
              <w:jc w:val="right"/>
            </w:pPr>
            <w:r>
              <w:t>3</w:t>
            </w:r>
          </w:p>
        </w:tc>
      </w:tr>
      <w:tr>
        <w:tc>
          <w:tcPr>
            <w:tcW w:type="dxa" w:w="7920"/>
          </w:tcPr>
          <w:p>
            <w:pPr>
              <w:spacing w:line="312" w:lineRule="auto"/>
              <w:ind w:firstLine="0"/>
            </w:pPr>
            <w:r>
              <w:t xml:space="preserve">    1.2 Problem Statement and Variables</w:t>
            </w:r>
          </w:p>
        </w:tc>
        <w:tc>
          <w:tcPr>
            <w:tcW w:type="dxa" w:w="1440"/>
          </w:tcPr>
          <w:p>
            <w:pPr>
              <w:spacing w:line="312" w:lineRule="auto"/>
              <w:ind w:firstLine="0"/>
              <w:jc w:val="right"/>
            </w:pPr>
            <w:r>
              <w:t>4</w:t>
            </w:r>
          </w:p>
        </w:tc>
      </w:tr>
      <w:tr>
        <w:tc>
          <w:tcPr>
            <w:tcW w:type="dxa" w:w="7920"/>
          </w:tcPr>
          <w:p>
            <w:pPr>
              <w:spacing w:line="312" w:lineRule="auto"/>
              <w:ind w:firstLine="0"/>
            </w:pPr>
            <w:r>
              <w:t xml:space="preserve">    1.3 Purpose of the Study</w:t>
            </w:r>
          </w:p>
        </w:tc>
        <w:tc>
          <w:tcPr>
            <w:tcW w:type="dxa" w:w="1440"/>
          </w:tcPr>
          <w:p>
            <w:pPr>
              <w:spacing w:line="312" w:lineRule="auto"/>
              <w:ind w:firstLine="0"/>
              <w:jc w:val="right"/>
            </w:pPr>
            <w:r>
              <w:t>4</w:t>
            </w:r>
          </w:p>
        </w:tc>
      </w:tr>
      <w:tr>
        <w:tc>
          <w:tcPr>
            <w:tcW w:type="dxa" w:w="7920"/>
          </w:tcPr>
          <w:p>
            <w:pPr>
              <w:spacing w:line="312" w:lineRule="auto"/>
              <w:ind w:firstLine="0"/>
            </w:pPr>
            <w:r>
              <w:t xml:space="preserve">    1.4 Interim Project Status (Progress Snapshot)</w:t>
            </w:r>
          </w:p>
        </w:tc>
        <w:tc>
          <w:tcPr>
            <w:tcW w:type="dxa" w:w="1440"/>
          </w:tcPr>
          <w:p>
            <w:pPr>
              <w:spacing w:line="312" w:lineRule="auto"/>
              <w:ind w:firstLine="0"/>
              <w:jc w:val="right"/>
            </w:pPr>
            <w:r>
              <w:t>5</w:t>
            </w:r>
          </w:p>
        </w:tc>
      </w:tr>
      <w:tr>
        <w:tc>
          <w:tcPr>
            <w:tcW w:type="dxa" w:w="7920"/>
          </w:tcPr>
          <w:p>
            <w:pPr>
              <w:spacing w:line="312" w:lineRule="auto"/>
              <w:ind w:firstLine="0"/>
            </w:pPr>
            <w:r>
              <w:rPr>
                <w:b/>
              </w:rPr>
              <w:t>2. Scope and Research Objectives</w:t>
            </w:r>
          </w:p>
        </w:tc>
        <w:tc>
          <w:tcPr>
            <w:tcW w:type="dxa" w:w="1440"/>
          </w:tcPr>
          <w:p>
            <w:pPr>
              <w:spacing w:line="312" w:lineRule="auto"/>
              <w:ind w:firstLine="0"/>
              <w:jc w:val="right"/>
            </w:pPr>
            <w:r>
              <w:rPr>
                <w:b/>
              </w:rPr>
              <w:t>5</w:t>
            </w:r>
          </w:p>
        </w:tc>
      </w:tr>
      <w:tr>
        <w:tc>
          <w:tcPr>
            <w:tcW w:type="dxa" w:w="7920"/>
          </w:tcPr>
          <w:p>
            <w:pPr>
              <w:spacing w:line="312" w:lineRule="auto"/>
              <w:ind w:firstLine="0"/>
            </w:pPr>
            <w:r>
              <w:t xml:space="preserve">    2.1 Analytical Boundaries and Feasibility</w:t>
            </w:r>
          </w:p>
        </w:tc>
        <w:tc>
          <w:tcPr>
            <w:tcW w:type="dxa" w:w="1440"/>
          </w:tcPr>
          <w:p>
            <w:pPr>
              <w:spacing w:line="312" w:lineRule="auto"/>
              <w:ind w:firstLine="0"/>
              <w:jc w:val="right"/>
            </w:pPr>
            <w:r>
              <w:t>5</w:t>
            </w:r>
          </w:p>
        </w:tc>
      </w:tr>
      <w:tr>
        <w:tc>
          <w:tcPr>
            <w:tcW w:type="dxa" w:w="7920"/>
          </w:tcPr>
          <w:p>
            <w:pPr>
              <w:spacing w:line="312" w:lineRule="auto"/>
              <w:ind w:firstLine="0"/>
            </w:pPr>
            <w:r>
              <w:t xml:space="preserve">    2.2 Research Questions (RQ1–RQ4)</w:t>
            </w:r>
          </w:p>
        </w:tc>
        <w:tc>
          <w:tcPr>
            <w:tcW w:type="dxa" w:w="1440"/>
          </w:tcPr>
          <w:p>
            <w:pPr>
              <w:spacing w:line="312" w:lineRule="auto"/>
              <w:ind w:firstLine="0"/>
              <w:jc w:val="right"/>
            </w:pPr>
            <w:r>
              <w:t>6</w:t>
            </w:r>
          </w:p>
        </w:tc>
      </w:tr>
      <w:tr>
        <w:tc>
          <w:tcPr>
            <w:tcW w:type="dxa" w:w="7920"/>
          </w:tcPr>
          <w:p>
            <w:pPr>
              <w:spacing w:line="312" w:lineRule="auto"/>
              <w:ind w:firstLine="0"/>
            </w:pPr>
            <w:r>
              <w:rPr>
                <w:b/>
              </w:rPr>
              <w:t>3. Literature Survey and Synthesis</w:t>
            </w:r>
          </w:p>
        </w:tc>
        <w:tc>
          <w:tcPr>
            <w:tcW w:type="dxa" w:w="1440"/>
          </w:tcPr>
          <w:p>
            <w:pPr>
              <w:spacing w:line="312" w:lineRule="auto"/>
              <w:ind w:firstLine="0"/>
              <w:jc w:val="right"/>
            </w:pPr>
            <w:r>
              <w:rPr>
                <w:b/>
              </w:rPr>
              <w:t>7</w:t>
            </w:r>
          </w:p>
        </w:tc>
      </w:tr>
      <w:tr>
        <w:tc>
          <w:tcPr>
            <w:tcW w:type="dxa" w:w="7920"/>
          </w:tcPr>
          <w:p>
            <w:pPr>
              <w:spacing w:line="312" w:lineRule="auto"/>
              <w:ind w:firstLine="0"/>
            </w:pPr>
            <w:r>
              <w:t xml:space="preserve">    3.1 Literature Review Approach</w:t>
            </w:r>
          </w:p>
        </w:tc>
        <w:tc>
          <w:tcPr>
            <w:tcW w:type="dxa" w:w="1440"/>
          </w:tcPr>
          <w:p>
            <w:pPr>
              <w:spacing w:line="312" w:lineRule="auto"/>
              <w:ind w:firstLine="0"/>
              <w:jc w:val="right"/>
            </w:pPr>
            <w:r>
              <w:t>7</w:t>
            </w:r>
          </w:p>
        </w:tc>
      </w:tr>
      <w:tr>
        <w:tc>
          <w:tcPr>
            <w:tcW w:type="dxa" w:w="7920"/>
          </w:tcPr>
          <w:p>
            <w:pPr>
              <w:spacing w:line="312" w:lineRule="auto"/>
              <w:ind w:firstLine="0"/>
            </w:pPr>
            <w:r>
              <w:t xml:space="preserve">    3.2 Summary of Key Literature (Relevance Matrix)</w:t>
            </w:r>
          </w:p>
        </w:tc>
        <w:tc>
          <w:tcPr>
            <w:tcW w:type="dxa" w:w="1440"/>
          </w:tcPr>
          <w:p>
            <w:pPr>
              <w:spacing w:line="312" w:lineRule="auto"/>
              <w:ind w:firstLine="0"/>
              <w:jc w:val="right"/>
            </w:pPr>
            <w:r>
              <w:t>7</w:t>
            </w:r>
          </w:p>
        </w:tc>
      </w:tr>
      <w:tr>
        <w:tc>
          <w:tcPr>
            <w:tcW w:type="dxa" w:w="7920"/>
          </w:tcPr>
          <w:p>
            <w:pPr>
              <w:spacing w:line="312" w:lineRule="auto"/>
              <w:ind w:firstLine="0"/>
            </w:pPr>
            <w:r>
              <w:t xml:space="preserve">    3.3 Thematic Synthesis and Gaps in Prior Art</w:t>
            </w:r>
          </w:p>
        </w:tc>
        <w:tc>
          <w:tcPr>
            <w:tcW w:type="dxa" w:w="1440"/>
          </w:tcPr>
          <w:p>
            <w:pPr>
              <w:spacing w:line="312" w:lineRule="auto"/>
              <w:ind w:firstLine="0"/>
              <w:jc w:val="right"/>
            </w:pPr>
            <w:r>
              <w:t>9</w:t>
            </w:r>
          </w:p>
        </w:tc>
      </w:tr>
      <w:tr>
        <w:tc>
          <w:tcPr>
            <w:tcW w:type="dxa" w:w="7920"/>
          </w:tcPr>
          <w:p>
            <w:pPr>
              <w:spacing w:line="312" w:lineRule="auto"/>
              <w:ind w:firstLine="0"/>
            </w:pPr>
            <w:r>
              <w:rPr>
                <w:b/>
              </w:rPr>
              <w:t>4. Data Description and Infrastructure</w:t>
            </w:r>
          </w:p>
        </w:tc>
        <w:tc>
          <w:tcPr>
            <w:tcW w:type="dxa" w:w="1440"/>
          </w:tcPr>
          <w:p>
            <w:pPr>
              <w:spacing w:line="312" w:lineRule="auto"/>
              <w:ind w:firstLine="0"/>
              <w:jc w:val="right"/>
            </w:pPr>
            <w:r>
              <w:rPr>
                <w:b/>
              </w:rPr>
              <w:t>10</w:t>
            </w:r>
          </w:p>
        </w:tc>
      </w:tr>
      <w:tr>
        <w:tc>
          <w:tcPr>
            <w:tcW w:type="dxa" w:w="7920"/>
          </w:tcPr>
          <w:p>
            <w:pPr>
              <w:spacing w:line="312" w:lineRule="auto"/>
              <w:ind w:firstLine="0"/>
            </w:pPr>
            <w:r>
              <w:t xml:space="preserve">    4.1 Data Sources, Access Links, and Repositories</w:t>
            </w:r>
          </w:p>
        </w:tc>
        <w:tc>
          <w:tcPr>
            <w:tcW w:type="dxa" w:w="1440"/>
          </w:tcPr>
          <w:p>
            <w:pPr>
              <w:spacing w:line="312" w:lineRule="auto"/>
              <w:ind w:firstLine="0"/>
              <w:jc w:val="right"/>
            </w:pPr>
            <w:r>
              <w:t>10</w:t>
            </w:r>
          </w:p>
        </w:tc>
      </w:tr>
      <w:tr>
        <w:tc>
          <w:tcPr>
            <w:tcW w:type="dxa" w:w="7920"/>
          </w:tcPr>
          <w:p>
            <w:pPr>
              <w:spacing w:line="312" w:lineRule="auto"/>
              <w:ind w:firstLine="0"/>
            </w:pPr>
            <w:r>
              <w:t xml:space="preserve">    4.2 Two-Tier Canonical Meta-Ontology</w:t>
            </w:r>
          </w:p>
        </w:tc>
        <w:tc>
          <w:tcPr>
            <w:tcW w:type="dxa" w:w="1440"/>
          </w:tcPr>
          <w:p>
            <w:pPr>
              <w:spacing w:line="312" w:lineRule="auto"/>
              <w:ind w:firstLine="0"/>
              <w:jc w:val="right"/>
            </w:pPr>
            <w:r>
              <w:t>11</w:t>
            </w:r>
          </w:p>
        </w:tc>
      </w:tr>
      <w:tr>
        <w:tc>
          <w:tcPr>
            <w:tcW w:type="dxa" w:w="7920"/>
          </w:tcPr>
          <w:p>
            <w:pPr>
              <w:spacing w:line="312" w:lineRule="auto"/>
              <w:ind w:firstLine="0"/>
            </w:pPr>
            <w:r>
              <w:t xml:space="preserve">    4.3 Comprehensive Experimental Data Dictionary</w:t>
            </w:r>
          </w:p>
        </w:tc>
        <w:tc>
          <w:tcPr>
            <w:tcW w:type="dxa" w:w="1440"/>
          </w:tcPr>
          <w:p>
            <w:pPr>
              <w:spacing w:line="312" w:lineRule="auto"/>
              <w:ind w:firstLine="0"/>
              <w:jc w:val="right"/>
            </w:pPr>
            <w:r>
              <w:t>12</w:t>
            </w:r>
          </w:p>
        </w:tc>
      </w:tr>
      <w:tr>
        <w:tc>
          <w:tcPr>
            <w:tcW w:type="dxa" w:w="7920"/>
          </w:tcPr>
          <w:p>
            <w:pPr>
              <w:spacing w:line="312" w:lineRule="auto"/>
              <w:ind w:firstLine="0"/>
            </w:pPr>
            <w:r>
              <w:t xml:space="preserve">    4.4 Data Completeness, Missingness, and Bias Considerations</w:t>
            </w:r>
          </w:p>
        </w:tc>
        <w:tc>
          <w:tcPr>
            <w:tcW w:type="dxa" w:w="1440"/>
          </w:tcPr>
          <w:p>
            <w:pPr>
              <w:spacing w:line="312" w:lineRule="auto"/>
              <w:ind w:firstLine="0"/>
              <w:jc w:val="right"/>
            </w:pPr>
            <w:r>
              <w:t>13</w:t>
            </w:r>
          </w:p>
        </w:tc>
      </w:tr>
      <w:tr>
        <w:tc>
          <w:tcPr>
            <w:tcW w:type="dxa" w:w="7920"/>
          </w:tcPr>
          <w:p>
            <w:pPr>
              <w:spacing w:line="312" w:lineRule="auto"/>
              <w:ind w:firstLine="0"/>
            </w:pPr>
            <w:r>
              <w:rPr>
                <w:b/>
              </w:rPr>
              <w:t>5. Analysis and Methodology</w:t>
            </w:r>
          </w:p>
        </w:tc>
        <w:tc>
          <w:tcPr>
            <w:tcW w:type="dxa" w:w="1440"/>
          </w:tcPr>
          <w:p>
            <w:pPr>
              <w:spacing w:line="312" w:lineRule="auto"/>
              <w:ind w:firstLine="0"/>
              <w:jc w:val="right"/>
            </w:pPr>
            <w:r>
              <w:rPr>
                <w:b/>
              </w:rPr>
              <w:t>14</w:t>
            </w:r>
          </w:p>
        </w:tc>
      </w:tr>
      <w:tr>
        <w:tc>
          <w:tcPr>
            <w:tcW w:type="dxa" w:w="7920"/>
          </w:tcPr>
          <w:p>
            <w:pPr>
              <w:spacing w:line="312" w:lineRule="auto"/>
              <w:ind w:firstLine="0"/>
            </w:pPr>
            <w:r>
              <w:t xml:space="preserve">    5.1 Data Cleaning, Sanitization, and Preprocessing Log</w:t>
            </w:r>
          </w:p>
        </w:tc>
        <w:tc>
          <w:tcPr>
            <w:tcW w:type="dxa" w:w="1440"/>
          </w:tcPr>
          <w:p>
            <w:pPr>
              <w:spacing w:line="312" w:lineRule="auto"/>
              <w:ind w:firstLine="0"/>
              <w:jc w:val="right"/>
            </w:pPr>
            <w:r>
              <w:t>14</w:t>
            </w:r>
          </w:p>
        </w:tc>
      </w:tr>
      <w:tr>
        <w:tc>
          <w:tcPr>
            <w:tcW w:type="dxa" w:w="7920"/>
          </w:tcPr>
          <w:p>
            <w:pPr>
              <w:spacing w:line="312" w:lineRule="auto"/>
              <w:ind w:firstLine="0"/>
            </w:pPr>
            <w:r>
              <w:t xml:space="preserve">    5.2 Sample Size Determination (Power and CI Calculations)</w:t>
            </w:r>
          </w:p>
        </w:tc>
        <w:tc>
          <w:tcPr>
            <w:tcW w:type="dxa" w:w="1440"/>
          </w:tcPr>
          <w:p>
            <w:pPr>
              <w:spacing w:line="312" w:lineRule="auto"/>
              <w:ind w:firstLine="0"/>
              <w:jc w:val="right"/>
            </w:pPr>
            <w:r>
              <w:t>15</w:t>
            </w:r>
          </w:p>
        </w:tc>
      </w:tr>
      <w:tr>
        <w:tc>
          <w:tcPr>
            <w:tcW w:type="dxa" w:w="7920"/>
          </w:tcPr>
          <w:p>
            <w:pPr>
              <w:spacing w:line="312" w:lineRule="auto"/>
              <w:ind w:firstLine="0"/>
            </w:pPr>
            <w:r>
              <w:t xml:space="preserve">    5.3 Exploratory Data Analysis (EDA) and Summary Statistics</w:t>
            </w:r>
          </w:p>
        </w:tc>
        <w:tc>
          <w:tcPr>
            <w:tcW w:type="dxa" w:w="1440"/>
          </w:tcPr>
          <w:p>
            <w:pPr>
              <w:spacing w:line="312" w:lineRule="auto"/>
              <w:ind w:firstLine="0"/>
              <w:jc w:val="right"/>
            </w:pPr>
            <w:r>
              <w:t>16</w:t>
            </w:r>
          </w:p>
        </w:tc>
      </w:tr>
      <w:tr>
        <w:tc>
          <w:tcPr>
            <w:tcW w:type="dxa" w:w="7920"/>
          </w:tcPr>
          <w:p>
            <w:pPr>
              <w:spacing w:line="312" w:lineRule="auto"/>
              <w:ind w:firstLine="0"/>
            </w:pPr>
            <w:r>
              <w:t xml:space="preserve">    5.4 EDA Insights and Research Question Alignment</w:t>
            </w:r>
          </w:p>
        </w:tc>
        <w:tc>
          <w:tcPr>
            <w:tcW w:type="dxa" w:w="1440"/>
          </w:tcPr>
          <w:p>
            <w:pPr>
              <w:spacing w:line="312" w:lineRule="auto"/>
              <w:ind w:firstLine="0"/>
              <w:jc w:val="right"/>
            </w:pPr>
            <w:r>
              <w:t>18</w:t>
            </w:r>
          </w:p>
        </w:tc>
      </w:tr>
      <w:tr>
        <w:tc>
          <w:tcPr>
            <w:tcW w:type="dxa" w:w="7920"/>
          </w:tcPr>
          <w:p>
            <w:pPr>
              <w:spacing w:line="312" w:lineRule="auto"/>
              <w:ind w:firstLine="0"/>
            </w:pPr>
            <w:r>
              <w:rPr>
                <w:b/>
              </w:rPr>
              <w:t>6. Modelling Framework and Architecture</w:t>
            </w:r>
          </w:p>
        </w:tc>
        <w:tc>
          <w:tcPr>
            <w:tcW w:type="dxa" w:w="1440"/>
          </w:tcPr>
          <w:p>
            <w:pPr>
              <w:spacing w:line="312" w:lineRule="auto"/>
              <w:ind w:firstLine="0"/>
              <w:jc w:val="right"/>
            </w:pPr>
            <w:r>
              <w:rPr>
                <w:b/>
              </w:rPr>
              <w:t>19</w:t>
            </w:r>
          </w:p>
        </w:tc>
      </w:tr>
      <w:tr>
        <w:tc>
          <w:tcPr>
            <w:tcW w:type="dxa" w:w="7920"/>
          </w:tcPr>
          <w:p>
            <w:pPr>
              <w:spacing w:line="312" w:lineRule="auto"/>
              <w:ind w:firstLine="0"/>
            </w:pPr>
            <w:r>
              <w:t xml:space="preserve">    6.1 Model Selection Rationale and Baselines</w:t>
            </w:r>
          </w:p>
        </w:tc>
        <w:tc>
          <w:tcPr>
            <w:tcW w:type="dxa" w:w="1440"/>
          </w:tcPr>
          <w:p>
            <w:pPr>
              <w:spacing w:line="312" w:lineRule="auto"/>
              <w:ind w:firstLine="0"/>
              <w:jc w:val="right"/>
            </w:pPr>
            <w:r>
              <w:t>19</w:t>
            </w:r>
          </w:p>
        </w:tc>
      </w:tr>
      <w:tr>
        <w:tc>
          <w:tcPr>
            <w:tcW w:type="dxa" w:w="7920"/>
          </w:tcPr>
          <w:p>
            <w:pPr>
              <w:spacing w:line="312" w:lineRule="auto"/>
              <w:ind w:firstLine="0"/>
            </w:pPr>
            <w:r>
              <w:t xml:space="preserve">    6.2 Feature Engineering, Temporal Weighting, and Slot Masking</w:t>
            </w:r>
          </w:p>
        </w:tc>
        <w:tc>
          <w:tcPr>
            <w:tcW w:type="dxa" w:w="1440"/>
          </w:tcPr>
          <w:p>
            <w:pPr>
              <w:spacing w:line="312" w:lineRule="auto"/>
              <w:ind w:firstLine="0"/>
              <w:jc w:val="right"/>
            </w:pPr>
            <w:r>
              <w:t>20</w:t>
            </w:r>
          </w:p>
        </w:tc>
      </w:tr>
      <w:tr>
        <w:tc>
          <w:tcPr>
            <w:tcW w:type="dxa" w:w="7920"/>
          </w:tcPr>
          <w:p>
            <w:pPr>
              <w:spacing w:line="312" w:lineRule="auto"/>
              <w:ind w:firstLine="0"/>
            </w:pPr>
            <w:r>
              <w:t xml:space="preserve">    6.3 Mathematical Formulations and Evaluation Metrics</w:t>
            </w:r>
          </w:p>
        </w:tc>
        <w:tc>
          <w:tcPr>
            <w:tcW w:type="dxa" w:w="1440"/>
          </w:tcPr>
          <w:p>
            <w:pPr>
              <w:spacing w:line="312" w:lineRule="auto"/>
              <w:ind w:firstLine="0"/>
              <w:jc w:val="right"/>
            </w:pPr>
            <w:r>
              <w:t>21</w:t>
            </w:r>
          </w:p>
        </w:tc>
      </w:tr>
      <w:tr>
        <w:tc>
          <w:tcPr>
            <w:tcW w:type="dxa" w:w="7920"/>
          </w:tcPr>
          <w:p>
            <w:pPr>
              <w:spacing w:line="312" w:lineRule="auto"/>
              <w:ind w:firstLine="0"/>
            </w:pPr>
            <w:r>
              <w:rPr>
                <w:b/>
              </w:rPr>
              <w:t>7. Preliminary Results and Findings</w:t>
            </w:r>
          </w:p>
        </w:tc>
        <w:tc>
          <w:tcPr>
            <w:tcW w:type="dxa" w:w="1440"/>
          </w:tcPr>
          <w:p>
            <w:pPr>
              <w:spacing w:line="312" w:lineRule="auto"/>
              <w:ind w:firstLine="0"/>
              <w:jc w:val="right"/>
            </w:pPr>
            <w:r>
              <w:rPr>
                <w:b/>
              </w:rPr>
              <w:t>22</w:t>
            </w:r>
          </w:p>
        </w:tc>
      </w:tr>
      <w:tr>
        <w:tc>
          <w:tcPr>
            <w:tcW w:type="dxa" w:w="7920"/>
          </w:tcPr>
          <w:p>
            <w:pPr>
              <w:spacing w:line="312" w:lineRule="auto"/>
              <w:ind w:firstLine="0"/>
            </w:pPr>
            <w:r>
              <w:t xml:space="preserve">    7.1 RQ1: Unsupervised Trajectory Clustering Quality (ANOVA &amp; Post-Hoc)</w:t>
            </w:r>
          </w:p>
        </w:tc>
        <w:tc>
          <w:tcPr>
            <w:tcW w:type="dxa" w:w="1440"/>
          </w:tcPr>
          <w:p>
            <w:pPr>
              <w:spacing w:line="312" w:lineRule="auto"/>
              <w:ind w:firstLine="0"/>
              <w:jc w:val="right"/>
            </w:pPr>
            <w:r>
              <w:t>22</w:t>
            </w:r>
          </w:p>
        </w:tc>
      </w:tr>
      <w:tr>
        <w:tc>
          <w:tcPr>
            <w:tcW w:type="dxa" w:w="7920"/>
          </w:tcPr>
          <w:p>
            <w:pPr>
              <w:spacing w:line="312" w:lineRule="auto"/>
              <w:ind w:firstLine="0"/>
            </w:pPr>
            <w:r>
              <w:t xml:space="preserve">    7.2 Profiling Discovered Behavioral Archetypes</w:t>
            </w:r>
          </w:p>
        </w:tc>
        <w:tc>
          <w:tcPr>
            <w:tcW w:type="dxa" w:w="1440"/>
          </w:tcPr>
          <w:p>
            <w:pPr>
              <w:spacing w:line="312" w:lineRule="auto"/>
              <w:ind w:firstLine="0"/>
              <w:jc w:val="right"/>
            </w:pPr>
            <w:r>
              <w:t>24</w:t>
            </w:r>
          </w:p>
        </w:tc>
      </w:tr>
      <w:tr>
        <w:tc>
          <w:tcPr>
            <w:tcW w:type="dxa" w:w="7920"/>
          </w:tcPr>
          <w:p>
            <w:pPr>
              <w:spacing w:line="312" w:lineRule="auto"/>
              <w:ind w:firstLine="0"/>
            </w:pPr>
            <w:r>
              <w:t xml:space="preserve">    7.3 RQ2: Dynamic In-Context Style Convergence (ANOVA &amp; Post-Hoc)</w:t>
            </w:r>
          </w:p>
        </w:tc>
        <w:tc>
          <w:tcPr>
            <w:tcW w:type="dxa" w:w="1440"/>
          </w:tcPr>
          <w:p>
            <w:pPr>
              <w:spacing w:line="312" w:lineRule="auto"/>
              <w:ind w:firstLine="0"/>
              <w:jc w:val="right"/>
            </w:pPr>
            <w:r>
              <w:t>25</w:t>
            </w:r>
          </w:p>
        </w:tc>
      </w:tr>
      <w:tr>
        <w:tc>
          <w:tcPr>
            <w:tcW w:type="dxa" w:w="7920"/>
          </w:tcPr>
          <w:p>
            <w:pPr>
              <w:spacing w:line="312" w:lineRule="auto"/>
              <w:ind w:firstLine="0"/>
            </w:pPr>
            <w:r>
              <w:t xml:space="preserve">    7.4 RQ3 Groundwork: 2x2 Factorial Ablation of Rules vs. Drift</w:t>
            </w:r>
          </w:p>
        </w:tc>
        <w:tc>
          <w:tcPr>
            <w:tcW w:type="dxa" w:w="1440"/>
          </w:tcPr>
          <w:p>
            <w:pPr>
              <w:spacing w:line="312" w:lineRule="auto"/>
              <w:ind w:firstLine="0"/>
              <w:jc w:val="right"/>
            </w:pPr>
            <w:r>
              <w:t>27</w:t>
            </w:r>
          </w:p>
        </w:tc>
      </w:tr>
      <w:tr>
        <w:tc>
          <w:tcPr>
            <w:tcW w:type="dxa" w:w="7920"/>
          </w:tcPr>
          <w:p>
            <w:pPr>
              <w:spacing w:line="312" w:lineRule="auto"/>
              <w:ind w:firstLine="0"/>
            </w:pPr>
            <w:r>
              <w:t xml:space="preserve">    7.5 RQ4 Groundwork: Dialogue Turn Economy and Friction Analysis</w:t>
            </w:r>
          </w:p>
        </w:tc>
        <w:tc>
          <w:tcPr>
            <w:tcW w:type="dxa" w:w="1440"/>
          </w:tcPr>
          <w:p>
            <w:pPr>
              <w:spacing w:line="312" w:lineRule="auto"/>
              <w:ind w:firstLine="0"/>
              <w:jc w:val="right"/>
            </w:pPr>
            <w:r>
              <w:t>28</w:t>
            </w:r>
          </w:p>
        </w:tc>
      </w:tr>
      <w:tr>
        <w:tc>
          <w:tcPr>
            <w:tcW w:type="dxa" w:w="7920"/>
          </w:tcPr>
          <w:p>
            <w:pPr>
              <w:spacing w:line="312" w:lineRule="auto"/>
              <w:ind w:firstLine="0"/>
            </w:pPr>
            <w:r>
              <w:t xml:space="preserve">    7.6 Interim Limitations and Risk Mitigation</w:t>
            </w:r>
          </w:p>
        </w:tc>
        <w:tc>
          <w:tcPr>
            <w:tcW w:type="dxa" w:w="1440"/>
          </w:tcPr>
          <w:p>
            <w:pPr>
              <w:spacing w:line="312" w:lineRule="auto"/>
              <w:ind w:firstLine="0"/>
              <w:jc w:val="right"/>
            </w:pPr>
            <w:r>
              <w:t>29</w:t>
            </w:r>
          </w:p>
        </w:tc>
      </w:tr>
      <w:tr>
        <w:tc>
          <w:tcPr>
            <w:tcW w:type="dxa" w:w="7920"/>
          </w:tcPr>
          <w:p>
            <w:pPr>
              <w:spacing w:line="312" w:lineRule="auto"/>
              <w:ind w:firstLine="0"/>
            </w:pPr>
            <w:r>
              <w:t xml:space="preserve">    7.7 Next Steps Toward the Final Report</w:t>
            </w:r>
          </w:p>
        </w:tc>
        <w:tc>
          <w:tcPr>
            <w:tcW w:type="dxa" w:w="1440"/>
          </w:tcPr>
          <w:p>
            <w:pPr>
              <w:spacing w:line="312" w:lineRule="auto"/>
              <w:ind w:firstLine="0"/>
              <w:jc w:val="right"/>
            </w:pPr>
            <w:r>
              <w:t>29</w:t>
            </w:r>
          </w:p>
        </w:tc>
      </w:tr>
      <w:tr>
        <w:tc>
          <w:tcPr>
            <w:tcW w:type="dxa" w:w="7920"/>
          </w:tcPr>
          <w:p>
            <w:pPr>
              <w:spacing w:line="312" w:lineRule="auto"/>
              <w:ind w:firstLine="0"/>
            </w:pPr>
            <w:r>
              <w:rPr>
                <w:b/>
              </w:rPr>
              <w:t>References</w:t>
            </w:r>
          </w:p>
        </w:tc>
        <w:tc>
          <w:tcPr>
            <w:tcW w:type="dxa" w:w="1440"/>
          </w:tcPr>
          <w:p>
            <w:pPr>
              <w:spacing w:line="312" w:lineRule="auto"/>
              <w:ind w:firstLine="0"/>
              <w:jc w:val="right"/>
            </w:pPr>
            <w:r>
              <w:rPr>
                <w:b/>
              </w:rPr>
              <w:t>30</w:t>
            </w:r>
          </w:p>
        </w:tc>
      </w:tr>
      <w:tr>
        <w:tc>
          <w:tcPr>
            <w:tcW w:type="dxa" w:w="7920"/>
          </w:tcPr>
          <w:p>
            <w:pPr>
              <w:spacing w:line="312" w:lineRule="auto"/>
              <w:ind w:firstLine="0"/>
            </w:pPr>
            <w:r>
              <w:rPr>
                <w:b/>
              </w:rPr>
              <w:t>Appendix A: Project Repository Architecture and Replication Guide</w:t>
            </w:r>
          </w:p>
        </w:tc>
        <w:tc>
          <w:tcPr>
            <w:tcW w:type="dxa" w:w="1440"/>
          </w:tcPr>
          <w:p>
            <w:pPr>
              <w:spacing w:line="312" w:lineRule="auto"/>
              <w:ind w:firstLine="0"/>
              <w:jc w:val="right"/>
            </w:pPr>
            <w:r>
              <w:rPr>
                <w:b/>
              </w:rPr>
              <w:t>33</w:t>
            </w:r>
          </w:p>
        </w:tc>
      </w:tr>
      <w:tr>
        <w:tc>
          <w:tcPr>
            <w:tcW w:type="dxa" w:w="7920"/>
          </w:tcPr>
          <w:p>
            <w:pPr>
              <w:spacing w:line="312" w:lineRule="auto"/>
              <w:ind w:firstLine="0"/>
            </w:pPr>
            <w:r>
              <w:rPr>
                <w:b/>
              </w:rPr>
              <w:t>Appendix B: Ten-Week Phased Project Implementation Plan</w:t>
            </w:r>
          </w:p>
        </w:tc>
        <w:tc>
          <w:tcPr>
            <w:tcW w:type="dxa" w:w="1440"/>
          </w:tcPr>
          <w:p>
            <w:pPr>
              <w:spacing w:line="312" w:lineRule="auto"/>
              <w:ind w:firstLine="0"/>
              <w:jc w:val="right"/>
            </w:pPr>
            <w:r>
              <w:rPr>
                <w:b/>
              </w:rPr>
              <w:t>34</w:t>
            </w:r>
          </w:p>
        </w:tc>
      </w:tr>
      <w:tr>
        <w:tc>
          <w:tcPr>
            <w:tcW w:type="dxa" w:w="7920"/>
          </w:tcPr>
          <w:p>
            <w:pPr>
              <w:spacing w:line="312" w:lineRule="auto"/>
              <w:ind w:firstLine="0"/>
            </w:pPr>
            <w:r>
              <w:rPr>
                <w:b/>
              </w:rPr>
              <w:t>Appendix C: Declarative Business Rule Engine Specification</w:t>
            </w:r>
          </w:p>
        </w:tc>
        <w:tc>
          <w:tcPr>
            <w:tcW w:type="dxa" w:w="1440"/>
          </w:tcPr>
          <w:p>
            <w:pPr>
              <w:spacing w:line="312" w:lineRule="auto"/>
              <w:ind w:firstLine="0"/>
              <w:jc w:val="right"/>
            </w:pPr>
            <w:r>
              <w:rPr>
                <w:b/>
              </w:rPr>
              <w:t>35</w:t>
            </w:r>
          </w:p>
        </w:tc>
      </w:tr>
    </w:tbl>
    <w:p>
      <w:r>
        <w:br w:type="page"/>
      </w:r>
    </w:p>
    <w:p>
      <w:pPr>
        <w:spacing w:before="240" w:after="120" w:line="480" w:lineRule="auto"/>
        <w:ind w:firstLine="0"/>
        <w:jc w:val="center"/>
      </w:pPr>
      <w:r>
        <w:rPr>
          <w:b/>
          <w:sz w:val="24"/>
        </w:rPr>
        <w:t>1. Introduction and Project Status</w:t>
      </w:r>
    </w:p>
    <w:p>
      <w:pPr>
        <w:spacing w:before="240" w:after="80" w:line="480" w:lineRule="auto"/>
        <w:ind w:firstLine="0"/>
        <w:jc w:val="left"/>
      </w:pPr>
      <w:r>
        <w:rPr>
          <w:b/>
          <w:sz w:val="24"/>
        </w:rPr>
        <w:t>1.1 Background and Domain Context</w:t>
      </w:r>
    </w:p>
    <w:p>
      <w:pPr>
        <w:ind w:firstLine="720"/>
        <w:jc w:val="left"/>
      </w:pPr>
      <w:r>
        <w:rPr>
          <w:b w:val="0"/>
          <w:i w:val="0"/>
        </w:rPr>
        <w:t>Modern conversational artificial intelligence agents powered by large language models (LLMs) are rapidly transitioning from simple factual retrieval interfaces into high-stakes, consultative customer decision-support systems across enterprise travel counseling, healthcare patient intake, and financial planning (Jannach et al., 2021). In consultative travel advisory operations—such as multi-destination international leisure bookings—the conversation is rarely linear or purely transactional. Instead, interactions involve complex trade-offs between flight dates, accommodation tiers, cabin classes, destination attractions, and visa lead time requirements (El Asri et al., 2017). Human customers entering these conversational channels exhibit profoundly heterogeneous behavioral personalities. First-time leisure travelers frequently manifest exploratory, highly hesitant communication patterns, requiring empathetic guidance, multiple package comparisons, and iterative constraint adjustments. Conversely, seasoned corporate travelers exhibit rapid, transactional communication arcs, providing exact flight schedules and demanding immediate reservation confirmation (Inaba et al., 2022).</w:t>
      </w:r>
    </w:p>
    <w:p>
      <w:pPr>
        <w:ind w:firstLine="720"/>
        <w:jc w:val="left"/>
      </w:pPr>
      <w:r>
        <w:rPr>
          <w:b w:val="0"/>
          <w:i w:val="0"/>
        </w:rPr>
        <w:t>Despite dramatic advancements in LLM reasoning capabilities, commercial conversational agents remain fundamentally handicapped by static, monolithic prompt architectures. Commercial platforms uniformly deploy fixed system instructions and invariant conversational pacing across all incoming user sessions. Consequently, a hesitant, budget-conscious family receives the identical rapid-fire booking confirmations as an impatient corporate executive, resulting in cognitive friction, repetitive clarifying turns, and high session abandonment rates. When system architects attempt to remedy this by steering conversational style dynamically using in-context few-shot learning (Brown et al., 2020), they inadvertently trigger severe factual hallucination and policy drift (Rebedea et al., 2023). Unconstrained few-shot conditioning frequently causes LLMs to leak obsolete dates, hotel names, or pricing constraints from the in-context demonstration into the live customer session. Even more critically, unconstrained agents violate non-negotiable enterprise operational policies, such as booking international departures with insufficient visa lead times or authorizing unapproved promotional discounts.</w:t>
      </w:r>
    </w:p>
    <w:p>
      <w:pPr>
        <w:ind w:firstLine="720"/>
        <w:jc w:val="left"/>
      </w:pPr>
      <w:r>
        <w:rPr>
          <w:b w:val="0"/>
          <w:i w:val="0"/>
        </w:rPr>
        <w:t>To resolve this fundamental tension between personalized conversational style adaptation and deterministic enterprise reliability, this capstone study develops an end-to-end quantitative framework integrating unsupervised dialogue trajectory clustering, dynamic in-context few-shot prompt assembly with slot masking, and decoupled declarative rule verification. By converting multi-turn dialogues into dense semantic trajectories via Sentence-BERT (Reimers &amp; Gurevych, 2019) with temporal decay weighting, our framework automatically discovers latent behavioral archetypes from conversational history. At runtime, the system dynamically retrieves archetype-matched exemplars to adaptively steer conversational pacing while interposing an external declarative verification layer that enforces business constraints without degrading conversational naturalness.</w:t>
      </w:r>
    </w:p>
    <w:p>
      <w:pPr>
        <w:spacing w:before="240" w:after="80" w:line="480" w:lineRule="auto"/>
        <w:ind w:firstLine="0"/>
        <w:jc w:val="left"/>
      </w:pPr>
      <w:r>
        <w:rPr>
          <w:b/>
          <w:sz w:val="24"/>
        </w:rPr>
        <w:t>1.2 Problem Statement and Variables</w:t>
      </w:r>
    </w:p>
    <w:p>
      <w:pPr>
        <w:ind w:firstLine="720"/>
        <w:jc w:val="left"/>
      </w:pPr>
      <w:r>
        <w:rPr>
          <w:b w:val="0"/>
          <w:i w:val="0"/>
        </w:rPr>
        <w:t>Goal-oriented conversational systems lack data-driven mechanisms to automatically discover latent user personality archetypes from historical interaction logs and adapt their conversational style in real time. This static conversational posture results in excessive clarifying turns, customer friction, and elevated drop-off rates. Concurrently, naive prompt-based style adaptation introduces severe factual leakage and policy drift that commercial enterprises cannot tolerate. In a rigorous quantitative data analytics framework, this study operationalizes these phenomena by evaluating how primary Independent Variables—specifically, Clustering Algorithm (K-Means, Agglomerative Hierarchical, HDBSCAN), In-Context Conditioning Strategy (Zero-Shot Baseline, Static Few-Shot, Dynamic Cluster-Adaptive Few-Shot), and Business Rule Enforcement Mode (Rules Active vs. Rules OFF)—statistically impact measurable Dependent Variables: Structural Cluster Quality (Silhouette Score, Davies-Bouldin Index), Semantic Style Closeness (Cosine Similarity and BERTScore to reference cluster centroids), Factual Slot Accuracy (Slot F1), Exemplar Factual Leakage Rate (EFLR), Operational Rule Adherence Rate (RAR), and Conversational Turn Economy (Turns to Goal Completion [TGC] and Redundant Elicitation Rate [RER]).</w:t>
      </w:r>
    </w:p>
    <w:p>
      <w:pPr>
        <w:spacing w:before="240" w:after="80" w:line="480" w:lineRule="auto"/>
        <w:ind w:firstLine="0"/>
        <w:jc w:val="left"/>
      </w:pPr>
      <w:r>
        <w:rPr>
          <w:b/>
          <w:sz w:val="24"/>
        </w:rPr>
        <w:t>1.3 Purpose of the Study</w:t>
      </w:r>
    </w:p>
    <w:p>
      <w:pPr>
        <w:ind w:firstLine="720"/>
        <w:jc w:val="left"/>
      </w:pPr>
      <w:r>
        <w:rPr>
          <w:b w:val="0"/>
          <w:i w:val="0"/>
        </w:rPr>
        <w:t>The purpose of this quantitative study is fourfold: (a) to discover, segment, and profile latent conversational archetypes from multi-turn travel dialogues using dense Sentence-BERT trajectory embeddings; (b) to evaluate the degree of semantic and stylistic convergence achieved by dynamic cluster-adaptive few-shot prompt injection compared to zero-shot and static baselines; (c) to execute a controlled 2x2 factorial ablation experiment measuring the causal impact of declarative business rules versus few-shot conditioning on factual slot preservation and policy adherence; and (d) to quantify turn economy gains (TGC and RER) across distinct customer archetypes. The resulting framework delivers an empirically grounded, fully reproducible methodology for context-adaptive conversational AI.</w:t>
      </w:r>
    </w:p>
    <w:p>
      <w:pPr>
        <w:spacing w:before="240" w:after="80" w:line="480" w:lineRule="auto"/>
        <w:ind w:firstLine="0"/>
        <w:jc w:val="left"/>
      </w:pPr>
      <w:r>
        <w:rPr>
          <w:b/>
          <w:sz w:val="24"/>
        </w:rPr>
        <w:t>1.4 Interim Project Status (Progress Snapshot)</w:t>
      </w:r>
    </w:p>
    <w:p>
      <w:pPr>
        <w:ind w:firstLine="0"/>
        <w:jc w:val="left"/>
      </w:pPr>
      <w:r>
        <w:rPr>
          <w:b w:val="0"/>
          <w:i w:val="0"/>
        </w:rPr>
        <w:t>To provide transparency into project execution, the current milestone status is summarized below:</w:t>
      </w:r>
    </w:p>
    <w:p>
      <w:pPr>
        <w:pStyle w:val="ListBullet"/>
      </w:pPr>
      <w:r>
        <w:t>• Completed: Full acquisition and local caching of the primary Microsoft Frames corpus (1,369 dialogues, 19,986 turns), MultiWOZ 2.2 corpus (all 23 JSON partitions spanning 10,438 dialogues), and the external enterprise validation benchmark (102 golden travel counseling transcripts). Completed canonical ingestion pipeline mapping raw corpora into a Two-Tier Universal/Enterprise Slot schema (2,893 total dialogues). Completed dense trajectory vectorization using S-BERT all-MiniLM-L6-v2 with temporal decay pooling. Fully attempted and completed statistical hypothesis testing for RQ1 (K-Means, Agglomerative, HDBSCAN ANOVA and Tukey HSD) and RQ2 (Semantic Cosine Similarity ANOVA and Tukey HSD). Built production-grade FAISS vector indexing with slot masking and declarative rule engine.</w:t>
      </w:r>
    </w:p>
    <w:p>
      <w:pPr>
        <w:pStyle w:val="ListBullet"/>
      </w:pPr>
      <w:r>
        <w:t>• In Progress: Groundwork execution and preliminary parameter estimation for RQ3 (controlled 2x2 factorial ablation of rules vs. drift) and RQ4 (turn economy and redundant elicitation reduction across customer archetypes).</w:t>
      </w:r>
    </w:p>
    <w:p>
      <w:pPr>
        <w:pStyle w:val="ListBullet"/>
      </w:pPr>
      <w:r>
        <w:t>• Pending: Hyperparameter fine-tuning of FAISS retrieval top-k thresholds, multi-turn LLM inference generation runs with Gemini 1.5 Pro / Flash APIs, qualitative conversational naturalness evaluation, and final thesis defense slide deck preparation.</w:t>
      </w:r>
    </w:p>
    <w:p>
      <w:pPr>
        <w:spacing w:before="240" w:after="120" w:line="480" w:lineRule="auto"/>
        <w:ind w:firstLine="0"/>
        <w:jc w:val="center"/>
      </w:pPr>
      <w:r>
        <w:rPr>
          <w:b/>
          <w:sz w:val="24"/>
        </w:rPr>
        <w:t>2. Scope and Research Objectives</w:t>
      </w:r>
    </w:p>
    <w:p>
      <w:pPr>
        <w:spacing w:before="240" w:after="80" w:line="480" w:lineRule="auto"/>
        <w:ind w:firstLine="0"/>
        <w:jc w:val="left"/>
      </w:pPr>
      <w:r>
        <w:rPr>
          <w:b/>
          <w:sz w:val="24"/>
        </w:rPr>
        <w:t>2.1 Analytical Boundaries and Feasibility</w:t>
      </w:r>
    </w:p>
    <w:p>
      <w:pPr>
        <w:ind w:firstLine="720"/>
        <w:jc w:val="left"/>
      </w:pPr>
      <w:r>
        <w:rPr>
          <w:b w:val="0"/>
          <w:i w:val="0"/>
        </w:rPr>
        <w:t>The scope of this research is strictly bounded to open-access, multi-turn English-language goal-oriented dialogue corpora (Microsoft Frames and MultiWOZ 2.2), benchmarked against an external evaluation set of 102 PII-sanitized, golden enterprise travel counseling dialogues. The investigation focuses on consultative leisure travel and accommodation booking negotiations, where constraint exploration and multi-turn trade-offs are pronounced. The study leverages dense sentence representation models (S-BERT all-MiniLM-L6-v2) to map multi-turn conversational turn sequences into 384-dimensional latent trajectory vectors. Methodological feasibility is guaranteed by utilizing established open-source machine learning frameworks (scikit-learn, FAISS, PyTorch, Sentence-Transformers, statsmodels) executing on local compute infrastructure with zero proprietary cloud lock-in.</w:t>
      </w:r>
    </w:p>
    <w:p>
      <w:pPr>
        <w:spacing w:before="240" w:after="80" w:line="480" w:lineRule="auto"/>
        <w:ind w:firstLine="0"/>
        <w:jc w:val="left"/>
      </w:pPr>
      <w:r>
        <w:rPr>
          <w:b/>
          <w:sz w:val="24"/>
        </w:rPr>
        <w:t>2.2 Research Questions (RQ1–RQ4)</w:t>
      </w:r>
    </w:p>
    <w:p>
      <w:pPr>
        <w:ind w:firstLine="0"/>
        <w:jc w:val="left"/>
      </w:pPr>
      <w:r>
        <w:rPr>
          <w:b w:val="0"/>
          <w:i w:val="0"/>
        </w:rPr>
        <w:t>The project investigates four core research questions:</w:t>
      </w:r>
    </w:p>
    <w:p>
      <w:pPr>
        <w:pStyle w:val="ListBullet"/>
      </w:pPr>
      <w:r>
        <w:t>• Research Question 1 (RQ1 - Unsupervised Trajectory Clustering Quality): Which unsupervised clustering algorithm (K-Means, Agglomerative Hierarchical, or HDBSCAN) operating on dense trajectory embeddings produces the highest structural cluster separation (Silhouette Score and Davies-Bouldin Index) and distinct behavioral archetypes across multi-turn goal-oriented dialogues?</w:t>
      </w:r>
    </w:p>
    <w:p>
      <w:pPr>
        <w:pStyle w:val="ListBullet"/>
      </w:pPr>
      <w:r>
        <w:t>• Research Question 2 (RQ2 - Dynamic In-Context Style Convergence): To what extent does dynamic cluster-adaptive few-shot exemplar injection increase the agent's Semantic Style Closeness (Cosine Similarity and BERTScore to target reference cluster centroids) compared to zero-shot and static few-shot baselines?</w:t>
      </w:r>
    </w:p>
    <w:p>
      <w:pPr>
        <w:pStyle w:val="ListBullet"/>
      </w:pPr>
      <w:r>
        <w:t>• Research Question 3 (RQ3 - Controlled Ablation: Rules vs. Style Factual Drift): In a controlled 2x2 ablation experiment (Declarative Rules [Active vs. OFF] x Prompt Conditioning [Zero-Shot vs. Cluster Few-Shot]), does aggressive stylistic convergence induce Exemplar Factual Leakage or degrade Slot F1, and does a decoupled declarative rule engine eliminate policy violations without dampening style convergence?</w:t>
      </w:r>
    </w:p>
    <w:p>
      <w:pPr>
        <w:pStyle w:val="ListBullet"/>
      </w:pPr>
      <w:r>
        <w:t>• Research Question 4 (RQ4 - Turn Economy &amp; Friction Across Archetypes): How does cluster-adaptive few-shot prompting impact conversational efficiency—measured via Turns to Goal Completion (TGC) and Redundant Elicitation Rate (RER)—when interacting across distinct customer conversational archetypes (Consultative/Ambiguous vs. Direct/Transactional)?</w:t>
      </w:r>
    </w:p>
    <w:p>
      <w:pPr>
        <w:spacing w:before="240" w:after="120" w:line="480" w:lineRule="auto"/>
        <w:ind w:firstLine="0"/>
        <w:jc w:val="center"/>
      </w:pPr>
      <w:r>
        <w:rPr>
          <w:b/>
          <w:sz w:val="24"/>
        </w:rPr>
        <w:t>3. Literature Survey and Synthesis</w:t>
      </w:r>
    </w:p>
    <w:p>
      <w:pPr>
        <w:spacing w:before="240" w:after="80" w:line="480" w:lineRule="auto"/>
        <w:ind w:firstLine="0"/>
        <w:jc w:val="left"/>
      </w:pPr>
      <w:r>
        <w:rPr>
          <w:b/>
          <w:sz w:val="24"/>
        </w:rPr>
        <w:t>3.1 Literature Review Approach</w:t>
      </w:r>
    </w:p>
    <w:p>
      <w:pPr>
        <w:ind w:firstLine="720"/>
        <w:jc w:val="left"/>
      </w:pPr>
      <w:r>
        <w:rPr>
          <w:b w:val="0"/>
          <w:i w:val="0"/>
        </w:rPr>
        <w:t>A systematic literature search was conducted across IEEE Xplore, ACM Digital Library, ACL Anthology, arXiv, and Google Scholar covering the period from 2017 to 2024. Primary keyword strings included: 'goal-oriented dialogue state tracking', 'in-context few-shot learning', 'conversational recommendation systems', 'Sentence-BERT trajectory embeddings', 'LLM guardrails and declarative verification', and 'dialogue clustering archetypes'. Peer-reviewed conference proceedings (EMNLP, ACL, SIGdial, ICLR, NeurIPS) and seminal industry toolkits were prioritized. Over 30 articles were screened, resulting in 12 foundational studies directly informing our experimental design.</w:t>
      </w:r>
    </w:p>
    <w:p>
      <w:pPr>
        <w:spacing w:before="240" w:after="80" w:line="480" w:lineRule="auto"/>
        <w:ind w:firstLine="0"/>
        <w:jc w:val="left"/>
      </w:pPr>
      <w:r>
        <w:rPr>
          <w:b/>
          <w:sz w:val="24"/>
        </w:rPr>
        <w:t>3.2 Summary of Key Literature (Relevance Matrix)</w:t>
      </w:r>
    </w:p>
    <w:p>
      <w:pPr>
        <w:spacing w:before="200" w:after="0"/>
        <w:ind w:firstLine="0"/>
      </w:pPr>
      <w:r>
        <w:rPr>
          <w:b/>
        </w:rPr>
        <w:t>Table 1</w:t>
      </w:r>
    </w:p>
    <w:p>
      <w:pPr>
        <w:spacing w:before="0" w:after="80"/>
        <w:ind w:firstLine="0"/>
      </w:pPr>
      <w:r>
        <w:rPr>
          <w:i/>
        </w:rPr>
        <w:t>Literature Relevance Matrix across Foundational Prior Art</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16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Study Citation</w:t>
            </w:r>
          </w:p>
        </w:tc>
        <w:tc>
          <w:tcPr>
            <w:tcW w:type="dxa" w:w="259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Methodology / Corpus</w:t>
            </w:r>
          </w:p>
        </w:tc>
        <w:tc>
          <w:tcPr>
            <w:tcW w:type="dxa" w:w="288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Key Findings</w:t>
            </w:r>
          </w:p>
        </w:tc>
        <w:tc>
          <w:tcPr>
            <w:tcW w:type="dxa" w:w="2448"/>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Relevance to Capstone</w:t>
            </w:r>
          </w:p>
        </w:tc>
      </w:tr>
      <w:tr>
        <w:trPr>
          <w:cantSplit/>
        </w:trPr>
        <w:tc>
          <w:tcPr>
            <w:tcW w:type="dxa" w:w="2160"/>
            <w:tcMar>
              <w:top w:w="100" w:type="dxa"/>
              <w:bottom w:w="100" w:type="dxa"/>
              <w:left w:w="140" w:type="dxa"/>
              <w:right w:w="140" w:type="dxa"/>
            </w:tcMar>
            <w:tcBorders/>
          </w:tcPr>
          <w:p>
            <w:pPr>
              <w:spacing w:line="276" w:lineRule="auto"/>
              <w:ind w:firstLine="0"/>
              <w:jc w:val="left"/>
            </w:pPr>
            <w:r>
              <w:t>El Asri et al. (2017)</w:t>
            </w:r>
          </w:p>
        </w:tc>
        <w:tc>
          <w:tcPr>
            <w:tcW w:type="dxa" w:w="2592"/>
            <w:tcMar>
              <w:top w:w="100" w:type="dxa"/>
              <w:bottom w:w="100" w:type="dxa"/>
              <w:left w:w="140" w:type="dxa"/>
              <w:right w:w="140" w:type="dxa"/>
            </w:tcMar>
            <w:tcBorders/>
          </w:tcPr>
          <w:p>
            <w:pPr>
              <w:spacing w:line="276" w:lineRule="auto"/>
              <w:ind w:firstLine="0"/>
              <w:jc w:val="left"/>
            </w:pPr>
            <w:r>
              <w:t>Wizard-of-Oz Frames corpus (1,369 dialogues)</w:t>
            </w:r>
          </w:p>
        </w:tc>
        <w:tc>
          <w:tcPr>
            <w:tcW w:type="dxa" w:w="2880"/>
            <w:tcMar>
              <w:top w:w="100" w:type="dxa"/>
              <w:bottom w:w="100" w:type="dxa"/>
              <w:left w:w="140" w:type="dxa"/>
              <w:right w:w="140" w:type="dxa"/>
            </w:tcMar>
            <w:tcBorders/>
          </w:tcPr>
          <w:p>
            <w:pPr>
              <w:spacing w:line="276" w:lineRule="auto"/>
              <w:ind w:firstLine="0"/>
              <w:jc w:val="left"/>
            </w:pPr>
            <w:r>
              <w:t>Users maintain competing candidate itineraries and dynamically revise constraints across turns.</w:t>
            </w:r>
          </w:p>
        </w:tc>
        <w:tc>
          <w:tcPr>
            <w:tcW w:type="dxa" w:w="2448"/>
            <w:tcMar>
              <w:top w:w="100" w:type="dxa"/>
              <w:bottom w:w="100" w:type="dxa"/>
              <w:left w:w="140" w:type="dxa"/>
              <w:right w:w="140" w:type="dxa"/>
            </w:tcMar>
            <w:tcBorders/>
          </w:tcPr>
          <w:p>
            <w:pPr>
              <w:spacing w:line="276" w:lineRule="auto"/>
              <w:ind w:firstLine="0"/>
              <w:jc w:val="left"/>
            </w:pPr>
            <w:r>
              <w:t>Primary baseline corpus for multi-turn negotiation and trajectory clustering (RQ1).</w:t>
            </w:r>
          </w:p>
        </w:tc>
      </w:tr>
      <w:tr>
        <w:trPr>
          <w:cantSplit/>
        </w:trPr>
        <w:tc>
          <w:tcPr>
            <w:tcW w:type="dxa" w:w="2160"/>
            <w:tcMar>
              <w:top w:w="100" w:type="dxa"/>
              <w:bottom w:w="100" w:type="dxa"/>
              <w:left w:w="140" w:type="dxa"/>
              <w:right w:w="140" w:type="dxa"/>
            </w:tcMar>
            <w:tcBorders/>
          </w:tcPr>
          <w:p>
            <w:pPr>
              <w:spacing w:line="276" w:lineRule="auto"/>
              <w:ind w:firstLine="0"/>
              <w:jc w:val="left"/>
            </w:pPr>
            <w:r>
              <w:t>Budzianowski et al. (2018)</w:t>
            </w:r>
          </w:p>
        </w:tc>
        <w:tc>
          <w:tcPr>
            <w:tcW w:type="dxa" w:w="2592"/>
            <w:tcMar>
              <w:top w:w="100" w:type="dxa"/>
              <w:bottom w:w="100" w:type="dxa"/>
              <w:left w:w="140" w:type="dxa"/>
              <w:right w:w="140" w:type="dxa"/>
            </w:tcMar>
            <w:tcBorders/>
          </w:tcPr>
          <w:p>
            <w:pPr>
              <w:spacing w:line="276" w:lineRule="auto"/>
              <w:ind w:firstLine="0"/>
              <w:jc w:val="left"/>
            </w:pPr>
            <w:r>
              <w:t>MultiWOZ 10k dialogue corpus across 7 domains</w:t>
            </w:r>
          </w:p>
        </w:tc>
        <w:tc>
          <w:tcPr>
            <w:tcW w:type="dxa" w:w="2880"/>
            <w:tcMar>
              <w:top w:w="100" w:type="dxa"/>
              <w:bottom w:w="100" w:type="dxa"/>
              <w:left w:w="140" w:type="dxa"/>
              <w:right w:w="140" w:type="dxa"/>
            </w:tcMar>
            <w:tcBorders/>
          </w:tcPr>
          <w:p>
            <w:pPr>
              <w:spacing w:line="276" w:lineRule="auto"/>
              <w:ind w:firstLine="0"/>
              <w:jc w:val="left"/>
            </w:pPr>
            <w:r>
              <w:t>Standardized dialogue act annotations and multi-domain task completion baselines.</w:t>
            </w:r>
          </w:p>
        </w:tc>
        <w:tc>
          <w:tcPr>
            <w:tcW w:type="dxa" w:w="2448"/>
            <w:tcMar>
              <w:top w:w="100" w:type="dxa"/>
              <w:bottom w:w="100" w:type="dxa"/>
              <w:left w:w="140" w:type="dxa"/>
              <w:right w:w="140" w:type="dxa"/>
            </w:tcMar>
            <w:tcBorders/>
          </w:tcPr>
          <w:p>
            <w:pPr>
              <w:spacing w:line="276" w:lineRule="auto"/>
              <w:ind w:firstLine="0"/>
              <w:jc w:val="left"/>
            </w:pPr>
            <w:r>
              <w:t>Benchmark for multi-domain slot semantics and cross-corpus ontology alignment (RQ1/RQ2).</w:t>
            </w:r>
          </w:p>
        </w:tc>
      </w:tr>
      <w:tr>
        <w:trPr>
          <w:cantSplit/>
        </w:trPr>
        <w:tc>
          <w:tcPr>
            <w:tcW w:type="dxa" w:w="2160"/>
            <w:tcMar>
              <w:top w:w="100" w:type="dxa"/>
              <w:bottom w:w="100" w:type="dxa"/>
              <w:left w:w="140" w:type="dxa"/>
              <w:right w:w="140" w:type="dxa"/>
            </w:tcMar>
            <w:tcBorders/>
          </w:tcPr>
          <w:p>
            <w:pPr>
              <w:spacing w:line="276" w:lineRule="auto"/>
              <w:ind w:firstLine="0"/>
              <w:jc w:val="left"/>
            </w:pPr>
            <w:r>
              <w:t>Zang et al. (2020)</w:t>
            </w:r>
          </w:p>
        </w:tc>
        <w:tc>
          <w:tcPr>
            <w:tcW w:type="dxa" w:w="2592"/>
            <w:tcMar>
              <w:top w:w="100" w:type="dxa"/>
              <w:bottom w:w="100" w:type="dxa"/>
              <w:left w:w="140" w:type="dxa"/>
              <w:right w:w="140" w:type="dxa"/>
            </w:tcMar>
            <w:tcBorders/>
          </w:tcPr>
          <w:p>
            <w:pPr>
              <w:spacing w:line="276" w:lineRule="auto"/>
              <w:ind w:firstLine="0"/>
              <w:jc w:val="left"/>
            </w:pPr>
            <w:r>
              <w:t>MultiWOZ 2.2 schema-guided dialogue tracking</w:t>
            </w:r>
          </w:p>
        </w:tc>
        <w:tc>
          <w:tcPr>
            <w:tcW w:type="dxa" w:w="2880"/>
            <w:tcMar>
              <w:top w:w="100" w:type="dxa"/>
              <w:bottom w:w="100" w:type="dxa"/>
              <w:left w:w="140" w:type="dxa"/>
              <w:right w:w="140" w:type="dxa"/>
            </w:tcMar>
            <w:tcBorders/>
          </w:tcPr>
          <w:p>
            <w:pPr>
              <w:spacing w:line="276" w:lineRule="auto"/>
              <w:ind w:firstLine="0"/>
              <w:jc w:val="left"/>
            </w:pPr>
            <w:r>
              <w:t>Corrected state annotation errors and formalized schema-guided meta-ontologies.</w:t>
            </w:r>
          </w:p>
        </w:tc>
        <w:tc>
          <w:tcPr>
            <w:tcW w:type="dxa" w:w="2448"/>
            <w:tcMar>
              <w:top w:w="100" w:type="dxa"/>
              <w:bottom w:w="100" w:type="dxa"/>
              <w:left w:w="140" w:type="dxa"/>
              <w:right w:w="140" w:type="dxa"/>
            </w:tcMar>
            <w:tcBorders/>
          </w:tcPr>
          <w:p>
            <w:pPr>
              <w:spacing w:line="276" w:lineRule="auto"/>
              <w:ind w:firstLine="0"/>
              <w:jc w:val="left"/>
            </w:pPr>
            <w:r>
              <w:t>Theoretical foundation for our Two-Tier Canonical Slot Schema.</w:t>
            </w:r>
          </w:p>
        </w:tc>
      </w:tr>
      <w:tr>
        <w:trPr>
          <w:cantSplit/>
        </w:trPr>
        <w:tc>
          <w:tcPr>
            <w:tcW w:type="dxa" w:w="2160"/>
            <w:tcMar>
              <w:top w:w="100" w:type="dxa"/>
              <w:bottom w:w="100" w:type="dxa"/>
              <w:left w:w="140" w:type="dxa"/>
              <w:right w:w="140" w:type="dxa"/>
            </w:tcMar>
            <w:tcBorders/>
          </w:tcPr>
          <w:p>
            <w:pPr>
              <w:spacing w:line="276" w:lineRule="auto"/>
              <w:ind w:firstLine="0"/>
              <w:jc w:val="left"/>
            </w:pPr>
            <w:r>
              <w:t>Reimers &amp; Gurevych (2019)</w:t>
            </w:r>
          </w:p>
        </w:tc>
        <w:tc>
          <w:tcPr>
            <w:tcW w:type="dxa" w:w="2592"/>
            <w:tcMar>
              <w:top w:w="100" w:type="dxa"/>
              <w:bottom w:w="100" w:type="dxa"/>
              <w:left w:w="140" w:type="dxa"/>
              <w:right w:w="140" w:type="dxa"/>
            </w:tcMar>
            <w:tcBorders/>
          </w:tcPr>
          <w:p>
            <w:pPr>
              <w:spacing w:line="276" w:lineRule="auto"/>
              <w:ind w:firstLine="0"/>
              <w:jc w:val="left"/>
            </w:pPr>
            <w:r>
              <w:t>Sentence-BERT siamese network embeddings</w:t>
            </w:r>
          </w:p>
        </w:tc>
        <w:tc>
          <w:tcPr>
            <w:tcW w:type="dxa" w:w="2880"/>
            <w:tcMar>
              <w:top w:w="100" w:type="dxa"/>
              <w:bottom w:w="100" w:type="dxa"/>
              <w:left w:w="140" w:type="dxa"/>
              <w:right w:w="140" w:type="dxa"/>
            </w:tcMar>
            <w:tcBorders/>
          </w:tcPr>
          <w:p>
            <w:pPr>
              <w:spacing w:line="276" w:lineRule="auto"/>
              <w:ind w:firstLine="0"/>
              <w:jc w:val="left"/>
            </w:pPr>
            <w:r>
              <w:t>Dense vector embeddings capture nuanced semantic meaning in Euclidean/cosine spaces.</w:t>
            </w:r>
          </w:p>
        </w:tc>
        <w:tc>
          <w:tcPr>
            <w:tcW w:type="dxa" w:w="2448"/>
            <w:tcMar>
              <w:top w:w="100" w:type="dxa"/>
              <w:bottom w:w="100" w:type="dxa"/>
              <w:left w:w="140" w:type="dxa"/>
              <w:right w:w="140" w:type="dxa"/>
            </w:tcMar>
            <w:tcBorders/>
          </w:tcPr>
          <w:p>
            <w:pPr>
              <w:spacing w:line="276" w:lineRule="auto"/>
              <w:ind w:firstLine="0"/>
              <w:jc w:val="left"/>
            </w:pPr>
            <w:r>
              <w:t>Underpins our 384-dim conversational trajectory vectorizer.</w:t>
            </w:r>
          </w:p>
        </w:tc>
      </w:tr>
      <w:tr>
        <w:trPr>
          <w:cantSplit/>
        </w:trPr>
        <w:tc>
          <w:tcPr>
            <w:tcW w:type="dxa" w:w="2160"/>
            <w:tcMar>
              <w:top w:w="100" w:type="dxa"/>
              <w:bottom w:w="100" w:type="dxa"/>
              <w:left w:w="140" w:type="dxa"/>
              <w:right w:w="140" w:type="dxa"/>
            </w:tcMar>
            <w:tcBorders/>
          </w:tcPr>
          <w:p>
            <w:pPr>
              <w:spacing w:line="276" w:lineRule="auto"/>
              <w:ind w:firstLine="0"/>
              <w:jc w:val="left"/>
            </w:pPr>
            <w:r>
              <w:t>Brown et al. (2020)</w:t>
            </w:r>
          </w:p>
        </w:tc>
        <w:tc>
          <w:tcPr>
            <w:tcW w:type="dxa" w:w="2592"/>
            <w:tcMar>
              <w:top w:w="100" w:type="dxa"/>
              <w:bottom w:w="100" w:type="dxa"/>
              <w:left w:w="140" w:type="dxa"/>
              <w:right w:w="140" w:type="dxa"/>
            </w:tcMar>
            <w:tcBorders/>
          </w:tcPr>
          <w:p>
            <w:pPr>
              <w:spacing w:line="276" w:lineRule="auto"/>
              <w:ind w:firstLine="0"/>
              <w:jc w:val="left"/>
            </w:pPr>
            <w:r>
              <w:t>GPT-3 in-context few-shot prompting</w:t>
            </w:r>
          </w:p>
        </w:tc>
        <w:tc>
          <w:tcPr>
            <w:tcW w:type="dxa" w:w="2880"/>
            <w:tcMar>
              <w:top w:w="100" w:type="dxa"/>
              <w:bottom w:w="100" w:type="dxa"/>
              <w:left w:w="140" w:type="dxa"/>
              <w:right w:w="140" w:type="dxa"/>
            </w:tcMar>
            <w:tcBorders/>
          </w:tcPr>
          <w:p>
            <w:pPr>
              <w:spacing w:line="276" w:lineRule="auto"/>
              <w:ind w:firstLine="0"/>
              <w:jc w:val="left"/>
            </w:pPr>
            <w:r>
              <w:t>Demonstrated that LLMs adapt to downstream tasks via contextual exemplars without weight updates.</w:t>
            </w:r>
          </w:p>
        </w:tc>
        <w:tc>
          <w:tcPr>
            <w:tcW w:type="dxa" w:w="2448"/>
            <w:tcMar>
              <w:top w:w="100" w:type="dxa"/>
              <w:bottom w:w="100" w:type="dxa"/>
              <w:left w:w="140" w:type="dxa"/>
              <w:right w:w="140" w:type="dxa"/>
            </w:tcMar>
            <w:tcBorders/>
          </w:tcPr>
          <w:p>
            <w:pPr>
              <w:spacing w:line="276" w:lineRule="auto"/>
              <w:ind w:firstLine="0"/>
              <w:jc w:val="left"/>
            </w:pPr>
            <w:r>
              <w:t>Provides theoretical basis for dynamic in-context prompt conditioning (RQ2).</w:t>
            </w:r>
          </w:p>
        </w:tc>
      </w:tr>
      <w:tr>
        <w:trPr>
          <w:cantSplit/>
        </w:trPr>
        <w:tc>
          <w:tcPr>
            <w:tcW w:type="dxa" w:w="2160"/>
            <w:tcMar>
              <w:top w:w="100" w:type="dxa"/>
              <w:bottom w:w="100" w:type="dxa"/>
              <w:left w:w="140" w:type="dxa"/>
              <w:right w:w="140" w:type="dxa"/>
            </w:tcMar>
            <w:tcBorders/>
          </w:tcPr>
          <w:p>
            <w:pPr>
              <w:spacing w:line="276" w:lineRule="auto"/>
              <w:ind w:firstLine="0"/>
              <w:jc w:val="left"/>
            </w:pPr>
            <w:r>
              <w:t>Liu et al. (2022)</w:t>
            </w:r>
          </w:p>
        </w:tc>
        <w:tc>
          <w:tcPr>
            <w:tcW w:type="dxa" w:w="2592"/>
            <w:tcMar>
              <w:top w:w="100" w:type="dxa"/>
              <w:bottom w:w="100" w:type="dxa"/>
              <w:left w:w="140" w:type="dxa"/>
              <w:right w:w="140" w:type="dxa"/>
            </w:tcMar>
            <w:tcBorders/>
          </w:tcPr>
          <w:p>
            <w:pPr>
              <w:spacing w:line="276" w:lineRule="auto"/>
              <w:ind w:firstLine="0"/>
              <w:jc w:val="left"/>
            </w:pPr>
            <w:r>
              <w:t>K-NN in-context example retrieval for GPT-3</w:t>
            </w:r>
          </w:p>
        </w:tc>
        <w:tc>
          <w:tcPr>
            <w:tcW w:type="dxa" w:w="2880"/>
            <w:tcMar>
              <w:top w:w="100" w:type="dxa"/>
              <w:bottom w:w="100" w:type="dxa"/>
              <w:left w:w="140" w:type="dxa"/>
              <w:right w:w="140" w:type="dxa"/>
            </w:tcMar>
            <w:tcBorders/>
          </w:tcPr>
          <w:p>
            <w:pPr>
              <w:spacing w:line="276" w:lineRule="auto"/>
              <w:ind w:firstLine="0"/>
              <w:jc w:val="left"/>
            </w:pPr>
            <w:r>
              <w:t>Semantically close exemplars significantly outperform random exemplar selection in LLM steering.</w:t>
            </w:r>
          </w:p>
        </w:tc>
        <w:tc>
          <w:tcPr>
            <w:tcW w:type="dxa" w:w="2448"/>
            <w:tcMar>
              <w:top w:w="100" w:type="dxa"/>
              <w:bottom w:w="100" w:type="dxa"/>
              <w:left w:w="140" w:type="dxa"/>
              <w:right w:w="140" w:type="dxa"/>
            </w:tcMar>
            <w:tcBorders/>
          </w:tcPr>
          <w:p>
            <w:pPr>
              <w:spacing w:line="276" w:lineRule="auto"/>
              <w:ind w:firstLine="0"/>
              <w:jc w:val="left"/>
            </w:pPr>
            <w:r>
              <w:t>Motivates our FAISS vector retrieval of archetype-matched exemplars (RQ2).</w:t>
            </w:r>
          </w:p>
        </w:tc>
      </w:tr>
      <w:tr>
        <w:trPr>
          <w:cantSplit/>
        </w:trPr>
        <w:tc>
          <w:tcPr>
            <w:tcW w:type="dxa" w:w="2160"/>
            <w:tcMar>
              <w:top w:w="100" w:type="dxa"/>
              <w:bottom w:w="100" w:type="dxa"/>
              <w:left w:w="140" w:type="dxa"/>
              <w:right w:w="140" w:type="dxa"/>
            </w:tcMar>
            <w:tcBorders/>
          </w:tcPr>
          <w:p>
            <w:pPr>
              <w:spacing w:line="276" w:lineRule="auto"/>
              <w:ind w:firstLine="0"/>
              <w:jc w:val="left"/>
            </w:pPr>
            <w:r>
              <w:t>Jannach et al. (2021)</w:t>
            </w:r>
          </w:p>
        </w:tc>
        <w:tc>
          <w:tcPr>
            <w:tcW w:type="dxa" w:w="2592"/>
            <w:tcMar>
              <w:top w:w="100" w:type="dxa"/>
              <w:bottom w:w="100" w:type="dxa"/>
              <w:left w:w="140" w:type="dxa"/>
              <w:right w:w="140" w:type="dxa"/>
            </w:tcMar>
            <w:tcBorders/>
          </w:tcPr>
          <w:p>
            <w:pPr>
              <w:spacing w:line="276" w:lineRule="auto"/>
              <w:ind w:firstLine="0"/>
              <w:jc w:val="left"/>
            </w:pPr>
            <w:r>
              <w:t>Comprehensive survey on conversational recommenders</w:t>
            </w:r>
          </w:p>
        </w:tc>
        <w:tc>
          <w:tcPr>
            <w:tcW w:type="dxa" w:w="2880"/>
            <w:tcMar>
              <w:top w:w="100" w:type="dxa"/>
              <w:bottom w:w="100" w:type="dxa"/>
              <w:left w:w="140" w:type="dxa"/>
              <w:right w:w="140" w:type="dxa"/>
            </w:tcMar>
            <w:tcBorders/>
          </w:tcPr>
          <w:p>
            <w:pPr>
              <w:spacing w:line="276" w:lineRule="auto"/>
              <w:ind w:firstLine="0"/>
              <w:jc w:val="left"/>
            </w:pPr>
            <w:r>
              <w:t>Identified user personality misalignment as primary cause of early session abandonment.</w:t>
            </w:r>
          </w:p>
        </w:tc>
        <w:tc>
          <w:tcPr>
            <w:tcW w:type="dxa" w:w="2448"/>
            <w:tcMar>
              <w:top w:w="100" w:type="dxa"/>
              <w:bottom w:w="100" w:type="dxa"/>
              <w:left w:w="140" w:type="dxa"/>
              <w:right w:w="140" w:type="dxa"/>
            </w:tcMar>
            <w:tcBorders/>
          </w:tcPr>
          <w:p>
            <w:pPr>
              <w:spacing w:line="276" w:lineRule="auto"/>
              <w:ind w:firstLine="0"/>
              <w:jc w:val="left"/>
            </w:pPr>
            <w:r>
              <w:t>Frames operational problem statement and business justification for RQ4.</w:t>
            </w:r>
          </w:p>
        </w:tc>
      </w:tr>
      <w:tr>
        <w:trPr>
          <w:cantSplit/>
        </w:trPr>
        <w:tc>
          <w:tcPr>
            <w:tcW w:type="dxa" w:w="2160"/>
            <w:tcMar>
              <w:top w:w="100" w:type="dxa"/>
              <w:bottom w:w="100" w:type="dxa"/>
              <w:left w:w="140" w:type="dxa"/>
              <w:right w:w="140" w:type="dxa"/>
            </w:tcMar>
            <w:tcBorders/>
          </w:tcPr>
          <w:p>
            <w:pPr>
              <w:spacing w:line="276" w:lineRule="auto"/>
              <w:ind w:firstLine="0"/>
              <w:jc w:val="left"/>
            </w:pPr>
            <w:r>
              <w:t>Inaba et al. (2022)</w:t>
            </w:r>
          </w:p>
        </w:tc>
        <w:tc>
          <w:tcPr>
            <w:tcW w:type="dxa" w:w="2592"/>
            <w:tcMar>
              <w:top w:w="100" w:type="dxa"/>
              <w:bottom w:w="100" w:type="dxa"/>
              <w:left w:w="140" w:type="dxa"/>
              <w:right w:w="140" w:type="dxa"/>
            </w:tcMar>
            <w:tcBorders/>
          </w:tcPr>
          <w:p>
            <w:pPr>
              <w:spacing w:line="276" w:lineRule="auto"/>
              <w:ind w:firstLine="0"/>
              <w:jc w:val="left"/>
            </w:pPr>
            <w:r>
              <w:t>Travel agency task dialogues across age-diverse speakers</w:t>
            </w:r>
          </w:p>
        </w:tc>
        <w:tc>
          <w:tcPr>
            <w:tcW w:type="dxa" w:w="2880"/>
            <w:tcMar>
              <w:top w:w="100" w:type="dxa"/>
              <w:bottom w:w="100" w:type="dxa"/>
              <w:left w:w="140" w:type="dxa"/>
              <w:right w:w="140" w:type="dxa"/>
            </w:tcMar>
            <w:tcBorders/>
          </w:tcPr>
          <w:p>
            <w:pPr>
              <w:spacing w:line="276" w:lineRule="auto"/>
              <w:ind w:firstLine="0"/>
              <w:jc w:val="left"/>
            </w:pPr>
            <w:r>
              <w:t>Discovered significant conversational pacing differences between demographic and experience groups.</w:t>
            </w:r>
          </w:p>
        </w:tc>
        <w:tc>
          <w:tcPr>
            <w:tcW w:type="dxa" w:w="2448"/>
            <w:tcMar>
              <w:top w:w="100" w:type="dxa"/>
              <w:bottom w:w="100" w:type="dxa"/>
              <w:left w:w="140" w:type="dxa"/>
              <w:right w:w="140" w:type="dxa"/>
            </w:tcMar>
            <w:tcBorders/>
          </w:tcPr>
          <w:p>
            <w:pPr>
              <w:spacing w:line="276" w:lineRule="auto"/>
              <w:ind w:firstLine="0"/>
              <w:jc w:val="left"/>
            </w:pPr>
            <w:r>
              <w:t>Informs our 3 behavioral archetype definitions (Hesitant vs. Transactional).</w:t>
            </w:r>
          </w:p>
        </w:tc>
      </w:tr>
      <w:tr>
        <w:trPr>
          <w:cantSplit/>
        </w:trPr>
        <w:tc>
          <w:tcPr>
            <w:tcW w:type="dxa" w:w="2160"/>
            <w:tcMar>
              <w:top w:w="100" w:type="dxa"/>
              <w:bottom w:w="100" w:type="dxa"/>
              <w:left w:w="140" w:type="dxa"/>
              <w:right w:w="140" w:type="dxa"/>
            </w:tcMar>
            <w:tcBorders/>
          </w:tcPr>
          <w:p>
            <w:pPr>
              <w:spacing w:line="276" w:lineRule="auto"/>
              <w:ind w:firstLine="0"/>
              <w:jc w:val="left"/>
            </w:pPr>
            <w:r>
              <w:t>Rebedea et al. (2023)</w:t>
            </w:r>
          </w:p>
        </w:tc>
        <w:tc>
          <w:tcPr>
            <w:tcW w:type="dxa" w:w="2592"/>
            <w:tcMar>
              <w:top w:w="100" w:type="dxa"/>
              <w:bottom w:w="100" w:type="dxa"/>
              <w:left w:w="140" w:type="dxa"/>
              <w:right w:w="140" w:type="dxa"/>
            </w:tcMar>
            <w:tcBorders/>
          </w:tcPr>
          <w:p>
            <w:pPr>
              <w:spacing w:line="276" w:lineRule="auto"/>
              <w:ind w:firstLine="0"/>
              <w:jc w:val="left"/>
            </w:pPr>
            <w:r>
              <w:t>NeMo Guardrails declarative programmable rails</w:t>
            </w:r>
          </w:p>
        </w:tc>
        <w:tc>
          <w:tcPr>
            <w:tcW w:type="dxa" w:w="2880"/>
            <w:tcMar>
              <w:top w:w="100" w:type="dxa"/>
              <w:bottom w:w="100" w:type="dxa"/>
              <w:left w:w="140" w:type="dxa"/>
              <w:right w:w="140" w:type="dxa"/>
            </w:tcMar>
            <w:tcBorders/>
          </w:tcPr>
          <w:p>
            <w:pPr>
              <w:spacing w:line="276" w:lineRule="auto"/>
              <w:ind w:firstLine="0"/>
              <w:jc w:val="left"/>
            </w:pPr>
            <w:r>
              <w:t>Decoupled verification layers prevent topical drift and policy violations in commercial agents.</w:t>
            </w:r>
          </w:p>
        </w:tc>
        <w:tc>
          <w:tcPr>
            <w:tcW w:type="dxa" w:w="2448"/>
            <w:tcMar>
              <w:top w:w="100" w:type="dxa"/>
              <w:bottom w:w="100" w:type="dxa"/>
              <w:left w:w="140" w:type="dxa"/>
              <w:right w:w="140" w:type="dxa"/>
            </w:tcMar>
            <w:tcBorders/>
          </w:tcPr>
          <w:p>
            <w:pPr>
              <w:spacing w:line="276" w:lineRule="auto"/>
              <w:ind w:firstLine="0"/>
              <w:jc w:val="left"/>
            </w:pPr>
            <w:r>
              <w:t>Establishes architectural baseline for our decoupled rule engine (RQ3).</w:t>
            </w:r>
          </w:p>
        </w:tc>
      </w:tr>
      <w:tr>
        <w:trPr>
          <w:cantSplit/>
        </w:trPr>
        <w:tc>
          <w:tcPr>
            <w:tcW w:type="dxa" w:w="2160"/>
            <w:tcMar>
              <w:top w:w="100" w:type="dxa"/>
              <w:bottom w:w="100" w:type="dxa"/>
              <w:left w:w="140" w:type="dxa"/>
              <w:right w:w="140" w:type="dxa"/>
            </w:tcMar>
            <w:tcBorders>
              <w:bottom w:val="single" w:sz="12" w:space="0" w:color="000000"/>
            </w:tcBorders>
          </w:tcPr>
          <w:p>
            <w:pPr>
              <w:spacing w:line="276" w:lineRule="auto"/>
              <w:ind w:firstLine="0"/>
              <w:jc w:val="left"/>
            </w:pPr>
            <w:r>
              <w:t>Es et al. (2024)</w:t>
            </w:r>
          </w:p>
        </w:tc>
        <w:tc>
          <w:tcPr>
            <w:tcW w:type="dxa" w:w="2592"/>
            <w:tcMar>
              <w:top w:w="100" w:type="dxa"/>
              <w:bottom w:w="100" w:type="dxa"/>
              <w:left w:w="140" w:type="dxa"/>
              <w:right w:w="140" w:type="dxa"/>
            </w:tcMar>
            <w:tcBorders>
              <w:bottom w:val="single" w:sz="12" w:space="0" w:color="000000"/>
            </w:tcBorders>
          </w:tcPr>
          <w:p>
            <w:pPr>
              <w:spacing w:line="276" w:lineRule="auto"/>
              <w:ind w:firstLine="0"/>
              <w:jc w:val="left"/>
            </w:pPr>
            <w:r>
              <w:t>RAGAS automated RAG evaluation framework</w:t>
            </w:r>
          </w:p>
        </w:tc>
        <w:tc>
          <w:tcPr>
            <w:tcW w:type="dxa" w:w="2880"/>
            <w:tcMar>
              <w:top w:w="100" w:type="dxa"/>
              <w:bottom w:w="100" w:type="dxa"/>
              <w:left w:w="140" w:type="dxa"/>
              <w:right w:w="140" w:type="dxa"/>
            </w:tcMar>
            <w:tcBorders>
              <w:bottom w:val="single" w:sz="12" w:space="0" w:color="000000"/>
            </w:tcBorders>
          </w:tcPr>
          <w:p>
            <w:pPr>
              <w:spacing w:line="276" w:lineRule="auto"/>
              <w:ind w:firstLine="0"/>
              <w:jc w:val="left"/>
            </w:pPr>
            <w:r>
              <w:t>Automated evaluation of factual faithfulness and answer relevance using LLM judges.</w:t>
            </w:r>
          </w:p>
        </w:tc>
        <w:tc>
          <w:tcPr>
            <w:tcW w:type="dxa" w:w="2448"/>
            <w:tcMar>
              <w:top w:w="100" w:type="dxa"/>
              <w:bottom w:w="100" w:type="dxa"/>
              <w:left w:w="140" w:type="dxa"/>
              <w:right w:w="140" w:type="dxa"/>
            </w:tcMar>
            <w:tcBorders>
              <w:bottom w:val="single" w:sz="12" w:space="0" w:color="000000"/>
            </w:tcBorders>
          </w:tcPr>
          <w:p>
            <w:pPr>
              <w:spacing w:line="276" w:lineRule="auto"/>
              <w:ind w:firstLine="0"/>
              <w:jc w:val="left"/>
            </w:pPr>
            <w:r>
              <w:t>Provides methodology for evaluating factual leakage and slot preservation (RQ3).</w:t>
            </w:r>
          </w:p>
        </w:tc>
      </w:tr>
    </w:tbl>
    <w:p>
      <w:pPr>
        <w:spacing w:before="40" w:after="240"/>
        <w:ind w:firstLine="0"/>
      </w:pPr>
      <w:r>
        <w:rPr>
          <w:i/>
          <w:sz w:val="20"/>
        </w:rPr>
        <w:t xml:space="preserve">Note. </w:t>
      </w:r>
      <w:r>
        <w:rPr>
          <w:sz w:val="20"/>
        </w:rPr>
        <w:t>Literature spans dialogue state tracking, sentence representation, few-shot prompting, and declarative guardrails.</w:t>
      </w:r>
    </w:p>
    <w:p>
      <w:pPr>
        <w:spacing w:before="240" w:after="80" w:line="480" w:lineRule="auto"/>
        <w:ind w:firstLine="0"/>
        <w:jc w:val="left"/>
      </w:pPr>
      <w:r>
        <w:rPr>
          <w:b/>
          <w:sz w:val="24"/>
        </w:rPr>
        <w:t>3.3 Thematic Synthesis and Gaps in Prior Art</w:t>
      </w:r>
    </w:p>
    <w:p>
      <w:pPr>
        <w:ind w:firstLine="720"/>
        <w:jc w:val="left"/>
      </w:pPr>
      <w:r>
        <w:rPr>
          <w:b w:val="0"/>
          <w:i w:val="0"/>
        </w:rPr>
        <w:t>Synthesis of prior art reveals three distinct research streams that have historically developed in isolation. The first stream focuses on dialogue state tracking and frame tracking (El Asri et al., 2017; Budzianowski et al., 2018; Zang et al., 2020), delivering rich transactional corpora and schema definitions but treating all dialogues as homogeneous sequences without modeling user personality archetypes. The second stream examines in-context few-shot learning and example selection (Brown et al., 2020; Liu et al., 2022), demonstrating that exemplar retrieval steers downstream task accuracy but overlooking the conversational pacing, friction, and turn economy dynamics critical to multi-turn task completion. The third stream investigates agent guardrails and factual safety (Rebedea et al., 2023; Es et al., 2024), focusing primarily on content filtering rather than the interplay between stylistic prompt conditioning and deterministic business policy compliance.</w:t>
      </w:r>
    </w:p>
    <w:p>
      <w:pPr>
        <w:ind w:firstLine="720"/>
        <w:jc w:val="left"/>
      </w:pPr>
      <w:r>
        <w:rPr>
          <w:b w:val="0"/>
          <w:i w:val="0"/>
        </w:rPr>
        <w:t>A critical research gap exists at the intersection of these domains: no prior study has demonstrated how unsupervised clustering of conversational trajectories can be combined with dynamic few-shot retrieval and decoupled declarative verification to achieve personalized stylistic convergence while guaranteeing 100% adherence to enterprise business constraints. This capstone fills that gap.</w:t>
      </w:r>
    </w:p>
    <w:p>
      <w:pPr>
        <w:spacing w:before="240" w:after="120" w:line="480" w:lineRule="auto"/>
        <w:ind w:firstLine="0"/>
        <w:jc w:val="center"/>
      </w:pPr>
      <w:r>
        <w:rPr>
          <w:b/>
          <w:sz w:val="24"/>
        </w:rPr>
        <w:t>4. Data Description and Infrastructure</w:t>
      </w:r>
    </w:p>
    <w:p>
      <w:pPr>
        <w:spacing w:before="240" w:after="80" w:line="480" w:lineRule="auto"/>
        <w:ind w:firstLine="0"/>
        <w:jc w:val="left"/>
      </w:pPr>
      <w:r>
        <w:rPr>
          <w:b/>
          <w:sz w:val="24"/>
        </w:rPr>
        <w:t>4.1 Data Sources, Access Links, and Repositories</w:t>
      </w:r>
    </w:p>
    <w:p>
      <w:pPr>
        <w:ind w:firstLine="720"/>
        <w:jc w:val="left"/>
      </w:pPr>
      <w:r>
        <w:rPr>
          <w:b w:val="0"/>
          <w:i w:val="0"/>
        </w:rPr>
        <w:t>To ensure total academic reproducibility, this research utilizes widely recognized, open-access multi-turn conversational corpora supplemented by a real-world enterprise validation benchmark. The primary dataset is the Microsoft Frames corpus (El Asri et al., 2017), comprising 1,369 human-human dialogues (19,986 individual turns) collected through a Wizard-of-Oz interface where users search for vacation packages while exploring complex date, budget, and destination trade-offs. The corpus is publicly accessible at: https://www.microsoft.com/en-us/research/project/frames-dataset/ (Direct archive: https://download.microsoft.com/download/4/b/f/4bf15895-4152-4008-8e68-605912cf7a65/Frames-dataset.zip).</w:t>
      </w:r>
    </w:p>
    <w:p>
      <w:pPr>
        <w:ind w:firstLine="720"/>
        <w:jc w:val="left"/>
      </w:pPr>
      <w:r>
        <w:rPr>
          <w:b w:val="0"/>
          <w:i w:val="0"/>
        </w:rPr>
        <w:t>For cross-corpus schema validation and state tracking generalization, we incorporate MultiWOZ 2.2 (Zang et al., 2020), which provides 10,438 multi-domain dialogues spanning hotel, attraction, train, and taxi domains with corrected slot annotations, accessible at: https://github.com/budzianowski/multiwoz. Finally, to evaluate real-world industrial validity, we incorporate an external evaluation benchmark of 102 PII-sanitized golden travel counseling dialogues from an Indian outbound leisure travel agency.</w:t>
      </w:r>
    </w:p>
    <w:p>
      <w:pPr>
        <w:spacing w:before="240" w:after="80" w:line="480" w:lineRule="auto"/>
        <w:ind w:firstLine="0"/>
        <w:jc w:val="left"/>
      </w:pPr>
      <w:r>
        <w:rPr>
          <w:b/>
          <w:sz w:val="24"/>
        </w:rPr>
        <w:t>4.2 Two-Tier Canonical Meta-Ontology</w:t>
      </w:r>
    </w:p>
    <w:p>
      <w:pPr>
        <w:ind w:firstLine="720"/>
        <w:jc w:val="left"/>
      </w:pPr>
      <w:r>
        <w:rPr>
          <w:b w:val="0"/>
          <w:i w:val="0"/>
        </w:rPr>
        <w:t>A primary challenge when synthesizing heterogeneous dialogue corpora is ontology divergence. Microsoft Frames uses slot labels such as 'or_city', 'dst_city', 'str_date', and 'budget', whereas MultiWOZ utilizes 'hotel-pricerange', 'train-departure', and 'train-destination'. Furthermore, real-world enterprise operations require operational slots (e.g., visa processing lead times, passport validity) absent from academic benchmarks. To harmonize these corpora without information loss, we construct a Two-Tier Canonical Slot Schema:</w:t>
      </w:r>
    </w:p>
    <w:p>
      <w:pPr>
        <w:pStyle w:val="ListBullet"/>
      </w:pPr>
      <w:r>
        <w:t>• Tier 1 (Universal Core Slots): Standardized across all datasets and models, including: Origin_City, Destination_City, Departure_Date, Return_Date, Duration_Nights, Traveler_Count (Adults/Children), Budget_Amount, Accommodation_Tier, and Booking_Status.</w:t>
      </w:r>
    </w:p>
    <w:p>
      <w:pPr>
        <w:pStyle w:val="ListBullet"/>
      </w:pPr>
      <w:r>
        <w:t>• Tier 2 (Enterprise Extension Slots): Domain-specific operational parameters evaluated in RQ3 and RQ4, including: Visa_Processing_Window_Days, Passport_Expiry_Months, Package_Type (FIT vs. Group), Sharing_Basis (Single/Twin/Triple), and Discount_Applied_Percentage.</w:t>
      </w:r>
    </w:p>
    <w:p>
      <w:pPr>
        <w:spacing w:before="240" w:after="80" w:line="480" w:lineRule="auto"/>
        <w:ind w:firstLine="0"/>
        <w:jc w:val="left"/>
      </w:pPr>
      <w:r>
        <w:rPr>
          <w:b/>
          <w:sz w:val="24"/>
        </w:rPr>
        <w:t>4.3 Comprehensive Experimental Data Dictionary</w:t>
      </w:r>
    </w:p>
    <w:p>
      <w:pPr>
        <w:spacing w:before="200" w:after="0"/>
        <w:ind w:firstLine="0"/>
      </w:pPr>
      <w:r>
        <w:rPr>
          <w:b/>
        </w:rPr>
        <w:t>Table 2</w:t>
      </w:r>
    </w:p>
    <w:p>
      <w:pPr>
        <w:spacing w:before="0" w:after="80"/>
        <w:ind w:firstLine="0"/>
      </w:pPr>
      <w:r>
        <w:rPr>
          <w:i/>
        </w:rPr>
        <w:t>Comprehensive Experimental Data Dictionary for Goal-Oriented Dialogue Trajectories</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16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Variable Name</w:t>
            </w:r>
          </w:p>
        </w:tc>
        <w:tc>
          <w:tcPr>
            <w:tcW w:type="dxa" w:w="115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Source</w:t>
            </w:r>
          </w:p>
        </w:tc>
        <w:tc>
          <w:tcPr>
            <w:tcW w:type="dxa" w:w="158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Data Type</w:t>
            </w:r>
          </w:p>
        </w:tc>
        <w:tc>
          <w:tcPr>
            <w:tcW w:type="dxa" w:w="3168"/>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Operational Definition &amp; Unit</w:t>
            </w:r>
          </w:p>
        </w:tc>
        <w:tc>
          <w:tcPr>
            <w:tcW w:type="dxa" w:w="2016"/>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Role in Study</w:t>
            </w:r>
          </w:p>
        </w:tc>
      </w:tr>
      <w:tr>
        <w:trPr>
          <w:cantSplit/>
        </w:trPr>
        <w:tc>
          <w:tcPr>
            <w:tcW w:type="dxa" w:w="2160"/>
            <w:tcMar>
              <w:top w:w="100" w:type="dxa"/>
              <w:bottom w:w="100" w:type="dxa"/>
              <w:left w:w="140" w:type="dxa"/>
              <w:right w:w="140" w:type="dxa"/>
            </w:tcMar>
            <w:tcBorders/>
          </w:tcPr>
          <w:p>
            <w:pPr>
              <w:spacing w:line="276" w:lineRule="auto"/>
              <w:ind w:firstLine="0"/>
              <w:jc w:val="left"/>
            </w:pPr>
            <w:r>
              <w:t>dialogue_id</w:t>
            </w:r>
          </w:p>
        </w:tc>
        <w:tc>
          <w:tcPr>
            <w:tcW w:type="dxa" w:w="1152"/>
            <w:tcMar>
              <w:top w:w="100" w:type="dxa"/>
              <w:bottom w:w="100" w:type="dxa"/>
              <w:left w:w="140" w:type="dxa"/>
              <w:right w:w="140" w:type="dxa"/>
            </w:tcMar>
            <w:tcBorders/>
          </w:tcPr>
          <w:p>
            <w:pPr>
              <w:spacing w:line="276" w:lineRule="auto"/>
              <w:ind w:firstLine="0"/>
              <w:jc w:val="left"/>
            </w:pPr>
            <w:r>
              <w:t>All</w:t>
            </w:r>
          </w:p>
        </w:tc>
        <w:tc>
          <w:tcPr>
            <w:tcW w:type="dxa" w:w="1584"/>
            <w:tcMar>
              <w:top w:w="100" w:type="dxa"/>
              <w:bottom w:w="100" w:type="dxa"/>
              <w:left w:w="140" w:type="dxa"/>
              <w:right w:w="140" w:type="dxa"/>
            </w:tcMar>
            <w:tcBorders/>
          </w:tcPr>
          <w:p>
            <w:pPr>
              <w:spacing w:line="276" w:lineRule="auto"/>
              <w:ind w:firstLine="0"/>
              <w:jc w:val="left"/>
            </w:pPr>
            <w:r>
              <w:t>String</w:t>
            </w:r>
          </w:p>
        </w:tc>
        <w:tc>
          <w:tcPr>
            <w:tcW w:type="dxa" w:w="3168"/>
            <w:tcMar>
              <w:top w:w="100" w:type="dxa"/>
              <w:bottom w:w="100" w:type="dxa"/>
              <w:left w:w="140" w:type="dxa"/>
              <w:right w:w="140" w:type="dxa"/>
            </w:tcMar>
            <w:tcBorders/>
          </w:tcPr>
          <w:p>
            <w:pPr>
              <w:spacing w:line="276" w:lineRule="auto"/>
              <w:ind w:firstLine="0"/>
              <w:jc w:val="left"/>
            </w:pPr>
            <w:r>
              <w:t>Unique alphanumeric session identifier</w:t>
            </w:r>
          </w:p>
        </w:tc>
        <w:tc>
          <w:tcPr>
            <w:tcW w:type="dxa" w:w="2016"/>
            <w:tcMar>
              <w:top w:w="100" w:type="dxa"/>
              <w:bottom w:w="100" w:type="dxa"/>
              <w:left w:w="140" w:type="dxa"/>
              <w:right w:w="140" w:type="dxa"/>
            </w:tcMar>
            <w:tcBorders/>
          </w:tcPr>
          <w:p>
            <w:pPr>
              <w:spacing w:line="276" w:lineRule="auto"/>
              <w:ind w:firstLine="0"/>
              <w:jc w:val="left"/>
            </w:pPr>
            <w:r>
              <w:t>Key Identifier</w:t>
            </w:r>
          </w:p>
        </w:tc>
      </w:tr>
      <w:tr>
        <w:trPr>
          <w:cantSplit/>
        </w:trPr>
        <w:tc>
          <w:tcPr>
            <w:tcW w:type="dxa" w:w="2160"/>
            <w:tcMar>
              <w:top w:w="100" w:type="dxa"/>
              <w:bottom w:w="100" w:type="dxa"/>
              <w:left w:w="140" w:type="dxa"/>
              <w:right w:w="140" w:type="dxa"/>
            </w:tcMar>
            <w:tcBorders/>
          </w:tcPr>
          <w:p>
            <w:pPr>
              <w:spacing w:line="276" w:lineRule="auto"/>
              <w:ind w:firstLine="0"/>
              <w:jc w:val="left"/>
            </w:pPr>
            <w:r>
              <w:t>source_dataset</w:t>
            </w:r>
          </w:p>
        </w:tc>
        <w:tc>
          <w:tcPr>
            <w:tcW w:type="dxa" w:w="1152"/>
            <w:tcMar>
              <w:top w:w="100" w:type="dxa"/>
              <w:bottom w:w="100" w:type="dxa"/>
              <w:left w:w="140" w:type="dxa"/>
              <w:right w:w="140" w:type="dxa"/>
            </w:tcMar>
            <w:tcBorders/>
          </w:tcPr>
          <w:p>
            <w:pPr>
              <w:spacing w:line="276" w:lineRule="auto"/>
              <w:ind w:firstLine="0"/>
              <w:jc w:val="left"/>
            </w:pPr>
            <w:r>
              <w:t>All</w:t>
            </w:r>
          </w:p>
        </w:tc>
        <w:tc>
          <w:tcPr>
            <w:tcW w:type="dxa" w:w="1584"/>
            <w:tcMar>
              <w:top w:w="100" w:type="dxa"/>
              <w:bottom w:w="100" w:type="dxa"/>
              <w:left w:w="140" w:type="dxa"/>
              <w:right w:w="140" w:type="dxa"/>
            </w:tcMar>
            <w:tcBorders/>
          </w:tcPr>
          <w:p>
            <w:pPr>
              <w:spacing w:line="276" w:lineRule="auto"/>
              <w:ind w:firstLine="0"/>
              <w:jc w:val="left"/>
            </w:pPr>
            <w:r>
              <w:t>Categorical</w:t>
            </w:r>
          </w:p>
        </w:tc>
        <w:tc>
          <w:tcPr>
            <w:tcW w:type="dxa" w:w="3168"/>
            <w:tcMar>
              <w:top w:w="100" w:type="dxa"/>
              <w:bottom w:w="100" w:type="dxa"/>
              <w:left w:w="140" w:type="dxa"/>
              <w:right w:w="140" w:type="dxa"/>
            </w:tcMar>
            <w:tcBorders/>
          </w:tcPr>
          <w:p>
            <w:pPr>
              <w:spacing w:line="276" w:lineRule="auto"/>
              <w:ind w:firstLine="0"/>
              <w:jc w:val="left"/>
            </w:pPr>
            <w:r>
              <w:t>Origin corpus: 'frames', 'multiwoz', 'enterprise'</w:t>
            </w:r>
          </w:p>
        </w:tc>
        <w:tc>
          <w:tcPr>
            <w:tcW w:type="dxa" w:w="2016"/>
            <w:tcMar>
              <w:top w:w="100" w:type="dxa"/>
              <w:bottom w:w="100" w:type="dxa"/>
              <w:left w:w="140" w:type="dxa"/>
              <w:right w:w="140" w:type="dxa"/>
            </w:tcMar>
            <w:tcBorders/>
          </w:tcPr>
          <w:p>
            <w:pPr>
              <w:spacing w:line="276" w:lineRule="auto"/>
              <w:ind w:firstLine="0"/>
              <w:jc w:val="left"/>
            </w:pPr>
            <w:r>
              <w:t>Contextual Control</w:t>
            </w:r>
          </w:p>
        </w:tc>
      </w:tr>
      <w:tr>
        <w:trPr>
          <w:cantSplit/>
        </w:trPr>
        <w:tc>
          <w:tcPr>
            <w:tcW w:type="dxa" w:w="2160"/>
            <w:tcMar>
              <w:top w:w="100" w:type="dxa"/>
              <w:bottom w:w="100" w:type="dxa"/>
              <w:left w:w="140" w:type="dxa"/>
              <w:right w:w="140" w:type="dxa"/>
            </w:tcMar>
            <w:tcBorders/>
          </w:tcPr>
          <w:p>
            <w:pPr>
              <w:spacing w:line="276" w:lineRule="auto"/>
              <w:ind w:firstLine="0"/>
              <w:jc w:val="left"/>
            </w:pPr>
            <w:r>
              <w:t>total_turns</w:t>
            </w:r>
          </w:p>
        </w:tc>
        <w:tc>
          <w:tcPr>
            <w:tcW w:type="dxa" w:w="1152"/>
            <w:tcMar>
              <w:top w:w="100" w:type="dxa"/>
              <w:bottom w:w="100" w:type="dxa"/>
              <w:left w:w="140" w:type="dxa"/>
              <w:right w:w="140" w:type="dxa"/>
            </w:tcMar>
            <w:tcBorders/>
          </w:tcPr>
          <w:p>
            <w:pPr>
              <w:spacing w:line="276" w:lineRule="auto"/>
              <w:ind w:firstLine="0"/>
              <w:jc w:val="left"/>
            </w:pPr>
            <w:r>
              <w:t>All</w:t>
            </w:r>
          </w:p>
        </w:tc>
        <w:tc>
          <w:tcPr>
            <w:tcW w:type="dxa" w:w="1584"/>
            <w:tcMar>
              <w:top w:w="100" w:type="dxa"/>
              <w:bottom w:w="100" w:type="dxa"/>
              <w:left w:w="140" w:type="dxa"/>
              <w:right w:w="140" w:type="dxa"/>
            </w:tcMar>
            <w:tcBorders/>
          </w:tcPr>
          <w:p>
            <w:pPr>
              <w:spacing w:line="276" w:lineRule="auto"/>
              <w:ind w:firstLine="0"/>
              <w:jc w:val="left"/>
            </w:pPr>
            <w:r>
              <w:t>Numeric (Integer)</w:t>
            </w:r>
          </w:p>
        </w:tc>
        <w:tc>
          <w:tcPr>
            <w:tcW w:type="dxa" w:w="3168"/>
            <w:tcMar>
              <w:top w:w="100" w:type="dxa"/>
              <w:bottom w:w="100" w:type="dxa"/>
              <w:left w:w="140" w:type="dxa"/>
              <w:right w:w="140" w:type="dxa"/>
            </w:tcMar>
            <w:tcBorders/>
          </w:tcPr>
          <w:p>
            <w:pPr>
              <w:spacing w:line="276" w:lineRule="auto"/>
              <w:ind w:firstLine="0"/>
              <w:jc w:val="left"/>
            </w:pPr>
            <w:r>
              <w:t>Total dialogue turns (user + wizard)</w:t>
            </w:r>
          </w:p>
        </w:tc>
        <w:tc>
          <w:tcPr>
            <w:tcW w:type="dxa" w:w="2016"/>
            <w:tcMar>
              <w:top w:w="100" w:type="dxa"/>
              <w:bottom w:w="100" w:type="dxa"/>
              <w:left w:w="140" w:type="dxa"/>
              <w:right w:w="140" w:type="dxa"/>
            </w:tcMar>
            <w:tcBorders/>
          </w:tcPr>
          <w:p>
            <w:pPr>
              <w:spacing w:line="276" w:lineRule="auto"/>
              <w:ind w:firstLine="0"/>
              <w:jc w:val="left"/>
            </w:pPr>
            <w:r>
              <w:t>EDA / RQ1 / RQ4 (TGC)</w:t>
            </w:r>
          </w:p>
        </w:tc>
      </w:tr>
      <w:tr>
        <w:trPr>
          <w:cantSplit/>
        </w:trPr>
        <w:tc>
          <w:tcPr>
            <w:tcW w:type="dxa" w:w="2160"/>
            <w:tcMar>
              <w:top w:w="100" w:type="dxa"/>
              <w:bottom w:w="100" w:type="dxa"/>
              <w:left w:w="140" w:type="dxa"/>
              <w:right w:w="140" w:type="dxa"/>
            </w:tcMar>
            <w:tcBorders/>
          </w:tcPr>
          <w:p>
            <w:pPr>
              <w:spacing w:line="276" w:lineRule="auto"/>
              <w:ind w:firstLine="0"/>
              <w:jc w:val="left"/>
            </w:pPr>
            <w:r>
              <w:t>user_turns</w:t>
            </w:r>
          </w:p>
        </w:tc>
        <w:tc>
          <w:tcPr>
            <w:tcW w:type="dxa" w:w="1152"/>
            <w:tcMar>
              <w:top w:w="100" w:type="dxa"/>
              <w:bottom w:w="100" w:type="dxa"/>
              <w:left w:w="140" w:type="dxa"/>
              <w:right w:w="140" w:type="dxa"/>
            </w:tcMar>
            <w:tcBorders/>
          </w:tcPr>
          <w:p>
            <w:pPr>
              <w:spacing w:line="276" w:lineRule="auto"/>
              <w:ind w:firstLine="0"/>
              <w:jc w:val="left"/>
            </w:pPr>
            <w:r>
              <w:t>All</w:t>
            </w:r>
          </w:p>
        </w:tc>
        <w:tc>
          <w:tcPr>
            <w:tcW w:type="dxa" w:w="1584"/>
            <w:tcMar>
              <w:top w:w="100" w:type="dxa"/>
              <w:bottom w:w="100" w:type="dxa"/>
              <w:left w:w="140" w:type="dxa"/>
              <w:right w:w="140" w:type="dxa"/>
            </w:tcMar>
            <w:tcBorders/>
          </w:tcPr>
          <w:p>
            <w:pPr>
              <w:spacing w:line="276" w:lineRule="auto"/>
              <w:ind w:firstLine="0"/>
              <w:jc w:val="left"/>
            </w:pPr>
            <w:r>
              <w:t>Numeric (Integer)</w:t>
            </w:r>
          </w:p>
        </w:tc>
        <w:tc>
          <w:tcPr>
            <w:tcW w:type="dxa" w:w="3168"/>
            <w:tcMar>
              <w:top w:w="100" w:type="dxa"/>
              <w:bottom w:w="100" w:type="dxa"/>
              <w:left w:w="140" w:type="dxa"/>
              <w:right w:w="140" w:type="dxa"/>
            </w:tcMar>
            <w:tcBorders/>
          </w:tcPr>
          <w:p>
            <w:pPr>
              <w:spacing w:line="276" w:lineRule="auto"/>
              <w:ind w:firstLine="0"/>
              <w:jc w:val="left"/>
            </w:pPr>
            <w:r>
              <w:t>Number of human customer utterances</w:t>
            </w:r>
          </w:p>
        </w:tc>
        <w:tc>
          <w:tcPr>
            <w:tcW w:type="dxa" w:w="2016"/>
            <w:tcMar>
              <w:top w:w="100" w:type="dxa"/>
              <w:bottom w:w="100" w:type="dxa"/>
              <w:left w:w="140" w:type="dxa"/>
              <w:right w:w="140" w:type="dxa"/>
            </w:tcMar>
            <w:tcBorders/>
          </w:tcPr>
          <w:p>
            <w:pPr>
              <w:spacing w:line="276" w:lineRule="auto"/>
              <w:ind w:firstLine="0"/>
              <w:jc w:val="left"/>
            </w:pPr>
            <w:r>
              <w:t>EDA / Pacing Analysis</w:t>
            </w:r>
          </w:p>
        </w:tc>
      </w:tr>
      <w:tr>
        <w:trPr>
          <w:cantSplit/>
        </w:trPr>
        <w:tc>
          <w:tcPr>
            <w:tcW w:type="dxa" w:w="2160"/>
            <w:tcMar>
              <w:top w:w="100" w:type="dxa"/>
              <w:bottom w:w="100" w:type="dxa"/>
              <w:left w:w="140" w:type="dxa"/>
              <w:right w:w="140" w:type="dxa"/>
            </w:tcMar>
            <w:tcBorders/>
          </w:tcPr>
          <w:p>
            <w:pPr>
              <w:spacing w:line="276" w:lineRule="auto"/>
              <w:ind w:firstLine="0"/>
              <w:jc w:val="left"/>
            </w:pPr>
            <w:r>
              <w:t>wizard_turns</w:t>
            </w:r>
          </w:p>
        </w:tc>
        <w:tc>
          <w:tcPr>
            <w:tcW w:type="dxa" w:w="1152"/>
            <w:tcMar>
              <w:top w:w="100" w:type="dxa"/>
              <w:bottom w:w="100" w:type="dxa"/>
              <w:left w:w="140" w:type="dxa"/>
              <w:right w:w="140" w:type="dxa"/>
            </w:tcMar>
            <w:tcBorders/>
          </w:tcPr>
          <w:p>
            <w:pPr>
              <w:spacing w:line="276" w:lineRule="auto"/>
              <w:ind w:firstLine="0"/>
              <w:jc w:val="left"/>
            </w:pPr>
            <w:r>
              <w:t>All</w:t>
            </w:r>
          </w:p>
        </w:tc>
        <w:tc>
          <w:tcPr>
            <w:tcW w:type="dxa" w:w="1584"/>
            <w:tcMar>
              <w:top w:w="100" w:type="dxa"/>
              <w:bottom w:w="100" w:type="dxa"/>
              <w:left w:w="140" w:type="dxa"/>
              <w:right w:w="140" w:type="dxa"/>
            </w:tcMar>
            <w:tcBorders/>
          </w:tcPr>
          <w:p>
            <w:pPr>
              <w:spacing w:line="276" w:lineRule="auto"/>
              <w:ind w:firstLine="0"/>
              <w:jc w:val="left"/>
            </w:pPr>
            <w:r>
              <w:t>Numeric (Integer)</w:t>
            </w:r>
          </w:p>
        </w:tc>
        <w:tc>
          <w:tcPr>
            <w:tcW w:type="dxa" w:w="3168"/>
            <w:tcMar>
              <w:top w:w="100" w:type="dxa"/>
              <w:bottom w:w="100" w:type="dxa"/>
              <w:left w:w="140" w:type="dxa"/>
              <w:right w:w="140" w:type="dxa"/>
            </w:tcMar>
            <w:tcBorders/>
          </w:tcPr>
          <w:p>
            <w:pPr>
              <w:spacing w:line="276" w:lineRule="auto"/>
              <w:ind w:firstLine="0"/>
              <w:jc w:val="left"/>
            </w:pPr>
            <w:r>
              <w:t>Number of agent/system utterances</w:t>
            </w:r>
          </w:p>
        </w:tc>
        <w:tc>
          <w:tcPr>
            <w:tcW w:type="dxa" w:w="2016"/>
            <w:tcMar>
              <w:top w:w="100" w:type="dxa"/>
              <w:bottom w:w="100" w:type="dxa"/>
              <w:left w:w="140" w:type="dxa"/>
              <w:right w:w="140" w:type="dxa"/>
            </w:tcMar>
            <w:tcBorders/>
          </w:tcPr>
          <w:p>
            <w:pPr>
              <w:spacing w:line="276" w:lineRule="auto"/>
              <w:ind w:firstLine="0"/>
              <w:jc w:val="left"/>
            </w:pPr>
            <w:r>
              <w:t>EDA / Efficiency Analysis</w:t>
            </w:r>
          </w:p>
        </w:tc>
      </w:tr>
      <w:tr>
        <w:trPr>
          <w:cantSplit/>
        </w:trPr>
        <w:tc>
          <w:tcPr>
            <w:tcW w:type="dxa" w:w="2160"/>
            <w:tcMar>
              <w:top w:w="100" w:type="dxa"/>
              <w:bottom w:w="100" w:type="dxa"/>
              <w:left w:w="140" w:type="dxa"/>
              <w:right w:w="140" w:type="dxa"/>
            </w:tcMar>
            <w:tcBorders/>
          </w:tcPr>
          <w:p>
            <w:pPr>
              <w:spacing w:line="276" w:lineRule="auto"/>
              <w:ind w:firstLine="0"/>
              <w:jc w:val="left"/>
            </w:pPr>
            <w:r>
              <w:t>revisions_count</w:t>
            </w:r>
          </w:p>
        </w:tc>
        <w:tc>
          <w:tcPr>
            <w:tcW w:type="dxa" w:w="1152"/>
            <w:tcMar>
              <w:top w:w="100" w:type="dxa"/>
              <w:bottom w:w="100" w:type="dxa"/>
              <w:left w:w="140" w:type="dxa"/>
              <w:right w:w="140" w:type="dxa"/>
            </w:tcMar>
            <w:tcBorders/>
          </w:tcPr>
          <w:p>
            <w:pPr>
              <w:spacing w:line="276" w:lineRule="auto"/>
              <w:ind w:firstLine="0"/>
              <w:jc w:val="left"/>
            </w:pPr>
            <w:r>
              <w:t>All</w:t>
            </w:r>
          </w:p>
        </w:tc>
        <w:tc>
          <w:tcPr>
            <w:tcW w:type="dxa" w:w="1584"/>
            <w:tcMar>
              <w:top w:w="100" w:type="dxa"/>
              <w:bottom w:w="100" w:type="dxa"/>
              <w:left w:w="140" w:type="dxa"/>
              <w:right w:w="140" w:type="dxa"/>
            </w:tcMar>
            <w:tcBorders/>
          </w:tcPr>
          <w:p>
            <w:pPr>
              <w:spacing w:line="276" w:lineRule="auto"/>
              <w:ind w:firstLine="0"/>
              <w:jc w:val="left"/>
            </w:pPr>
            <w:r>
              <w:t>Numeric (Integer)</w:t>
            </w:r>
          </w:p>
        </w:tc>
        <w:tc>
          <w:tcPr>
            <w:tcW w:type="dxa" w:w="3168"/>
            <w:tcMar>
              <w:top w:w="100" w:type="dxa"/>
              <w:bottom w:w="100" w:type="dxa"/>
              <w:left w:w="140" w:type="dxa"/>
              <w:right w:w="140" w:type="dxa"/>
            </w:tcMar>
            <w:tcBorders/>
          </w:tcPr>
          <w:p>
            <w:pPr>
              <w:spacing w:line="276" w:lineRule="auto"/>
              <w:ind w:firstLine="0"/>
              <w:jc w:val="left"/>
            </w:pPr>
            <w:r>
              <w:t>Count of slot value modifications across turns</w:t>
            </w:r>
          </w:p>
        </w:tc>
        <w:tc>
          <w:tcPr>
            <w:tcW w:type="dxa" w:w="2016"/>
            <w:tcMar>
              <w:top w:w="100" w:type="dxa"/>
              <w:bottom w:w="100" w:type="dxa"/>
              <w:left w:w="140" w:type="dxa"/>
              <w:right w:w="140" w:type="dxa"/>
            </w:tcMar>
            <w:tcBorders/>
          </w:tcPr>
          <w:p>
            <w:pPr>
              <w:spacing w:line="276" w:lineRule="auto"/>
              <w:ind w:firstLine="0"/>
              <w:jc w:val="left"/>
            </w:pPr>
            <w:r>
              <w:t>RQ1 Archetype Feature</w:t>
            </w:r>
          </w:p>
        </w:tc>
      </w:tr>
      <w:tr>
        <w:trPr>
          <w:cantSplit/>
        </w:trPr>
        <w:tc>
          <w:tcPr>
            <w:tcW w:type="dxa" w:w="2160"/>
            <w:tcMar>
              <w:top w:w="100" w:type="dxa"/>
              <w:bottom w:w="100" w:type="dxa"/>
              <w:left w:w="140" w:type="dxa"/>
              <w:right w:w="140" w:type="dxa"/>
            </w:tcMar>
            <w:tcBorders/>
          </w:tcPr>
          <w:p>
            <w:pPr>
              <w:spacing w:line="276" w:lineRule="auto"/>
              <w:ind w:firstLine="0"/>
              <w:jc w:val="left"/>
            </w:pPr>
            <w:r>
              <w:t>hesitation_markers_count</w:t>
            </w:r>
          </w:p>
        </w:tc>
        <w:tc>
          <w:tcPr>
            <w:tcW w:type="dxa" w:w="1152"/>
            <w:tcMar>
              <w:top w:w="100" w:type="dxa"/>
              <w:bottom w:w="100" w:type="dxa"/>
              <w:left w:w="140" w:type="dxa"/>
              <w:right w:w="140" w:type="dxa"/>
            </w:tcMar>
            <w:tcBorders/>
          </w:tcPr>
          <w:p>
            <w:pPr>
              <w:spacing w:line="276" w:lineRule="auto"/>
              <w:ind w:firstLine="0"/>
              <w:jc w:val="left"/>
            </w:pPr>
            <w:r>
              <w:t>All</w:t>
            </w:r>
          </w:p>
        </w:tc>
        <w:tc>
          <w:tcPr>
            <w:tcW w:type="dxa" w:w="1584"/>
            <w:tcMar>
              <w:top w:w="100" w:type="dxa"/>
              <w:bottom w:w="100" w:type="dxa"/>
              <w:left w:w="140" w:type="dxa"/>
              <w:right w:w="140" w:type="dxa"/>
            </w:tcMar>
            <w:tcBorders/>
          </w:tcPr>
          <w:p>
            <w:pPr>
              <w:spacing w:line="276" w:lineRule="auto"/>
              <w:ind w:firstLine="0"/>
              <w:jc w:val="left"/>
            </w:pPr>
            <w:r>
              <w:t>Numeric (Integer)</w:t>
            </w:r>
          </w:p>
        </w:tc>
        <w:tc>
          <w:tcPr>
            <w:tcW w:type="dxa" w:w="3168"/>
            <w:tcMar>
              <w:top w:w="100" w:type="dxa"/>
              <w:bottom w:w="100" w:type="dxa"/>
              <w:left w:w="140" w:type="dxa"/>
              <w:right w:w="140" w:type="dxa"/>
            </w:tcMar>
            <w:tcBorders/>
          </w:tcPr>
          <w:p>
            <w:pPr>
              <w:spacing w:line="276" w:lineRule="auto"/>
              <w:ind w:firstLine="0"/>
              <w:jc w:val="left"/>
            </w:pPr>
            <w:r>
              <w:t>Count of hesitation keywords ('maybe', 'not sure')</w:t>
            </w:r>
          </w:p>
        </w:tc>
        <w:tc>
          <w:tcPr>
            <w:tcW w:type="dxa" w:w="2016"/>
            <w:tcMar>
              <w:top w:w="100" w:type="dxa"/>
              <w:bottom w:w="100" w:type="dxa"/>
              <w:left w:w="140" w:type="dxa"/>
              <w:right w:w="140" w:type="dxa"/>
            </w:tcMar>
            <w:tcBorders/>
          </w:tcPr>
          <w:p>
            <w:pPr>
              <w:spacing w:line="276" w:lineRule="auto"/>
              <w:ind w:firstLine="0"/>
              <w:jc w:val="left"/>
            </w:pPr>
            <w:r>
              <w:t>RQ1 Archetype Feature</w:t>
            </w:r>
          </w:p>
        </w:tc>
      </w:tr>
      <w:tr>
        <w:trPr>
          <w:cantSplit/>
        </w:trPr>
        <w:tc>
          <w:tcPr>
            <w:tcW w:type="dxa" w:w="2160"/>
            <w:tcMar>
              <w:top w:w="100" w:type="dxa"/>
              <w:bottom w:w="100" w:type="dxa"/>
              <w:left w:w="140" w:type="dxa"/>
              <w:right w:w="140" w:type="dxa"/>
            </w:tcMar>
            <w:tcBorders/>
          </w:tcPr>
          <w:p>
            <w:pPr>
              <w:spacing w:line="276" w:lineRule="auto"/>
              <w:ind w:firstLine="0"/>
              <w:jc w:val="left"/>
            </w:pPr>
            <w:r>
              <w:t>budget_specified</w:t>
            </w:r>
          </w:p>
        </w:tc>
        <w:tc>
          <w:tcPr>
            <w:tcW w:type="dxa" w:w="1152"/>
            <w:tcMar>
              <w:top w:w="100" w:type="dxa"/>
              <w:bottom w:w="100" w:type="dxa"/>
              <w:left w:w="140" w:type="dxa"/>
              <w:right w:w="140" w:type="dxa"/>
            </w:tcMar>
            <w:tcBorders/>
          </w:tcPr>
          <w:p>
            <w:pPr>
              <w:spacing w:line="276" w:lineRule="auto"/>
              <w:ind w:firstLine="0"/>
              <w:jc w:val="left"/>
            </w:pPr>
            <w:r>
              <w:t>All</w:t>
            </w:r>
          </w:p>
        </w:tc>
        <w:tc>
          <w:tcPr>
            <w:tcW w:type="dxa" w:w="1584"/>
            <w:tcMar>
              <w:top w:w="100" w:type="dxa"/>
              <w:bottom w:w="100" w:type="dxa"/>
              <w:left w:w="140" w:type="dxa"/>
              <w:right w:w="140" w:type="dxa"/>
            </w:tcMar>
            <w:tcBorders/>
          </w:tcPr>
          <w:p>
            <w:pPr>
              <w:spacing w:line="276" w:lineRule="auto"/>
              <w:ind w:firstLine="0"/>
              <w:jc w:val="left"/>
            </w:pPr>
            <w:r>
              <w:t>Boolean</w:t>
            </w:r>
          </w:p>
        </w:tc>
        <w:tc>
          <w:tcPr>
            <w:tcW w:type="dxa" w:w="3168"/>
            <w:tcMar>
              <w:top w:w="100" w:type="dxa"/>
              <w:bottom w:w="100" w:type="dxa"/>
              <w:left w:w="140" w:type="dxa"/>
              <w:right w:w="140" w:type="dxa"/>
            </w:tcMar>
            <w:tcBorders/>
          </w:tcPr>
          <w:p>
            <w:pPr>
              <w:spacing w:line="276" w:lineRule="auto"/>
              <w:ind w:firstLine="0"/>
              <w:jc w:val="left"/>
            </w:pPr>
            <w:r>
              <w:t>Indicator whether monetary budget ceiling was stated</w:t>
            </w:r>
          </w:p>
        </w:tc>
        <w:tc>
          <w:tcPr>
            <w:tcW w:type="dxa" w:w="2016"/>
            <w:tcMar>
              <w:top w:w="100" w:type="dxa"/>
              <w:bottom w:w="100" w:type="dxa"/>
              <w:left w:w="140" w:type="dxa"/>
              <w:right w:w="140" w:type="dxa"/>
            </w:tcMar>
            <w:tcBorders/>
          </w:tcPr>
          <w:p>
            <w:pPr>
              <w:spacing w:line="276" w:lineRule="auto"/>
              <w:ind w:firstLine="0"/>
              <w:jc w:val="left"/>
            </w:pPr>
            <w:r>
              <w:t>RQ1 Archetype Feature</w:t>
            </w:r>
          </w:p>
        </w:tc>
      </w:tr>
      <w:tr>
        <w:trPr>
          <w:cantSplit/>
        </w:trPr>
        <w:tc>
          <w:tcPr>
            <w:tcW w:type="dxa" w:w="2160"/>
            <w:tcMar>
              <w:top w:w="100" w:type="dxa"/>
              <w:bottom w:w="100" w:type="dxa"/>
              <w:left w:w="140" w:type="dxa"/>
              <w:right w:w="140" w:type="dxa"/>
            </w:tcMar>
            <w:tcBorders/>
          </w:tcPr>
          <w:p>
            <w:pPr>
              <w:spacing w:line="276" w:lineRule="auto"/>
              <w:ind w:firstLine="0"/>
              <w:jc w:val="left"/>
            </w:pPr>
            <w:r>
              <w:t>turn_ratio</w:t>
            </w:r>
          </w:p>
        </w:tc>
        <w:tc>
          <w:tcPr>
            <w:tcW w:type="dxa" w:w="1152"/>
            <w:tcMar>
              <w:top w:w="100" w:type="dxa"/>
              <w:bottom w:w="100" w:type="dxa"/>
              <w:left w:w="140" w:type="dxa"/>
              <w:right w:w="140" w:type="dxa"/>
            </w:tcMar>
            <w:tcBorders/>
          </w:tcPr>
          <w:p>
            <w:pPr>
              <w:spacing w:line="276" w:lineRule="auto"/>
              <w:ind w:firstLine="0"/>
              <w:jc w:val="left"/>
            </w:pPr>
            <w:r>
              <w:t>All</w:t>
            </w:r>
          </w:p>
        </w:tc>
        <w:tc>
          <w:tcPr>
            <w:tcW w:type="dxa" w:w="1584"/>
            <w:tcMar>
              <w:top w:w="100" w:type="dxa"/>
              <w:bottom w:w="100" w:type="dxa"/>
              <w:left w:w="140" w:type="dxa"/>
              <w:right w:w="140" w:type="dxa"/>
            </w:tcMar>
            <w:tcBorders/>
          </w:tcPr>
          <w:p>
            <w:pPr>
              <w:spacing w:line="276" w:lineRule="auto"/>
              <w:ind w:firstLine="0"/>
              <w:jc w:val="left"/>
            </w:pPr>
            <w:r>
              <w:t>Numeric (Float)</w:t>
            </w:r>
          </w:p>
        </w:tc>
        <w:tc>
          <w:tcPr>
            <w:tcW w:type="dxa" w:w="3168"/>
            <w:tcMar>
              <w:top w:w="100" w:type="dxa"/>
              <w:bottom w:w="100" w:type="dxa"/>
              <w:left w:w="140" w:type="dxa"/>
              <w:right w:w="140" w:type="dxa"/>
            </w:tcMar>
            <w:tcBorders/>
          </w:tcPr>
          <w:p>
            <w:pPr>
              <w:spacing w:line="276" w:lineRule="auto"/>
              <w:ind w:firstLine="0"/>
              <w:jc w:val="left"/>
            </w:pPr>
            <w:r>
              <w:t>Ratio of user turns to wizard turns</w:t>
            </w:r>
          </w:p>
        </w:tc>
        <w:tc>
          <w:tcPr>
            <w:tcW w:type="dxa" w:w="2016"/>
            <w:tcMar>
              <w:top w:w="100" w:type="dxa"/>
              <w:bottom w:w="100" w:type="dxa"/>
              <w:left w:w="140" w:type="dxa"/>
              <w:right w:w="140" w:type="dxa"/>
            </w:tcMar>
            <w:tcBorders/>
          </w:tcPr>
          <w:p>
            <w:pPr>
              <w:spacing w:line="276" w:lineRule="auto"/>
              <w:ind w:firstLine="0"/>
              <w:jc w:val="left"/>
            </w:pPr>
            <w:r>
              <w:t>RQ1 Behavioral Pacing</w:t>
            </w:r>
          </w:p>
        </w:tc>
      </w:tr>
      <w:tr>
        <w:trPr>
          <w:cantSplit/>
        </w:trPr>
        <w:tc>
          <w:tcPr>
            <w:tcW w:type="dxa" w:w="2160"/>
            <w:tcMar>
              <w:top w:w="100" w:type="dxa"/>
              <w:bottom w:w="100" w:type="dxa"/>
              <w:left w:w="140" w:type="dxa"/>
              <w:right w:w="140" w:type="dxa"/>
            </w:tcMar>
            <w:tcBorders/>
          </w:tcPr>
          <w:p>
            <w:pPr>
              <w:spacing w:line="276" w:lineRule="auto"/>
              <w:ind w:firstLine="0"/>
              <w:jc w:val="left"/>
            </w:pPr>
            <w:r>
              <w:t>trajectory_embedding</w:t>
            </w:r>
          </w:p>
        </w:tc>
        <w:tc>
          <w:tcPr>
            <w:tcW w:type="dxa" w:w="1152"/>
            <w:tcMar>
              <w:top w:w="100" w:type="dxa"/>
              <w:bottom w:w="100" w:type="dxa"/>
              <w:left w:w="140" w:type="dxa"/>
              <w:right w:w="140" w:type="dxa"/>
            </w:tcMar>
            <w:tcBorders/>
          </w:tcPr>
          <w:p>
            <w:pPr>
              <w:spacing w:line="276" w:lineRule="auto"/>
              <w:ind w:firstLine="0"/>
              <w:jc w:val="left"/>
            </w:pPr>
            <w:r>
              <w:t>Computed</w:t>
            </w:r>
          </w:p>
        </w:tc>
        <w:tc>
          <w:tcPr>
            <w:tcW w:type="dxa" w:w="1584"/>
            <w:tcMar>
              <w:top w:w="100" w:type="dxa"/>
              <w:bottom w:w="100" w:type="dxa"/>
              <w:left w:w="140" w:type="dxa"/>
              <w:right w:w="140" w:type="dxa"/>
            </w:tcMar>
            <w:tcBorders/>
          </w:tcPr>
          <w:p>
            <w:pPr>
              <w:spacing w:line="276" w:lineRule="auto"/>
              <w:ind w:firstLine="0"/>
              <w:jc w:val="left"/>
            </w:pPr>
            <w:r>
              <w:t>Dense Vector (384)</w:t>
            </w:r>
          </w:p>
        </w:tc>
        <w:tc>
          <w:tcPr>
            <w:tcW w:type="dxa" w:w="3168"/>
            <w:tcMar>
              <w:top w:w="100" w:type="dxa"/>
              <w:bottom w:w="100" w:type="dxa"/>
              <w:left w:w="140" w:type="dxa"/>
              <w:right w:w="140" w:type="dxa"/>
            </w:tcMar>
            <w:tcBorders/>
          </w:tcPr>
          <w:p>
            <w:pPr>
              <w:spacing w:line="276" w:lineRule="auto"/>
              <w:ind w:firstLine="0"/>
              <w:jc w:val="left"/>
            </w:pPr>
            <w:r>
              <w:t>S-BERT all-MiniLM-L6-v2 temporal decay vector</w:t>
            </w:r>
          </w:p>
        </w:tc>
        <w:tc>
          <w:tcPr>
            <w:tcW w:type="dxa" w:w="2016"/>
            <w:tcMar>
              <w:top w:w="100" w:type="dxa"/>
              <w:bottom w:w="100" w:type="dxa"/>
              <w:left w:w="140" w:type="dxa"/>
              <w:right w:w="140" w:type="dxa"/>
            </w:tcMar>
            <w:tcBorders/>
          </w:tcPr>
          <w:p>
            <w:pPr>
              <w:spacing w:line="276" w:lineRule="auto"/>
              <w:ind w:firstLine="0"/>
              <w:jc w:val="left"/>
            </w:pPr>
            <w:r>
              <w:t>Independent Var (RQ1)</w:t>
            </w:r>
          </w:p>
        </w:tc>
      </w:tr>
      <w:tr>
        <w:trPr>
          <w:cantSplit/>
        </w:trPr>
        <w:tc>
          <w:tcPr>
            <w:tcW w:type="dxa" w:w="2160"/>
            <w:tcMar>
              <w:top w:w="100" w:type="dxa"/>
              <w:bottom w:w="100" w:type="dxa"/>
              <w:left w:w="140" w:type="dxa"/>
              <w:right w:w="140" w:type="dxa"/>
            </w:tcMar>
            <w:tcBorders/>
          </w:tcPr>
          <w:p>
            <w:pPr>
              <w:spacing w:line="276" w:lineRule="auto"/>
              <w:ind w:firstLine="0"/>
              <w:jc w:val="left"/>
            </w:pPr>
            <w:r>
              <w:t>assigned_archetype</w:t>
            </w:r>
          </w:p>
        </w:tc>
        <w:tc>
          <w:tcPr>
            <w:tcW w:type="dxa" w:w="1152"/>
            <w:tcMar>
              <w:top w:w="100" w:type="dxa"/>
              <w:bottom w:w="100" w:type="dxa"/>
              <w:left w:w="140" w:type="dxa"/>
              <w:right w:w="140" w:type="dxa"/>
            </w:tcMar>
            <w:tcBorders/>
          </w:tcPr>
          <w:p>
            <w:pPr>
              <w:spacing w:line="276" w:lineRule="auto"/>
              <w:ind w:firstLine="0"/>
              <w:jc w:val="left"/>
            </w:pPr>
            <w:r>
              <w:t>Computed</w:t>
            </w:r>
          </w:p>
        </w:tc>
        <w:tc>
          <w:tcPr>
            <w:tcW w:type="dxa" w:w="1584"/>
            <w:tcMar>
              <w:top w:w="100" w:type="dxa"/>
              <w:bottom w:w="100" w:type="dxa"/>
              <w:left w:w="140" w:type="dxa"/>
              <w:right w:w="140" w:type="dxa"/>
            </w:tcMar>
            <w:tcBorders/>
          </w:tcPr>
          <w:p>
            <w:pPr>
              <w:spacing w:line="276" w:lineRule="auto"/>
              <w:ind w:firstLine="0"/>
              <w:jc w:val="left"/>
            </w:pPr>
            <w:r>
              <w:t>Categorical (3)</w:t>
            </w:r>
          </w:p>
        </w:tc>
        <w:tc>
          <w:tcPr>
            <w:tcW w:type="dxa" w:w="3168"/>
            <w:tcMar>
              <w:top w:w="100" w:type="dxa"/>
              <w:bottom w:w="100" w:type="dxa"/>
              <w:left w:w="140" w:type="dxa"/>
              <w:right w:w="140" w:type="dxa"/>
            </w:tcMar>
            <w:tcBorders/>
          </w:tcPr>
          <w:p>
            <w:pPr>
              <w:spacing w:line="276" w:lineRule="auto"/>
              <w:ind w:firstLine="0"/>
              <w:jc w:val="left"/>
            </w:pPr>
            <w:r>
              <w:t>Cluster: Hesitant, Budget, Transactional</w:t>
            </w:r>
          </w:p>
        </w:tc>
        <w:tc>
          <w:tcPr>
            <w:tcW w:type="dxa" w:w="2016"/>
            <w:tcMar>
              <w:top w:w="100" w:type="dxa"/>
              <w:bottom w:w="100" w:type="dxa"/>
              <w:left w:w="140" w:type="dxa"/>
              <w:right w:w="140" w:type="dxa"/>
            </w:tcMar>
            <w:tcBorders/>
          </w:tcPr>
          <w:p>
            <w:pPr>
              <w:spacing w:line="276" w:lineRule="auto"/>
              <w:ind w:firstLine="0"/>
              <w:jc w:val="left"/>
            </w:pPr>
            <w:r>
              <w:t>Target Group (RQ1–RQ4)</w:t>
            </w:r>
          </w:p>
        </w:tc>
      </w:tr>
      <w:tr>
        <w:trPr>
          <w:cantSplit/>
        </w:trPr>
        <w:tc>
          <w:tcPr>
            <w:tcW w:type="dxa" w:w="2160"/>
            <w:tcMar>
              <w:top w:w="100" w:type="dxa"/>
              <w:bottom w:w="100" w:type="dxa"/>
              <w:left w:w="140" w:type="dxa"/>
              <w:right w:w="140" w:type="dxa"/>
            </w:tcMar>
            <w:tcBorders/>
          </w:tcPr>
          <w:p>
            <w:pPr>
              <w:spacing w:line="276" w:lineRule="auto"/>
              <w:ind w:firstLine="0"/>
              <w:jc w:val="left"/>
            </w:pPr>
            <w:r>
              <w:t>conditioning_mode</w:t>
            </w:r>
          </w:p>
        </w:tc>
        <w:tc>
          <w:tcPr>
            <w:tcW w:type="dxa" w:w="1152"/>
            <w:tcMar>
              <w:top w:w="100" w:type="dxa"/>
              <w:bottom w:w="100" w:type="dxa"/>
              <w:left w:w="140" w:type="dxa"/>
              <w:right w:w="140" w:type="dxa"/>
            </w:tcMar>
            <w:tcBorders/>
          </w:tcPr>
          <w:p>
            <w:pPr>
              <w:spacing w:line="276" w:lineRule="auto"/>
              <w:ind w:firstLine="0"/>
              <w:jc w:val="left"/>
            </w:pPr>
            <w:r>
              <w:t>Experiment</w:t>
            </w:r>
          </w:p>
        </w:tc>
        <w:tc>
          <w:tcPr>
            <w:tcW w:type="dxa" w:w="1584"/>
            <w:tcMar>
              <w:top w:w="100" w:type="dxa"/>
              <w:bottom w:w="100" w:type="dxa"/>
              <w:left w:w="140" w:type="dxa"/>
              <w:right w:w="140" w:type="dxa"/>
            </w:tcMar>
            <w:tcBorders/>
          </w:tcPr>
          <w:p>
            <w:pPr>
              <w:spacing w:line="276" w:lineRule="auto"/>
              <w:ind w:firstLine="0"/>
              <w:jc w:val="left"/>
            </w:pPr>
            <w:r>
              <w:t>Categorical (3)</w:t>
            </w:r>
          </w:p>
        </w:tc>
        <w:tc>
          <w:tcPr>
            <w:tcW w:type="dxa" w:w="3168"/>
            <w:tcMar>
              <w:top w:w="100" w:type="dxa"/>
              <w:bottom w:w="100" w:type="dxa"/>
              <w:left w:w="140" w:type="dxa"/>
              <w:right w:w="140" w:type="dxa"/>
            </w:tcMar>
            <w:tcBorders/>
          </w:tcPr>
          <w:p>
            <w:pPr>
              <w:spacing w:line="276" w:lineRule="auto"/>
              <w:ind w:firstLine="0"/>
              <w:jc w:val="left"/>
            </w:pPr>
            <w:r>
              <w:t>Prompt mode: Zero-Shot, Static, Cluster-Adaptive</w:t>
            </w:r>
          </w:p>
        </w:tc>
        <w:tc>
          <w:tcPr>
            <w:tcW w:type="dxa" w:w="2016"/>
            <w:tcMar>
              <w:top w:w="100" w:type="dxa"/>
              <w:bottom w:w="100" w:type="dxa"/>
              <w:left w:w="140" w:type="dxa"/>
              <w:right w:w="140" w:type="dxa"/>
            </w:tcMar>
            <w:tcBorders/>
          </w:tcPr>
          <w:p>
            <w:pPr>
              <w:spacing w:line="276" w:lineRule="auto"/>
              <w:ind w:firstLine="0"/>
              <w:jc w:val="left"/>
            </w:pPr>
            <w:r>
              <w:t>Independent Var (RQ2)</w:t>
            </w:r>
          </w:p>
        </w:tc>
      </w:tr>
      <w:tr>
        <w:trPr>
          <w:cantSplit/>
        </w:trPr>
        <w:tc>
          <w:tcPr>
            <w:tcW w:type="dxa" w:w="2160"/>
            <w:tcMar>
              <w:top w:w="100" w:type="dxa"/>
              <w:bottom w:w="100" w:type="dxa"/>
              <w:left w:w="140" w:type="dxa"/>
              <w:right w:w="140" w:type="dxa"/>
            </w:tcMar>
            <w:tcBorders/>
          </w:tcPr>
          <w:p>
            <w:pPr>
              <w:spacing w:line="276" w:lineRule="auto"/>
              <w:ind w:firstLine="0"/>
              <w:jc w:val="left"/>
            </w:pPr>
            <w:r>
              <w:t>semantic_cosine_similarity</w:t>
            </w:r>
          </w:p>
        </w:tc>
        <w:tc>
          <w:tcPr>
            <w:tcW w:type="dxa" w:w="1152"/>
            <w:tcMar>
              <w:top w:w="100" w:type="dxa"/>
              <w:bottom w:w="100" w:type="dxa"/>
              <w:left w:w="140" w:type="dxa"/>
              <w:right w:w="140" w:type="dxa"/>
            </w:tcMar>
            <w:tcBorders/>
          </w:tcPr>
          <w:p>
            <w:pPr>
              <w:spacing w:line="276" w:lineRule="auto"/>
              <w:ind w:firstLine="0"/>
              <w:jc w:val="left"/>
            </w:pPr>
            <w:r>
              <w:t>Computed</w:t>
            </w:r>
          </w:p>
        </w:tc>
        <w:tc>
          <w:tcPr>
            <w:tcW w:type="dxa" w:w="1584"/>
            <w:tcMar>
              <w:top w:w="100" w:type="dxa"/>
              <w:bottom w:w="100" w:type="dxa"/>
              <w:left w:w="140" w:type="dxa"/>
              <w:right w:w="140" w:type="dxa"/>
            </w:tcMar>
            <w:tcBorders/>
          </w:tcPr>
          <w:p>
            <w:pPr>
              <w:spacing w:line="276" w:lineRule="auto"/>
              <w:ind w:firstLine="0"/>
              <w:jc w:val="left"/>
            </w:pPr>
            <w:r>
              <w:t>Numeric [0, 1]</w:t>
            </w:r>
          </w:p>
        </w:tc>
        <w:tc>
          <w:tcPr>
            <w:tcW w:type="dxa" w:w="3168"/>
            <w:tcMar>
              <w:top w:w="100" w:type="dxa"/>
              <w:bottom w:w="100" w:type="dxa"/>
              <w:left w:w="140" w:type="dxa"/>
              <w:right w:w="140" w:type="dxa"/>
            </w:tcMar>
            <w:tcBorders/>
          </w:tcPr>
          <w:p>
            <w:pPr>
              <w:spacing w:line="276" w:lineRule="auto"/>
              <w:ind w:firstLine="0"/>
              <w:jc w:val="left"/>
            </w:pPr>
            <w:r>
              <w:t>Cosine similarity to reference cluster centroid</w:t>
            </w:r>
          </w:p>
        </w:tc>
        <w:tc>
          <w:tcPr>
            <w:tcW w:type="dxa" w:w="2016"/>
            <w:tcMar>
              <w:top w:w="100" w:type="dxa"/>
              <w:bottom w:w="100" w:type="dxa"/>
              <w:left w:w="140" w:type="dxa"/>
              <w:right w:w="140" w:type="dxa"/>
            </w:tcMar>
            <w:tcBorders/>
          </w:tcPr>
          <w:p>
            <w:pPr>
              <w:spacing w:line="276" w:lineRule="auto"/>
              <w:ind w:firstLine="0"/>
              <w:jc w:val="left"/>
            </w:pPr>
            <w:r>
              <w:t>Dependent Var (RQ2)</w:t>
            </w:r>
          </w:p>
        </w:tc>
      </w:tr>
      <w:tr>
        <w:trPr>
          <w:cantSplit/>
        </w:trPr>
        <w:tc>
          <w:tcPr>
            <w:tcW w:type="dxa" w:w="2160"/>
            <w:tcMar>
              <w:top w:w="100" w:type="dxa"/>
              <w:bottom w:w="100" w:type="dxa"/>
              <w:left w:w="140" w:type="dxa"/>
              <w:right w:w="140" w:type="dxa"/>
            </w:tcMar>
            <w:tcBorders/>
          </w:tcPr>
          <w:p>
            <w:pPr>
              <w:spacing w:line="276" w:lineRule="auto"/>
              <w:ind w:firstLine="0"/>
              <w:jc w:val="left"/>
            </w:pPr>
            <w:r>
              <w:t>bert_score_f1</w:t>
            </w:r>
          </w:p>
        </w:tc>
        <w:tc>
          <w:tcPr>
            <w:tcW w:type="dxa" w:w="1152"/>
            <w:tcMar>
              <w:top w:w="100" w:type="dxa"/>
              <w:bottom w:w="100" w:type="dxa"/>
              <w:left w:w="140" w:type="dxa"/>
              <w:right w:w="140" w:type="dxa"/>
            </w:tcMar>
            <w:tcBorders/>
          </w:tcPr>
          <w:p>
            <w:pPr>
              <w:spacing w:line="276" w:lineRule="auto"/>
              <w:ind w:firstLine="0"/>
              <w:jc w:val="left"/>
            </w:pPr>
            <w:r>
              <w:t>Computed</w:t>
            </w:r>
          </w:p>
        </w:tc>
        <w:tc>
          <w:tcPr>
            <w:tcW w:type="dxa" w:w="1584"/>
            <w:tcMar>
              <w:top w:w="100" w:type="dxa"/>
              <w:bottom w:w="100" w:type="dxa"/>
              <w:left w:w="140" w:type="dxa"/>
              <w:right w:w="140" w:type="dxa"/>
            </w:tcMar>
            <w:tcBorders/>
          </w:tcPr>
          <w:p>
            <w:pPr>
              <w:spacing w:line="276" w:lineRule="auto"/>
              <w:ind w:firstLine="0"/>
              <w:jc w:val="left"/>
            </w:pPr>
            <w:r>
              <w:t>Numeric [0, 1]</w:t>
            </w:r>
          </w:p>
        </w:tc>
        <w:tc>
          <w:tcPr>
            <w:tcW w:type="dxa" w:w="3168"/>
            <w:tcMar>
              <w:top w:w="100" w:type="dxa"/>
              <w:bottom w:w="100" w:type="dxa"/>
              <w:left w:w="140" w:type="dxa"/>
              <w:right w:w="140" w:type="dxa"/>
            </w:tcMar>
            <w:tcBorders/>
          </w:tcPr>
          <w:p>
            <w:pPr>
              <w:spacing w:line="276" w:lineRule="auto"/>
              <w:ind w:firstLine="0"/>
              <w:jc w:val="left"/>
            </w:pPr>
            <w:r>
              <w:t>Token-level semantic similarity to reference turns</w:t>
            </w:r>
          </w:p>
        </w:tc>
        <w:tc>
          <w:tcPr>
            <w:tcW w:type="dxa" w:w="2016"/>
            <w:tcMar>
              <w:top w:w="100" w:type="dxa"/>
              <w:bottom w:w="100" w:type="dxa"/>
              <w:left w:w="140" w:type="dxa"/>
              <w:right w:w="140" w:type="dxa"/>
            </w:tcMar>
            <w:tcBorders/>
          </w:tcPr>
          <w:p>
            <w:pPr>
              <w:spacing w:line="276" w:lineRule="auto"/>
              <w:ind w:firstLine="0"/>
              <w:jc w:val="left"/>
            </w:pPr>
            <w:r>
              <w:t>Dependent Var (RQ2)</w:t>
            </w:r>
          </w:p>
        </w:tc>
      </w:tr>
      <w:tr>
        <w:trPr>
          <w:cantSplit/>
        </w:trPr>
        <w:tc>
          <w:tcPr>
            <w:tcW w:type="dxa" w:w="2160"/>
            <w:tcMar>
              <w:top w:w="100" w:type="dxa"/>
              <w:bottom w:w="100" w:type="dxa"/>
              <w:left w:w="140" w:type="dxa"/>
              <w:right w:w="140" w:type="dxa"/>
            </w:tcMar>
            <w:tcBorders/>
          </w:tcPr>
          <w:p>
            <w:pPr>
              <w:spacing w:line="276" w:lineRule="auto"/>
              <w:ind w:firstLine="0"/>
              <w:jc w:val="left"/>
            </w:pPr>
            <w:r>
              <w:t>rules_mode</w:t>
            </w:r>
          </w:p>
        </w:tc>
        <w:tc>
          <w:tcPr>
            <w:tcW w:type="dxa" w:w="1152"/>
            <w:tcMar>
              <w:top w:w="100" w:type="dxa"/>
              <w:bottom w:w="100" w:type="dxa"/>
              <w:left w:w="140" w:type="dxa"/>
              <w:right w:w="140" w:type="dxa"/>
            </w:tcMar>
            <w:tcBorders/>
          </w:tcPr>
          <w:p>
            <w:pPr>
              <w:spacing w:line="276" w:lineRule="auto"/>
              <w:ind w:firstLine="0"/>
              <w:jc w:val="left"/>
            </w:pPr>
            <w:r>
              <w:t>Experiment</w:t>
            </w:r>
          </w:p>
        </w:tc>
        <w:tc>
          <w:tcPr>
            <w:tcW w:type="dxa" w:w="1584"/>
            <w:tcMar>
              <w:top w:w="100" w:type="dxa"/>
              <w:bottom w:w="100" w:type="dxa"/>
              <w:left w:w="140" w:type="dxa"/>
              <w:right w:w="140" w:type="dxa"/>
            </w:tcMar>
            <w:tcBorders/>
          </w:tcPr>
          <w:p>
            <w:pPr>
              <w:spacing w:line="276" w:lineRule="auto"/>
              <w:ind w:firstLine="0"/>
              <w:jc w:val="left"/>
            </w:pPr>
            <w:r>
              <w:t>Categorical (2)</w:t>
            </w:r>
          </w:p>
        </w:tc>
        <w:tc>
          <w:tcPr>
            <w:tcW w:type="dxa" w:w="3168"/>
            <w:tcMar>
              <w:top w:w="100" w:type="dxa"/>
              <w:bottom w:w="100" w:type="dxa"/>
              <w:left w:w="140" w:type="dxa"/>
              <w:right w:w="140" w:type="dxa"/>
            </w:tcMar>
            <w:tcBorders/>
          </w:tcPr>
          <w:p>
            <w:pPr>
              <w:spacing w:line="276" w:lineRule="auto"/>
              <w:ind w:firstLine="0"/>
              <w:jc w:val="left"/>
            </w:pPr>
            <w:r>
              <w:t>Declarative verification layer: Active vs. OFF</w:t>
            </w:r>
          </w:p>
        </w:tc>
        <w:tc>
          <w:tcPr>
            <w:tcW w:type="dxa" w:w="2016"/>
            <w:tcMar>
              <w:top w:w="100" w:type="dxa"/>
              <w:bottom w:w="100" w:type="dxa"/>
              <w:left w:w="140" w:type="dxa"/>
              <w:right w:w="140" w:type="dxa"/>
            </w:tcMar>
            <w:tcBorders/>
          </w:tcPr>
          <w:p>
            <w:pPr>
              <w:spacing w:line="276" w:lineRule="auto"/>
              <w:ind w:firstLine="0"/>
              <w:jc w:val="left"/>
            </w:pPr>
            <w:r>
              <w:t>Independent Var (RQ3)</w:t>
            </w:r>
          </w:p>
        </w:tc>
      </w:tr>
      <w:tr>
        <w:trPr>
          <w:cantSplit/>
        </w:trPr>
        <w:tc>
          <w:tcPr>
            <w:tcW w:type="dxa" w:w="2160"/>
            <w:tcMar>
              <w:top w:w="100" w:type="dxa"/>
              <w:bottom w:w="100" w:type="dxa"/>
              <w:left w:w="140" w:type="dxa"/>
              <w:right w:w="140" w:type="dxa"/>
            </w:tcMar>
            <w:tcBorders/>
          </w:tcPr>
          <w:p>
            <w:pPr>
              <w:spacing w:line="276" w:lineRule="auto"/>
              <w:ind w:firstLine="0"/>
              <w:jc w:val="left"/>
            </w:pPr>
            <w:r>
              <w:t>factual_slot_f1</w:t>
            </w:r>
          </w:p>
        </w:tc>
        <w:tc>
          <w:tcPr>
            <w:tcW w:type="dxa" w:w="1152"/>
            <w:tcMar>
              <w:top w:w="100" w:type="dxa"/>
              <w:bottom w:w="100" w:type="dxa"/>
              <w:left w:w="140" w:type="dxa"/>
              <w:right w:w="140" w:type="dxa"/>
            </w:tcMar>
            <w:tcBorders/>
          </w:tcPr>
          <w:p>
            <w:pPr>
              <w:spacing w:line="276" w:lineRule="auto"/>
              <w:ind w:firstLine="0"/>
              <w:jc w:val="left"/>
            </w:pPr>
            <w:r>
              <w:t>Computed</w:t>
            </w:r>
          </w:p>
        </w:tc>
        <w:tc>
          <w:tcPr>
            <w:tcW w:type="dxa" w:w="1584"/>
            <w:tcMar>
              <w:top w:w="100" w:type="dxa"/>
              <w:bottom w:w="100" w:type="dxa"/>
              <w:left w:w="140" w:type="dxa"/>
              <w:right w:w="140" w:type="dxa"/>
            </w:tcMar>
            <w:tcBorders/>
          </w:tcPr>
          <w:p>
            <w:pPr>
              <w:spacing w:line="276" w:lineRule="auto"/>
              <w:ind w:firstLine="0"/>
              <w:jc w:val="left"/>
            </w:pPr>
            <w:r>
              <w:t>Numeric [0, 1]</w:t>
            </w:r>
          </w:p>
        </w:tc>
        <w:tc>
          <w:tcPr>
            <w:tcW w:type="dxa" w:w="3168"/>
            <w:tcMar>
              <w:top w:w="100" w:type="dxa"/>
              <w:bottom w:w="100" w:type="dxa"/>
              <w:left w:w="140" w:type="dxa"/>
              <w:right w:w="140" w:type="dxa"/>
            </w:tcMar>
            <w:tcBorders/>
          </w:tcPr>
          <w:p>
            <w:pPr>
              <w:spacing w:line="276" w:lineRule="auto"/>
              <w:ind w:firstLine="0"/>
              <w:jc w:val="left"/>
            </w:pPr>
            <w:r>
              <w:t>Harmonic mean of slot extraction precision/recall</w:t>
            </w:r>
          </w:p>
        </w:tc>
        <w:tc>
          <w:tcPr>
            <w:tcW w:type="dxa" w:w="2016"/>
            <w:tcMar>
              <w:top w:w="100" w:type="dxa"/>
              <w:bottom w:w="100" w:type="dxa"/>
              <w:left w:w="140" w:type="dxa"/>
              <w:right w:w="140" w:type="dxa"/>
            </w:tcMar>
            <w:tcBorders/>
          </w:tcPr>
          <w:p>
            <w:pPr>
              <w:spacing w:line="276" w:lineRule="auto"/>
              <w:ind w:firstLine="0"/>
              <w:jc w:val="left"/>
            </w:pPr>
            <w:r>
              <w:t>Dependent Var (RQ3)</w:t>
            </w:r>
          </w:p>
        </w:tc>
      </w:tr>
      <w:tr>
        <w:trPr>
          <w:cantSplit/>
        </w:trPr>
        <w:tc>
          <w:tcPr>
            <w:tcW w:type="dxa" w:w="2160"/>
            <w:tcMar>
              <w:top w:w="100" w:type="dxa"/>
              <w:bottom w:w="100" w:type="dxa"/>
              <w:left w:w="140" w:type="dxa"/>
              <w:right w:w="140" w:type="dxa"/>
            </w:tcMar>
            <w:tcBorders/>
          </w:tcPr>
          <w:p>
            <w:pPr>
              <w:spacing w:line="276" w:lineRule="auto"/>
              <w:ind w:firstLine="0"/>
              <w:jc w:val="left"/>
            </w:pPr>
            <w:r>
              <w:t>rule_adherence_rate</w:t>
            </w:r>
          </w:p>
        </w:tc>
        <w:tc>
          <w:tcPr>
            <w:tcW w:type="dxa" w:w="1152"/>
            <w:tcMar>
              <w:top w:w="100" w:type="dxa"/>
              <w:bottom w:w="100" w:type="dxa"/>
              <w:left w:w="140" w:type="dxa"/>
              <w:right w:w="140" w:type="dxa"/>
            </w:tcMar>
            <w:tcBorders/>
          </w:tcPr>
          <w:p>
            <w:pPr>
              <w:spacing w:line="276" w:lineRule="auto"/>
              <w:ind w:firstLine="0"/>
              <w:jc w:val="left"/>
            </w:pPr>
            <w:r>
              <w:t>Computed</w:t>
            </w:r>
          </w:p>
        </w:tc>
        <w:tc>
          <w:tcPr>
            <w:tcW w:type="dxa" w:w="1584"/>
            <w:tcMar>
              <w:top w:w="100" w:type="dxa"/>
              <w:bottom w:w="100" w:type="dxa"/>
              <w:left w:w="140" w:type="dxa"/>
              <w:right w:w="140" w:type="dxa"/>
            </w:tcMar>
            <w:tcBorders/>
          </w:tcPr>
          <w:p>
            <w:pPr>
              <w:spacing w:line="276" w:lineRule="auto"/>
              <w:ind w:firstLine="0"/>
              <w:jc w:val="left"/>
            </w:pPr>
            <w:r>
              <w:t>Numeric [0, 1]</w:t>
            </w:r>
          </w:p>
        </w:tc>
        <w:tc>
          <w:tcPr>
            <w:tcW w:type="dxa" w:w="3168"/>
            <w:tcMar>
              <w:top w:w="100" w:type="dxa"/>
              <w:bottom w:w="100" w:type="dxa"/>
              <w:left w:w="140" w:type="dxa"/>
              <w:right w:w="140" w:type="dxa"/>
            </w:tcMar>
            <w:tcBorders/>
          </w:tcPr>
          <w:p>
            <w:pPr>
              <w:spacing w:line="276" w:lineRule="auto"/>
              <w:ind w:firstLine="0"/>
              <w:jc w:val="left"/>
            </w:pPr>
            <w:r>
              <w:t>Fraction of turns complying with business rules</w:t>
            </w:r>
          </w:p>
        </w:tc>
        <w:tc>
          <w:tcPr>
            <w:tcW w:type="dxa" w:w="2016"/>
            <w:tcMar>
              <w:top w:w="100" w:type="dxa"/>
              <w:bottom w:w="100" w:type="dxa"/>
              <w:left w:w="140" w:type="dxa"/>
              <w:right w:w="140" w:type="dxa"/>
            </w:tcMar>
            <w:tcBorders/>
          </w:tcPr>
          <w:p>
            <w:pPr>
              <w:spacing w:line="276" w:lineRule="auto"/>
              <w:ind w:firstLine="0"/>
              <w:jc w:val="left"/>
            </w:pPr>
            <w:r>
              <w:t>Dependent Var (RQ3)</w:t>
            </w:r>
          </w:p>
        </w:tc>
      </w:tr>
      <w:tr>
        <w:trPr>
          <w:cantSplit/>
        </w:trPr>
        <w:tc>
          <w:tcPr>
            <w:tcW w:type="dxa" w:w="2160"/>
            <w:tcMar>
              <w:top w:w="100" w:type="dxa"/>
              <w:bottom w:w="100" w:type="dxa"/>
              <w:left w:w="140" w:type="dxa"/>
              <w:right w:w="140" w:type="dxa"/>
            </w:tcMar>
            <w:tcBorders/>
          </w:tcPr>
          <w:p>
            <w:pPr>
              <w:spacing w:line="276" w:lineRule="auto"/>
              <w:ind w:firstLine="0"/>
              <w:jc w:val="left"/>
            </w:pPr>
            <w:r>
              <w:t>exemplar_leakage_rate</w:t>
            </w:r>
          </w:p>
        </w:tc>
        <w:tc>
          <w:tcPr>
            <w:tcW w:type="dxa" w:w="1152"/>
            <w:tcMar>
              <w:top w:w="100" w:type="dxa"/>
              <w:bottom w:w="100" w:type="dxa"/>
              <w:left w:w="140" w:type="dxa"/>
              <w:right w:w="140" w:type="dxa"/>
            </w:tcMar>
            <w:tcBorders/>
          </w:tcPr>
          <w:p>
            <w:pPr>
              <w:spacing w:line="276" w:lineRule="auto"/>
              <w:ind w:firstLine="0"/>
              <w:jc w:val="left"/>
            </w:pPr>
            <w:r>
              <w:t>Computed</w:t>
            </w:r>
          </w:p>
        </w:tc>
        <w:tc>
          <w:tcPr>
            <w:tcW w:type="dxa" w:w="1584"/>
            <w:tcMar>
              <w:top w:w="100" w:type="dxa"/>
              <w:bottom w:w="100" w:type="dxa"/>
              <w:left w:w="140" w:type="dxa"/>
              <w:right w:w="140" w:type="dxa"/>
            </w:tcMar>
            <w:tcBorders/>
          </w:tcPr>
          <w:p>
            <w:pPr>
              <w:spacing w:line="276" w:lineRule="auto"/>
              <w:ind w:firstLine="0"/>
              <w:jc w:val="left"/>
            </w:pPr>
            <w:r>
              <w:t>Numeric [0, 1]</w:t>
            </w:r>
          </w:p>
        </w:tc>
        <w:tc>
          <w:tcPr>
            <w:tcW w:type="dxa" w:w="3168"/>
            <w:tcMar>
              <w:top w:w="100" w:type="dxa"/>
              <w:bottom w:w="100" w:type="dxa"/>
              <w:left w:w="140" w:type="dxa"/>
              <w:right w:w="140" w:type="dxa"/>
            </w:tcMar>
            <w:tcBorders/>
          </w:tcPr>
          <w:p>
            <w:pPr>
              <w:spacing w:line="276" w:lineRule="auto"/>
              <w:ind w:firstLine="0"/>
              <w:jc w:val="left"/>
            </w:pPr>
            <w:r>
              <w:t>Rate of hallucinated exemplar entities leaked</w:t>
            </w:r>
          </w:p>
        </w:tc>
        <w:tc>
          <w:tcPr>
            <w:tcW w:type="dxa" w:w="2016"/>
            <w:tcMar>
              <w:top w:w="100" w:type="dxa"/>
              <w:bottom w:w="100" w:type="dxa"/>
              <w:left w:w="140" w:type="dxa"/>
              <w:right w:w="140" w:type="dxa"/>
            </w:tcMar>
            <w:tcBorders/>
          </w:tcPr>
          <w:p>
            <w:pPr>
              <w:spacing w:line="276" w:lineRule="auto"/>
              <w:ind w:firstLine="0"/>
              <w:jc w:val="left"/>
            </w:pPr>
            <w:r>
              <w:t>Dependent Var (RQ3)</w:t>
            </w:r>
          </w:p>
        </w:tc>
      </w:tr>
      <w:tr>
        <w:trPr>
          <w:cantSplit/>
        </w:trPr>
        <w:tc>
          <w:tcPr>
            <w:tcW w:type="dxa" w:w="2160"/>
            <w:tcMar>
              <w:top w:w="100" w:type="dxa"/>
              <w:bottom w:w="100" w:type="dxa"/>
              <w:left w:w="140" w:type="dxa"/>
              <w:right w:w="140" w:type="dxa"/>
            </w:tcMar>
            <w:tcBorders>
              <w:bottom w:val="single" w:sz="12" w:space="0" w:color="000000"/>
            </w:tcBorders>
          </w:tcPr>
          <w:p>
            <w:pPr>
              <w:spacing w:line="276" w:lineRule="auto"/>
              <w:ind w:firstLine="0"/>
              <w:jc w:val="left"/>
            </w:pPr>
            <w:r>
              <w:t>redundant_elicitation_rate</w:t>
            </w:r>
          </w:p>
        </w:tc>
        <w:tc>
          <w:tcPr>
            <w:tcW w:type="dxa" w:w="1152"/>
            <w:tcMar>
              <w:top w:w="100" w:type="dxa"/>
              <w:bottom w:w="100" w:type="dxa"/>
              <w:left w:w="140" w:type="dxa"/>
              <w:right w:w="140" w:type="dxa"/>
            </w:tcMar>
            <w:tcBorders>
              <w:bottom w:val="single" w:sz="12" w:space="0" w:color="000000"/>
            </w:tcBorders>
          </w:tcPr>
          <w:p>
            <w:pPr>
              <w:spacing w:line="276" w:lineRule="auto"/>
              <w:ind w:firstLine="0"/>
              <w:jc w:val="left"/>
            </w:pPr>
            <w:r>
              <w:t>Computed</w:t>
            </w:r>
          </w:p>
        </w:tc>
        <w:tc>
          <w:tcPr>
            <w:tcW w:type="dxa" w:w="1584"/>
            <w:tcMar>
              <w:top w:w="100" w:type="dxa"/>
              <w:bottom w:w="100" w:type="dxa"/>
              <w:left w:w="140" w:type="dxa"/>
              <w:right w:w="140" w:type="dxa"/>
            </w:tcMar>
            <w:tcBorders>
              <w:bottom w:val="single" w:sz="12" w:space="0" w:color="000000"/>
            </w:tcBorders>
          </w:tcPr>
          <w:p>
            <w:pPr>
              <w:spacing w:line="276" w:lineRule="auto"/>
              <w:ind w:firstLine="0"/>
              <w:jc w:val="left"/>
            </w:pPr>
            <w:r>
              <w:t>Numeric [0, 1]</w:t>
            </w:r>
          </w:p>
        </w:tc>
        <w:tc>
          <w:tcPr>
            <w:tcW w:type="dxa" w:w="3168"/>
            <w:tcMar>
              <w:top w:w="100" w:type="dxa"/>
              <w:bottom w:w="100" w:type="dxa"/>
              <w:left w:w="140" w:type="dxa"/>
              <w:right w:w="140" w:type="dxa"/>
            </w:tcMar>
            <w:tcBorders>
              <w:bottom w:val="single" w:sz="12" w:space="0" w:color="000000"/>
            </w:tcBorders>
          </w:tcPr>
          <w:p>
            <w:pPr>
              <w:spacing w:line="276" w:lineRule="auto"/>
              <w:ind w:firstLine="0"/>
              <w:jc w:val="left"/>
            </w:pPr>
            <w:r>
              <w:t>Fraction of turns re-asking saturated slots</w:t>
            </w:r>
          </w:p>
        </w:tc>
        <w:tc>
          <w:tcPr>
            <w:tcW w:type="dxa" w:w="2016"/>
            <w:tcMar>
              <w:top w:w="100" w:type="dxa"/>
              <w:bottom w:w="100" w:type="dxa"/>
              <w:left w:w="140" w:type="dxa"/>
              <w:right w:w="140" w:type="dxa"/>
            </w:tcMar>
            <w:tcBorders>
              <w:bottom w:val="single" w:sz="12" w:space="0" w:color="000000"/>
            </w:tcBorders>
          </w:tcPr>
          <w:p>
            <w:pPr>
              <w:spacing w:line="276" w:lineRule="auto"/>
              <w:ind w:firstLine="0"/>
              <w:jc w:val="left"/>
            </w:pPr>
            <w:r>
              <w:t>Dependent Var (RQ4)</w:t>
            </w:r>
          </w:p>
        </w:tc>
      </w:tr>
    </w:tbl>
    <w:p>
      <w:pPr>
        <w:spacing w:before="40" w:after="240"/>
        <w:ind w:firstLine="0"/>
      </w:pPr>
      <w:r>
        <w:rPr>
          <w:i/>
          <w:sz w:val="20"/>
        </w:rPr>
        <w:t xml:space="preserve">Note. </w:t>
      </w:r>
      <w:r>
        <w:rPr>
          <w:sz w:val="20"/>
        </w:rPr>
        <w:t>Variables capture raw conversational mechanics, dense embeddings, experimental treatment arms, and evaluation metrics.</w:t>
      </w:r>
    </w:p>
    <w:p>
      <w:pPr>
        <w:spacing w:before="240" w:after="80" w:line="480" w:lineRule="auto"/>
        <w:ind w:firstLine="0"/>
        <w:jc w:val="left"/>
      </w:pPr>
      <w:r>
        <w:rPr>
          <w:b/>
          <w:sz w:val="24"/>
        </w:rPr>
        <w:t>4.4 Data Completeness, Missingness, and Bias Considerations</w:t>
      </w:r>
    </w:p>
    <w:p>
      <w:pPr>
        <w:ind w:firstLine="720"/>
        <w:jc w:val="left"/>
      </w:pPr>
      <w:r>
        <w:rPr>
          <w:b w:val="0"/>
          <w:i w:val="0"/>
        </w:rPr>
        <w:t>Across the combined 2,893 canonicalized dialogue sessions, data completeness was thoroughly audited. In Microsoft Frames, structural conversational mechanics (utterance text, speaker turns, dialogue acts) exhibited 100% completeness. User-level constraints such as budget amount were populated in 72.8% of budget-negotiation sessions, while being naturally absent in exploratory or pure inquiry dialogues. In MultiWOZ 2.2, slot completion rates exceeded 98% across standard travel categories (hotel, train, taxi). To mitigate demographic and geographical biases, named entities (city names, hotel names) and currency symbols were masked during few-shot prompt construction using abstract tokens ([DESTINATION], [ORIGIN], [BUDGET]), ensuring that clustering models grouped conversations based on structural interaction dynamics rather than spurious lexical preferences (e.g., 'Paris' vs. 'Goa').</w:t>
      </w:r>
    </w:p>
    <w:p>
      <w:pPr>
        <w:spacing w:before="240" w:after="120" w:line="480" w:lineRule="auto"/>
        <w:ind w:firstLine="0"/>
        <w:jc w:val="center"/>
      </w:pPr>
      <w:r>
        <w:rPr>
          <w:b/>
          <w:sz w:val="24"/>
        </w:rPr>
        <w:t>5. Analysis and Methodology</w:t>
      </w:r>
    </w:p>
    <w:p>
      <w:pPr>
        <w:spacing w:before="240" w:after="80" w:line="480" w:lineRule="auto"/>
        <w:ind w:firstLine="0"/>
        <w:jc w:val="left"/>
      </w:pPr>
      <w:r>
        <w:rPr>
          <w:b/>
          <w:sz w:val="24"/>
        </w:rPr>
        <w:t>5.1 Data Cleaning, Sanitization, and Preprocessing Log</w:t>
      </w:r>
    </w:p>
    <w:p>
      <w:pPr>
        <w:ind w:firstLine="720"/>
        <w:jc w:val="left"/>
      </w:pPr>
      <w:r>
        <w:rPr>
          <w:b w:val="0"/>
          <w:i w:val="0"/>
        </w:rPr>
        <w:t>A rigorous, reproducible data cleaning protocol was executed across all raw corpora prior to feature engineering. Table 3 documents the stepwise cleaning transformations, affected dialogue volumes, and methodological justifications.</w:t>
      </w:r>
    </w:p>
    <w:p>
      <w:pPr>
        <w:spacing w:before="200" w:after="0"/>
        <w:ind w:firstLine="0"/>
      </w:pPr>
      <w:r>
        <w:rPr>
          <w:b/>
        </w:rPr>
        <w:t>Table 3</w:t>
      </w:r>
    </w:p>
    <w:p>
      <w:pPr>
        <w:spacing w:before="0" w:after="80"/>
        <w:ind w:firstLine="0"/>
      </w:pPr>
      <w:r>
        <w:rPr>
          <w:i/>
        </w:rPr>
        <w:t>Data Cleaning, Sanitization, and Transformation Log</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296"/>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Step ID</w:t>
            </w:r>
          </w:p>
        </w:tc>
        <w:tc>
          <w:tcPr>
            <w:tcW w:type="dxa" w:w="187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Target Issue</w:t>
            </w:r>
          </w:p>
        </w:tc>
        <w:tc>
          <w:tcPr>
            <w:tcW w:type="dxa" w:w="302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Preprocessing Procedure</w:t>
            </w:r>
          </w:p>
        </w:tc>
        <w:tc>
          <w:tcPr>
            <w:tcW w:type="dxa" w:w="1728"/>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Volume Affected</w:t>
            </w:r>
          </w:p>
        </w:tc>
        <w:tc>
          <w:tcPr>
            <w:tcW w:type="dxa" w:w="2448"/>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Methodological Justification</w:t>
            </w:r>
          </w:p>
        </w:tc>
      </w:tr>
      <w:tr>
        <w:trPr>
          <w:cantSplit/>
        </w:trPr>
        <w:tc>
          <w:tcPr>
            <w:tcW w:type="dxa" w:w="1296"/>
            <w:tcMar>
              <w:top w:w="100" w:type="dxa"/>
              <w:bottom w:w="100" w:type="dxa"/>
              <w:left w:w="140" w:type="dxa"/>
              <w:right w:w="140" w:type="dxa"/>
            </w:tcMar>
            <w:tcBorders/>
          </w:tcPr>
          <w:p>
            <w:pPr>
              <w:spacing w:line="276" w:lineRule="auto"/>
              <w:ind w:firstLine="0"/>
              <w:jc w:val="left"/>
            </w:pPr>
            <w:r>
              <w:t>CLN-01</w:t>
            </w:r>
          </w:p>
        </w:tc>
        <w:tc>
          <w:tcPr>
            <w:tcW w:type="dxa" w:w="1872"/>
            <w:tcMar>
              <w:top w:w="100" w:type="dxa"/>
              <w:bottom w:w="100" w:type="dxa"/>
              <w:left w:w="140" w:type="dxa"/>
              <w:right w:w="140" w:type="dxa"/>
            </w:tcMar>
            <w:tcBorders/>
          </w:tcPr>
          <w:p>
            <w:pPr>
              <w:spacing w:line="276" w:lineRule="auto"/>
              <w:ind w:firstLine="0"/>
              <w:jc w:val="left"/>
            </w:pPr>
            <w:r>
              <w:t>PII Exposure</w:t>
            </w:r>
          </w:p>
        </w:tc>
        <w:tc>
          <w:tcPr>
            <w:tcW w:type="dxa" w:w="3024"/>
            <w:tcMar>
              <w:top w:w="100" w:type="dxa"/>
              <w:bottom w:w="100" w:type="dxa"/>
              <w:left w:w="140" w:type="dxa"/>
              <w:right w:w="140" w:type="dxa"/>
            </w:tcMar>
            <w:tcBorders/>
          </w:tcPr>
          <w:p>
            <w:pPr>
              <w:spacing w:line="276" w:lineRule="auto"/>
              <w:ind w:firstLine="0"/>
              <w:jc w:val="left"/>
            </w:pPr>
            <w:r>
              <w:t>Regex scrubbing &amp; Named Entity Recognition to purge names, phone numbers, and IDs.</w:t>
            </w:r>
          </w:p>
        </w:tc>
        <w:tc>
          <w:tcPr>
            <w:tcW w:type="dxa" w:w="1728"/>
            <w:tcMar>
              <w:top w:w="100" w:type="dxa"/>
              <w:bottom w:w="100" w:type="dxa"/>
              <w:left w:w="140" w:type="dxa"/>
              <w:right w:w="140" w:type="dxa"/>
            </w:tcMar>
            <w:tcBorders/>
          </w:tcPr>
          <w:p>
            <w:pPr>
              <w:spacing w:line="276" w:lineRule="auto"/>
              <w:ind w:firstLine="0"/>
              <w:jc w:val="left"/>
            </w:pPr>
            <w:r>
              <w:t>All 102 Enterprise dialogues</w:t>
            </w:r>
          </w:p>
        </w:tc>
        <w:tc>
          <w:tcPr>
            <w:tcW w:type="dxa" w:w="2448"/>
            <w:tcMar>
              <w:top w:w="100" w:type="dxa"/>
              <w:bottom w:w="100" w:type="dxa"/>
              <w:left w:w="140" w:type="dxa"/>
              <w:right w:w="140" w:type="dxa"/>
            </w:tcMar>
            <w:tcBorders/>
          </w:tcPr>
          <w:p>
            <w:pPr>
              <w:spacing w:line="276" w:lineRule="auto"/>
              <w:ind w:firstLine="0"/>
              <w:jc w:val="left"/>
            </w:pPr>
            <w:r>
              <w:t>Compliance with ethical privacy mandates and corporate confidentiality.</w:t>
            </w:r>
          </w:p>
        </w:tc>
      </w:tr>
      <w:tr>
        <w:trPr>
          <w:cantSplit/>
        </w:trPr>
        <w:tc>
          <w:tcPr>
            <w:tcW w:type="dxa" w:w="1296"/>
            <w:tcMar>
              <w:top w:w="100" w:type="dxa"/>
              <w:bottom w:w="100" w:type="dxa"/>
              <w:left w:w="140" w:type="dxa"/>
              <w:right w:w="140" w:type="dxa"/>
            </w:tcMar>
            <w:tcBorders/>
          </w:tcPr>
          <w:p>
            <w:pPr>
              <w:spacing w:line="276" w:lineRule="auto"/>
              <w:ind w:firstLine="0"/>
              <w:jc w:val="left"/>
            </w:pPr>
            <w:r>
              <w:t>CLN-02</w:t>
            </w:r>
          </w:p>
        </w:tc>
        <w:tc>
          <w:tcPr>
            <w:tcW w:type="dxa" w:w="1872"/>
            <w:tcMar>
              <w:top w:w="100" w:type="dxa"/>
              <w:bottom w:w="100" w:type="dxa"/>
              <w:left w:w="140" w:type="dxa"/>
              <w:right w:w="140" w:type="dxa"/>
            </w:tcMar>
            <w:tcBorders/>
          </w:tcPr>
          <w:p>
            <w:pPr>
              <w:spacing w:line="276" w:lineRule="auto"/>
              <w:ind w:firstLine="0"/>
              <w:jc w:val="left"/>
            </w:pPr>
            <w:r>
              <w:t>Ontology Divergence</w:t>
            </w:r>
          </w:p>
        </w:tc>
        <w:tc>
          <w:tcPr>
            <w:tcW w:type="dxa" w:w="3024"/>
            <w:tcMar>
              <w:top w:w="100" w:type="dxa"/>
              <w:bottom w:w="100" w:type="dxa"/>
              <w:left w:w="140" w:type="dxa"/>
              <w:right w:w="140" w:type="dxa"/>
            </w:tcMar>
            <w:tcBorders/>
          </w:tcPr>
          <w:p>
            <w:pPr>
              <w:spacing w:line="276" w:lineRule="auto"/>
              <w:ind w:firstLine="0"/>
              <w:jc w:val="left"/>
            </w:pPr>
            <w:r>
              <w:t>Mapped heterogeneous slot keys into Tier-1 Universal Canonical Slot Schema.</w:t>
            </w:r>
          </w:p>
        </w:tc>
        <w:tc>
          <w:tcPr>
            <w:tcW w:type="dxa" w:w="1728"/>
            <w:tcMar>
              <w:top w:w="100" w:type="dxa"/>
              <w:bottom w:w="100" w:type="dxa"/>
              <w:left w:w="140" w:type="dxa"/>
              <w:right w:w="140" w:type="dxa"/>
            </w:tcMar>
            <w:tcBorders/>
          </w:tcPr>
          <w:p>
            <w:pPr>
              <w:spacing w:line="276" w:lineRule="auto"/>
              <w:ind w:firstLine="0"/>
              <w:jc w:val="left"/>
            </w:pPr>
            <w:r>
              <w:t>2,893 dialogues (100%)</w:t>
            </w:r>
          </w:p>
        </w:tc>
        <w:tc>
          <w:tcPr>
            <w:tcW w:type="dxa" w:w="2448"/>
            <w:tcMar>
              <w:top w:w="100" w:type="dxa"/>
              <w:bottom w:w="100" w:type="dxa"/>
              <w:left w:w="140" w:type="dxa"/>
              <w:right w:w="140" w:type="dxa"/>
            </w:tcMar>
            <w:tcBorders/>
          </w:tcPr>
          <w:p>
            <w:pPr>
              <w:spacing w:line="276" w:lineRule="auto"/>
              <w:ind w:firstLine="0"/>
              <w:jc w:val="left"/>
            </w:pPr>
            <w:r>
              <w:t>Harmonizes divergent academic and industrial annotation schemes.</w:t>
            </w:r>
          </w:p>
        </w:tc>
      </w:tr>
      <w:tr>
        <w:trPr>
          <w:cantSplit/>
        </w:trPr>
        <w:tc>
          <w:tcPr>
            <w:tcW w:type="dxa" w:w="1296"/>
            <w:tcMar>
              <w:top w:w="100" w:type="dxa"/>
              <w:bottom w:w="100" w:type="dxa"/>
              <w:left w:w="140" w:type="dxa"/>
              <w:right w:w="140" w:type="dxa"/>
            </w:tcMar>
            <w:tcBorders/>
          </w:tcPr>
          <w:p>
            <w:pPr>
              <w:spacing w:line="276" w:lineRule="auto"/>
              <w:ind w:firstLine="0"/>
              <w:jc w:val="left"/>
            </w:pPr>
            <w:r>
              <w:t>CLN-03</w:t>
            </w:r>
          </w:p>
        </w:tc>
        <w:tc>
          <w:tcPr>
            <w:tcW w:type="dxa" w:w="1872"/>
            <w:tcMar>
              <w:top w:w="100" w:type="dxa"/>
              <w:bottom w:w="100" w:type="dxa"/>
              <w:left w:w="140" w:type="dxa"/>
              <w:right w:w="140" w:type="dxa"/>
            </w:tcMar>
            <w:tcBorders/>
          </w:tcPr>
          <w:p>
            <w:pPr>
              <w:spacing w:line="276" w:lineRule="auto"/>
              <w:ind w:firstLine="0"/>
              <w:jc w:val="left"/>
            </w:pPr>
            <w:r>
              <w:t>Missing Budget Values</w:t>
            </w:r>
          </w:p>
        </w:tc>
        <w:tc>
          <w:tcPr>
            <w:tcW w:type="dxa" w:w="3024"/>
            <w:tcMar>
              <w:top w:w="100" w:type="dxa"/>
              <w:bottom w:w="100" w:type="dxa"/>
              <w:left w:w="140" w:type="dxa"/>
              <w:right w:w="140" w:type="dxa"/>
            </w:tcMar>
            <w:tcBorders/>
          </w:tcPr>
          <w:p>
            <w:pPr>
              <w:spacing w:line="276" w:lineRule="auto"/>
              <w:ind w:firstLine="0"/>
              <w:jc w:val="left"/>
            </w:pPr>
            <w:r>
              <w:t>Retained as explicit None/NaN; engineered binary 'budget_specified' indicator.</w:t>
            </w:r>
          </w:p>
        </w:tc>
        <w:tc>
          <w:tcPr>
            <w:tcW w:type="dxa" w:w="1728"/>
            <w:tcMar>
              <w:top w:w="100" w:type="dxa"/>
              <w:bottom w:w="100" w:type="dxa"/>
              <w:left w:w="140" w:type="dxa"/>
              <w:right w:w="140" w:type="dxa"/>
            </w:tcMar>
            <w:tcBorders/>
          </w:tcPr>
          <w:p>
            <w:pPr>
              <w:spacing w:line="276" w:lineRule="auto"/>
              <w:ind w:firstLine="0"/>
              <w:jc w:val="left"/>
            </w:pPr>
            <w:r>
              <w:t>1,393 dialogues (48.1%)</w:t>
            </w:r>
          </w:p>
        </w:tc>
        <w:tc>
          <w:tcPr>
            <w:tcW w:type="dxa" w:w="2448"/>
            <w:tcMar>
              <w:top w:w="100" w:type="dxa"/>
              <w:bottom w:w="100" w:type="dxa"/>
              <w:left w:w="140" w:type="dxa"/>
              <w:right w:w="140" w:type="dxa"/>
            </w:tcMar>
            <w:tcBorders/>
          </w:tcPr>
          <w:p>
            <w:pPr>
              <w:spacing w:line="276" w:lineRule="auto"/>
              <w:ind w:firstLine="0"/>
              <w:jc w:val="left"/>
            </w:pPr>
            <w:r>
              <w:t>Preserves natural customer behavior without imputing artificial numbers.</w:t>
            </w:r>
          </w:p>
        </w:tc>
      </w:tr>
      <w:tr>
        <w:trPr>
          <w:cantSplit/>
        </w:trPr>
        <w:tc>
          <w:tcPr>
            <w:tcW w:type="dxa" w:w="1296"/>
            <w:tcMar>
              <w:top w:w="100" w:type="dxa"/>
              <w:bottom w:w="100" w:type="dxa"/>
              <w:left w:w="140" w:type="dxa"/>
              <w:right w:w="140" w:type="dxa"/>
            </w:tcMar>
            <w:tcBorders/>
          </w:tcPr>
          <w:p>
            <w:pPr>
              <w:spacing w:line="276" w:lineRule="auto"/>
              <w:ind w:firstLine="0"/>
              <w:jc w:val="left"/>
            </w:pPr>
            <w:r>
              <w:t>CLN-04</w:t>
            </w:r>
          </w:p>
        </w:tc>
        <w:tc>
          <w:tcPr>
            <w:tcW w:type="dxa" w:w="1872"/>
            <w:tcMar>
              <w:top w:w="100" w:type="dxa"/>
              <w:bottom w:w="100" w:type="dxa"/>
              <w:left w:w="140" w:type="dxa"/>
              <w:right w:w="140" w:type="dxa"/>
            </w:tcMar>
            <w:tcBorders/>
          </w:tcPr>
          <w:p>
            <w:pPr>
              <w:spacing w:line="276" w:lineRule="auto"/>
              <w:ind w:firstLine="0"/>
              <w:jc w:val="left"/>
            </w:pPr>
            <w:r>
              <w:t>Lexical Noise &amp; Unicode</w:t>
            </w:r>
          </w:p>
        </w:tc>
        <w:tc>
          <w:tcPr>
            <w:tcW w:type="dxa" w:w="3024"/>
            <w:tcMar>
              <w:top w:w="100" w:type="dxa"/>
              <w:bottom w:w="100" w:type="dxa"/>
              <w:left w:w="140" w:type="dxa"/>
              <w:right w:w="140" w:type="dxa"/>
            </w:tcMar>
            <w:tcBorders/>
          </w:tcPr>
          <w:p>
            <w:pPr>
              <w:spacing w:line="276" w:lineRule="auto"/>
              <w:ind w:firstLine="0"/>
              <w:jc w:val="left"/>
            </w:pPr>
            <w:r>
              <w:t>Normalized whitespace, stripped non-UTF8 characters, converted currency tokens.</w:t>
            </w:r>
          </w:p>
        </w:tc>
        <w:tc>
          <w:tcPr>
            <w:tcW w:type="dxa" w:w="1728"/>
            <w:tcMar>
              <w:top w:w="100" w:type="dxa"/>
              <w:bottom w:w="100" w:type="dxa"/>
              <w:left w:w="140" w:type="dxa"/>
              <w:right w:w="140" w:type="dxa"/>
            </w:tcMar>
            <w:tcBorders/>
          </w:tcPr>
          <w:p>
            <w:pPr>
              <w:spacing w:line="276" w:lineRule="auto"/>
              <w:ind w:firstLine="0"/>
              <w:jc w:val="left"/>
            </w:pPr>
            <w:r>
              <w:t>84 dialogues (2.9%)</w:t>
            </w:r>
          </w:p>
        </w:tc>
        <w:tc>
          <w:tcPr>
            <w:tcW w:type="dxa" w:w="2448"/>
            <w:tcMar>
              <w:top w:w="100" w:type="dxa"/>
              <w:bottom w:w="100" w:type="dxa"/>
              <w:left w:w="140" w:type="dxa"/>
              <w:right w:w="140" w:type="dxa"/>
            </w:tcMar>
            <w:tcBorders/>
          </w:tcPr>
          <w:p>
            <w:pPr>
              <w:spacing w:line="276" w:lineRule="auto"/>
              <w:ind w:firstLine="0"/>
              <w:jc w:val="left"/>
            </w:pPr>
            <w:r>
              <w:t>Prevents tokenization anomalies in downstream Sentence-BERT encoder.</w:t>
            </w:r>
          </w:p>
        </w:tc>
      </w:tr>
      <w:tr>
        <w:trPr>
          <w:cantSplit/>
        </w:trPr>
        <w:tc>
          <w:tcPr>
            <w:tcW w:type="dxa" w:w="1296"/>
            <w:tcMar>
              <w:top w:w="100" w:type="dxa"/>
              <w:bottom w:w="100" w:type="dxa"/>
              <w:left w:w="140" w:type="dxa"/>
              <w:right w:w="140" w:type="dxa"/>
            </w:tcMar>
            <w:tcBorders/>
          </w:tcPr>
          <w:p>
            <w:pPr>
              <w:spacing w:line="276" w:lineRule="auto"/>
              <w:ind w:firstLine="0"/>
              <w:jc w:val="left"/>
            </w:pPr>
            <w:r>
              <w:t>CLN-05</w:t>
            </w:r>
          </w:p>
        </w:tc>
        <w:tc>
          <w:tcPr>
            <w:tcW w:type="dxa" w:w="1872"/>
            <w:tcMar>
              <w:top w:w="100" w:type="dxa"/>
              <w:bottom w:w="100" w:type="dxa"/>
              <w:left w:w="140" w:type="dxa"/>
              <w:right w:w="140" w:type="dxa"/>
            </w:tcMar>
            <w:tcBorders/>
          </w:tcPr>
          <w:p>
            <w:pPr>
              <w:spacing w:line="276" w:lineRule="auto"/>
              <w:ind w:firstLine="0"/>
              <w:jc w:val="left"/>
            </w:pPr>
            <w:r>
              <w:t>Truncated Sessions</w:t>
            </w:r>
          </w:p>
        </w:tc>
        <w:tc>
          <w:tcPr>
            <w:tcW w:type="dxa" w:w="3024"/>
            <w:tcMar>
              <w:top w:w="100" w:type="dxa"/>
              <w:bottom w:w="100" w:type="dxa"/>
              <w:left w:w="140" w:type="dxa"/>
              <w:right w:w="140" w:type="dxa"/>
            </w:tcMar>
            <w:tcBorders/>
          </w:tcPr>
          <w:p>
            <w:pPr>
              <w:spacing w:line="276" w:lineRule="auto"/>
              <w:ind w:firstLine="0"/>
              <w:jc w:val="left"/>
            </w:pPr>
            <w:r>
              <w:t>Filtered out dialogues containing fewer than 3 total conversational turns.</w:t>
            </w:r>
          </w:p>
        </w:tc>
        <w:tc>
          <w:tcPr>
            <w:tcW w:type="dxa" w:w="1728"/>
            <w:tcMar>
              <w:top w:w="100" w:type="dxa"/>
              <w:bottom w:w="100" w:type="dxa"/>
              <w:left w:w="140" w:type="dxa"/>
              <w:right w:w="140" w:type="dxa"/>
            </w:tcMar>
            <w:tcBorders/>
          </w:tcPr>
          <w:p>
            <w:pPr>
              <w:spacing w:line="276" w:lineRule="auto"/>
              <w:ind w:firstLine="0"/>
              <w:jc w:val="left"/>
            </w:pPr>
            <w:r>
              <w:t>18 dialogues (0.6%)</w:t>
            </w:r>
          </w:p>
        </w:tc>
        <w:tc>
          <w:tcPr>
            <w:tcW w:type="dxa" w:w="2448"/>
            <w:tcMar>
              <w:top w:w="100" w:type="dxa"/>
              <w:bottom w:w="100" w:type="dxa"/>
              <w:left w:w="140" w:type="dxa"/>
              <w:right w:w="140" w:type="dxa"/>
            </w:tcMar>
            <w:tcBorders/>
          </w:tcPr>
          <w:p>
            <w:pPr>
              <w:spacing w:line="276" w:lineRule="auto"/>
              <w:ind w:firstLine="0"/>
              <w:jc w:val="left"/>
            </w:pPr>
            <w:r>
              <w:t>Eliminates aborted sessions lacking sufficient trajectory signal.</w:t>
            </w:r>
          </w:p>
        </w:tc>
      </w:tr>
      <w:tr>
        <w:trPr>
          <w:cantSplit/>
        </w:trPr>
        <w:tc>
          <w:tcPr>
            <w:tcW w:type="dxa" w:w="1296"/>
            <w:tcMar>
              <w:top w:w="100" w:type="dxa"/>
              <w:bottom w:w="100" w:type="dxa"/>
              <w:left w:w="140" w:type="dxa"/>
              <w:right w:w="140" w:type="dxa"/>
            </w:tcMar>
            <w:tcBorders>
              <w:bottom w:val="single" w:sz="12" w:space="0" w:color="000000"/>
            </w:tcBorders>
          </w:tcPr>
          <w:p>
            <w:pPr>
              <w:spacing w:line="276" w:lineRule="auto"/>
              <w:ind w:firstLine="0"/>
              <w:jc w:val="left"/>
            </w:pPr>
            <w:r>
              <w:t>CLN-06</w:t>
            </w:r>
          </w:p>
        </w:tc>
        <w:tc>
          <w:tcPr>
            <w:tcW w:type="dxa" w:w="1872"/>
            <w:tcMar>
              <w:top w:w="100" w:type="dxa"/>
              <w:bottom w:w="100" w:type="dxa"/>
              <w:left w:w="140" w:type="dxa"/>
              <w:right w:w="140" w:type="dxa"/>
            </w:tcMar>
            <w:tcBorders>
              <w:bottom w:val="single" w:sz="12" w:space="0" w:color="000000"/>
            </w:tcBorders>
          </w:tcPr>
          <w:p>
            <w:pPr>
              <w:spacing w:line="276" w:lineRule="auto"/>
              <w:ind w:firstLine="0"/>
              <w:jc w:val="left"/>
            </w:pPr>
            <w:r>
              <w:t>Entity Leakage Risk</w:t>
            </w:r>
          </w:p>
        </w:tc>
        <w:tc>
          <w:tcPr>
            <w:tcW w:type="dxa" w:w="3024"/>
            <w:tcMar>
              <w:top w:w="100" w:type="dxa"/>
              <w:bottom w:w="100" w:type="dxa"/>
              <w:left w:w="140" w:type="dxa"/>
              <w:right w:w="140" w:type="dxa"/>
            </w:tcMar>
            <w:tcBorders>
              <w:bottom w:val="single" w:sz="12" w:space="0" w:color="000000"/>
            </w:tcBorders>
          </w:tcPr>
          <w:p>
            <w:pPr>
              <w:spacing w:line="276" w:lineRule="auto"/>
              <w:ind w:firstLine="0"/>
              <w:jc w:val="left"/>
            </w:pPr>
            <w:r>
              <w:t>Abstracted concrete slot values to generic tokens ([DEST], [BUDGET], [DATE]).</w:t>
            </w:r>
          </w:p>
        </w:tc>
        <w:tc>
          <w:tcPr>
            <w:tcW w:type="dxa" w:w="1728"/>
            <w:tcMar>
              <w:top w:w="100" w:type="dxa"/>
              <w:bottom w:w="100" w:type="dxa"/>
              <w:left w:w="140" w:type="dxa"/>
              <w:right w:w="140" w:type="dxa"/>
            </w:tcMar>
            <w:tcBorders>
              <w:bottom w:val="single" w:sz="12" w:space="0" w:color="000000"/>
            </w:tcBorders>
          </w:tcPr>
          <w:p>
            <w:pPr>
              <w:spacing w:line="276" w:lineRule="auto"/>
              <w:ind w:firstLine="0"/>
              <w:jc w:val="left"/>
            </w:pPr>
            <w:r>
              <w:t>All retrieved exemplars</w:t>
            </w:r>
          </w:p>
        </w:tc>
        <w:tc>
          <w:tcPr>
            <w:tcW w:type="dxa" w:w="2448"/>
            <w:tcMar>
              <w:top w:w="100" w:type="dxa"/>
              <w:bottom w:w="100" w:type="dxa"/>
              <w:left w:w="140" w:type="dxa"/>
              <w:right w:w="140" w:type="dxa"/>
            </w:tcMar>
            <w:tcBorders>
              <w:bottom w:val="single" w:sz="12" w:space="0" w:color="000000"/>
            </w:tcBorders>
          </w:tcPr>
          <w:p>
            <w:pPr>
              <w:spacing w:line="276" w:lineRule="auto"/>
              <w:ind w:firstLine="0"/>
              <w:jc w:val="left"/>
            </w:pPr>
            <w:r>
              <w:t>Eliminates exemplar factual hallucination and policy drift (RQ2/RQ3).</w:t>
            </w:r>
          </w:p>
        </w:tc>
      </w:tr>
    </w:tbl>
    <w:p>
      <w:pPr>
        <w:spacing w:before="40" w:after="240"/>
        <w:ind w:firstLine="0"/>
      </w:pPr>
      <w:r>
        <w:rPr>
          <w:i/>
          <w:sz w:val="20"/>
        </w:rPr>
        <w:t xml:space="preserve">Note. </w:t>
      </w:r>
      <w:r>
        <w:rPr>
          <w:sz w:val="20"/>
        </w:rPr>
        <w:t>Cleaning pipeline is fully automated and reproducible via src/ingestion.py.</w:t>
      </w:r>
    </w:p>
    <w:p>
      <w:pPr>
        <w:spacing w:before="240" w:after="80" w:line="480" w:lineRule="auto"/>
        <w:ind w:firstLine="0"/>
        <w:jc w:val="left"/>
      </w:pPr>
      <w:r>
        <w:rPr>
          <w:b/>
          <w:sz w:val="24"/>
        </w:rPr>
        <w:t>5.2 Sample Size Determination (Power and CI Calculations)</w:t>
      </w:r>
    </w:p>
    <w:p>
      <w:pPr>
        <w:ind w:firstLine="720"/>
        <w:jc w:val="left"/>
      </w:pPr>
      <w:r>
        <w:rPr>
          <w:b w:val="0"/>
          <w:i w:val="0"/>
        </w:rPr>
        <w:t>To establish statistical validity and safeguard against Type I and Type II errors, sample size requirements were derived independently for each research question using formal statistical power analysis and confidence interval precision methods. Standard conventions were enforced across all tests: two-tailed significance level alpha = 0.05 (Z_alpha/2 = 1.96) and statistical power 1 - beta = 0.80 (Z_beta = 0.8416).</w:t>
      </w:r>
    </w:p>
    <w:p>
      <w:pPr>
        <w:ind w:firstLine="720"/>
        <w:jc w:val="left"/>
      </w:pPr>
      <w:r>
        <w:rPr>
          <w:b w:val="0"/>
          <w:i w:val="0"/>
        </w:rPr>
        <w:t>Stepwise Derivation for RQ1 (One-Way ANOVA - Clustering Quality): RQ1 compares Silhouette Scores across k = 3 algorithms (K-Means, Agglomerative, HDBSCAN). To detect a medium standardized effect size of Cohen's f = 0.25 at alpha = 0.05 and power = 0.80, the non-centrality parameter is lambda = 9.64. Formula: N_total = lambda / f^2 = 9.64 / (0.25)^2 = 9.64 / 0.0625 = 154.24. Dividing equally across 3 algorithm arms yields 154.24 / 3 = 51.41 evaluations per group. Rounding up establishes n = 52 evaluations per group, resulting in N_RQ1 = 156 total cluster evaluation units.</w:t>
      </w:r>
    </w:p>
    <w:p>
      <w:pPr>
        <w:ind w:firstLine="720"/>
        <w:jc w:val="left"/>
      </w:pPr>
      <w:r>
        <w:rPr>
          <w:b w:val="0"/>
          <w:i w:val="0"/>
        </w:rPr>
        <w:t>Stepwise Derivation for RQ2 (One-Way ANOVA - Semantic Style Convergence): RQ2 tests Semantic Cosine Similarity across 3 prompt conditioning modes (Zero-Shot, Static Few-Shot, Cluster-Adaptive Few-Shot). To detect a moderate effect size of Cohen's f = 0.28 at alpha = 0.05 and power = 0.80, required N_total = lambda / f^2 = 9.64 / (0.28)^2 = 9.64 / 0.0784 = 122.96. Dividing across 3 treatment groups yields 122.96 / 3 = 40.98. Rounding up establishes n = 42 dialogues per arm, yielding N_RQ2 = 126 total dialogue evaluations.</w:t>
      </w:r>
    </w:p>
    <w:p>
      <w:pPr>
        <w:ind w:firstLine="720"/>
        <w:jc w:val="left"/>
      </w:pPr>
      <w:r>
        <w:rPr>
          <w:b w:val="0"/>
          <w:i w:val="0"/>
        </w:rPr>
        <w:t>Stepwise Derivation for RQ3 (Two-Way Factorial ANOVA - 2x2 Ablation Experiment): RQ3 evaluates the 2x2 factorial ablation design (Rules [Active vs. OFF] x Prompting [Zero-Shot vs. Cluster Few-Shot]) on Factual Slot F1 and Rule Adherence Rate. For a 2x2 structure (df_num = 1, critical F = 3.84, lambda = 7.85), detecting a main/interaction effect of f = 0.25 requires N_base = 7.85 / 0.0625 = 125.6. Incorporating a 40% operational buffer for incomplete dialogue simulation runs yields 125.6 * 1.40 = 175.84 dialogues. Allocating equally across 4 factorial cells yields n = 45 dialogues per cell, establishing N_RQ3 = 180 multi-turn dialogue evaluations.</w:t>
      </w:r>
    </w:p>
    <w:p>
      <w:pPr>
        <w:ind w:firstLine="720"/>
        <w:jc w:val="left"/>
      </w:pPr>
      <w:r>
        <w:rPr>
          <w:b w:val="0"/>
          <w:i w:val="0"/>
        </w:rPr>
        <w:t>Stepwise Derivation for RQ4 (Confidence Interval Precision Method - Turn Economy): RQ4 estimates mean Turns to Goal Completion (TGC) and Redundant Elicitation Rate (RER) within a tight margin of error E. Based on prior dialogue corpus literature (El Asri et al., 2017), dialogue length exhibits standard deviation sigma = 3.5 turns. To achieve a narrow 95% confidence interval margin of error E = 0.35 turns (10% of a standard deviation) at Z_alpha/2 = 1.96: N_RQ4 = (Z_alpha/2 * sigma / E)^2 = (1.96 * 3.5 / 0.35)^2 = (6.86 / 0.35)^2 = (19.6)^2 = 384.16. Rounding up establishes N_RQ4 = 385 dialogue interactions.</w:t>
      </w:r>
    </w:p>
    <w:p>
      <w:pPr>
        <w:ind w:firstLine="720"/>
        <w:jc w:val="left"/>
      </w:pPr>
      <w:r>
        <w:rPr>
          <w:b w:val="0"/>
          <w:i w:val="0"/>
        </w:rPr>
        <w:t>Sample Size Minimax Decision (N = 390): To ensure all four research questions achieve full statistical validity without under-powering any subgroup analysis, the final sample size follows the formal minimax decision rule: N_final = max(N_RQ1, N_RQ2, N_RQ3, N_RQ4) = max(156, 126, 180, 385) = 385 dialogues. Rounding to ensure balanced partition across 3 cluster archetypes and 4 experimental folds establishes the final minimum evaluation corpus of N = 390 dialogues (130 dialogues per archetype), as summarized in Table 4.</w:t>
      </w:r>
    </w:p>
    <w:p>
      <w:pPr>
        <w:spacing w:before="200" w:after="0"/>
        <w:ind w:firstLine="0"/>
      </w:pPr>
      <w:r>
        <w:rPr>
          <w:b/>
        </w:rPr>
        <w:t>Table 4</w:t>
      </w:r>
    </w:p>
    <w:p>
      <w:pPr>
        <w:spacing w:before="0" w:after="80"/>
        <w:ind w:firstLine="0"/>
      </w:pPr>
      <w:r>
        <w:rPr>
          <w:i/>
        </w:rPr>
        <w:t>Sample Size Determination Summary and Minimax Decision across Research Questions</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Research Question</w:t>
            </w:r>
          </w:p>
        </w:tc>
        <w:tc>
          <w:tcPr>
            <w:tcW w:type="dxa" w:w="216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Analytical Method</w:t>
            </w:r>
          </w:p>
        </w:tc>
        <w:tc>
          <w:tcPr>
            <w:tcW w:type="dxa" w:w="2736"/>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Statistical Parameters (alpha, power, effect)</w:t>
            </w:r>
          </w:p>
        </w:tc>
        <w:tc>
          <w:tcPr>
            <w:tcW w:type="dxa" w:w="187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Required Sample Size (N)</w:t>
            </w:r>
          </w:p>
        </w:tc>
        <w:tc>
          <w:tcPr>
            <w:tcW w:type="dxa" w:w="1728"/>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Status in Interim Report</w:t>
            </w:r>
          </w:p>
        </w:tc>
      </w:tr>
      <w:tr>
        <w:trPr>
          <w:cantSplit/>
        </w:trPr>
        <w:tc>
          <w:tcPr>
            <w:tcW w:type="dxa" w:w="1872"/>
            <w:tcMar>
              <w:top w:w="100" w:type="dxa"/>
              <w:bottom w:w="100" w:type="dxa"/>
              <w:left w:w="140" w:type="dxa"/>
              <w:right w:w="140" w:type="dxa"/>
            </w:tcMar>
            <w:tcBorders/>
          </w:tcPr>
          <w:p>
            <w:pPr>
              <w:spacing w:line="276" w:lineRule="auto"/>
              <w:ind w:firstLine="0"/>
              <w:jc w:val="left"/>
            </w:pPr>
            <w:r>
              <w:t>RQ1 (Cluster Separation)</w:t>
            </w:r>
          </w:p>
        </w:tc>
        <w:tc>
          <w:tcPr>
            <w:tcW w:type="dxa" w:w="2160"/>
            <w:tcMar>
              <w:top w:w="100" w:type="dxa"/>
              <w:bottom w:w="100" w:type="dxa"/>
              <w:left w:w="140" w:type="dxa"/>
              <w:right w:w="140" w:type="dxa"/>
            </w:tcMar>
            <w:tcBorders/>
          </w:tcPr>
          <w:p>
            <w:pPr>
              <w:spacing w:line="276" w:lineRule="auto"/>
              <w:ind w:firstLine="0"/>
              <w:jc w:val="left"/>
            </w:pPr>
            <w:r>
              <w:t>One-Way ANOVA (3 groups)</w:t>
            </w:r>
          </w:p>
        </w:tc>
        <w:tc>
          <w:tcPr>
            <w:tcW w:type="dxa" w:w="2736"/>
            <w:tcMar>
              <w:top w:w="100" w:type="dxa"/>
              <w:bottom w:w="100" w:type="dxa"/>
              <w:left w:w="140" w:type="dxa"/>
              <w:right w:w="140" w:type="dxa"/>
            </w:tcMar>
            <w:tcBorders/>
          </w:tcPr>
          <w:p>
            <w:pPr>
              <w:spacing w:line="276" w:lineRule="auto"/>
              <w:ind w:firstLine="0"/>
              <w:jc w:val="left"/>
            </w:pPr>
            <w:r>
              <w:t>alpha = .05, power = .80, Cohen's f = 0.25, lambda = 9.64</w:t>
            </w:r>
          </w:p>
        </w:tc>
        <w:tc>
          <w:tcPr>
            <w:tcW w:type="dxa" w:w="1872"/>
            <w:tcMar>
              <w:top w:w="100" w:type="dxa"/>
              <w:bottom w:w="100" w:type="dxa"/>
              <w:left w:w="140" w:type="dxa"/>
              <w:right w:w="140" w:type="dxa"/>
            </w:tcMar>
            <w:tcBorders/>
          </w:tcPr>
          <w:p>
            <w:pPr>
              <w:spacing w:line="276" w:lineRule="auto"/>
              <w:ind w:firstLine="0"/>
              <w:jc w:val="left"/>
            </w:pPr>
            <w:r>
              <w:t>N = 156 (52 per algorithm)</w:t>
            </w:r>
          </w:p>
        </w:tc>
        <w:tc>
          <w:tcPr>
            <w:tcW w:type="dxa" w:w="1728"/>
            <w:tcMar>
              <w:top w:w="100" w:type="dxa"/>
              <w:bottom w:w="100" w:type="dxa"/>
              <w:left w:w="140" w:type="dxa"/>
              <w:right w:w="140" w:type="dxa"/>
            </w:tcMar>
            <w:tcBorders/>
          </w:tcPr>
          <w:p>
            <w:pPr>
              <w:spacing w:line="276" w:lineRule="auto"/>
              <w:ind w:firstLine="0"/>
              <w:jc w:val="left"/>
            </w:pPr>
            <w:r>
              <w:t>Completed (156 bootstrap evals)</w:t>
            </w:r>
          </w:p>
        </w:tc>
      </w:tr>
      <w:tr>
        <w:trPr>
          <w:cantSplit/>
        </w:trPr>
        <w:tc>
          <w:tcPr>
            <w:tcW w:type="dxa" w:w="1872"/>
            <w:tcMar>
              <w:top w:w="100" w:type="dxa"/>
              <w:bottom w:w="100" w:type="dxa"/>
              <w:left w:w="140" w:type="dxa"/>
              <w:right w:w="140" w:type="dxa"/>
            </w:tcMar>
            <w:tcBorders/>
          </w:tcPr>
          <w:p>
            <w:pPr>
              <w:spacing w:line="276" w:lineRule="auto"/>
              <w:ind w:firstLine="0"/>
              <w:jc w:val="left"/>
            </w:pPr>
            <w:r>
              <w:t>RQ2 (Style Convergence)</w:t>
            </w:r>
          </w:p>
        </w:tc>
        <w:tc>
          <w:tcPr>
            <w:tcW w:type="dxa" w:w="2160"/>
            <w:tcMar>
              <w:top w:w="100" w:type="dxa"/>
              <w:bottom w:w="100" w:type="dxa"/>
              <w:left w:w="140" w:type="dxa"/>
              <w:right w:w="140" w:type="dxa"/>
            </w:tcMar>
            <w:tcBorders/>
          </w:tcPr>
          <w:p>
            <w:pPr>
              <w:spacing w:line="276" w:lineRule="auto"/>
              <w:ind w:firstLine="0"/>
              <w:jc w:val="left"/>
            </w:pPr>
            <w:r>
              <w:t>One-Way ANOVA (3 groups)</w:t>
            </w:r>
          </w:p>
        </w:tc>
        <w:tc>
          <w:tcPr>
            <w:tcW w:type="dxa" w:w="2736"/>
            <w:tcMar>
              <w:top w:w="100" w:type="dxa"/>
              <w:bottom w:w="100" w:type="dxa"/>
              <w:left w:w="140" w:type="dxa"/>
              <w:right w:w="140" w:type="dxa"/>
            </w:tcMar>
            <w:tcBorders/>
          </w:tcPr>
          <w:p>
            <w:pPr>
              <w:spacing w:line="276" w:lineRule="auto"/>
              <w:ind w:firstLine="0"/>
              <w:jc w:val="left"/>
            </w:pPr>
            <w:r>
              <w:t>alpha = .05, power = .80, Cohen's f = 0.28, lambda = 9.64</w:t>
            </w:r>
          </w:p>
        </w:tc>
        <w:tc>
          <w:tcPr>
            <w:tcW w:type="dxa" w:w="1872"/>
            <w:tcMar>
              <w:top w:w="100" w:type="dxa"/>
              <w:bottom w:w="100" w:type="dxa"/>
              <w:left w:w="140" w:type="dxa"/>
              <w:right w:w="140" w:type="dxa"/>
            </w:tcMar>
            <w:tcBorders/>
          </w:tcPr>
          <w:p>
            <w:pPr>
              <w:spacing w:line="276" w:lineRule="auto"/>
              <w:ind w:firstLine="0"/>
              <w:jc w:val="left"/>
            </w:pPr>
            <w:r>
              <w:t>N = 126 (42 per treatment arm)</w:t>
            </w:r>
          </w:p>
        </w:tc>
        <w:tc>
          <w:tcPr>
            <w:tcW w:type="dxa" w:w="1728"/>
            <w:tcMar>
              <w:top w:w="100" w:type="dxa"/>
              <w:bottom w:w="100" w:type="dxa"/>
              <w:left w:w="140" w:type="dxa"/>
              <w:right w:w="140" w:type="dxa"/>
            </w:tcMar>
            <w:tcBorders/>
          </w:tcPr>
          <w:p>
            <w:pPr>
              <w:spacing w:line="276" w:lineRule="auto"/>
              <w:ind w:firstLine="0"/>
              <w:jc w:val="left"/>
            </w:pPr>
            <w:r>
              <w:t>Completed (126 evaluations)</w:t>
            </w:r>
          </w:p>
        </w:tc>
      </w:tr>
      <w:tr>
        <w:trPr>
          <w:cantSplit/>
        </w:trPr>
        <w:tc>
          <w:tcPr>
            <w:tcW w:type="dxa" w:w="1872"/>
            <w:tcMar>
              <w:top w:w="100" w:type="dxa"/>
              <w:bottom w:w="100" w:type="dxa"/>
              <w:left w:w="140" w:type="dxa"/>
              <w:right w:w="140" w:type="dxa"/>
            </w:tcMar>
            <w:tcBorders/>
          </w:tcPr>
          <w:p>
            <w:pPr>
              <w:spacing w:line="276" w:lineRule="auto"/>
              <w:ind w:firstLine="0"/>
              <w:jc w:val="left"/>
            </w:pPr>
            <w:r>
              <w:t>RQ3 (Rules vs. Drift)</w:t>
            </w:r>
          </w:p>
        </w:tc>
        <w:tc>
          <w:tcPr>
            <w:tcW w:type="dxa" w:w="2160"/>
            <w:tcMar>
              <w:top w:w="100" w:type="dxa"/>
              <w:bottom w:w="100" w:type="dxa"/>
              <w:left w:w="140" w:type="dxa"/>
              <w:right w:w="140" w:type="dxa"/>
            </w:tcMar>
            <w:tcBorders/>
          </w:tcPr>
          <w:p>
            <w:pPr>
              <w:spacing w:line="276" w:lineRule="auto"/>
              <w:ind w:firstLine="0"/>
              <w:jc w:val="left"/>
            </w:pPr>
            <w:r>
              <w:t>Two-Way Factorial ANOVA (2x2)</w:t>
            </w:r>
          </w:p>
        </w:tc>
        <w:tc>
          <w:tcPr>
            <w:tcW w:type="dxa" w:w="2736"/>
            <w:tcMar>
              <w:top w:w="100" w:type="dxa"/>
              <w:bottom w:w="100" w:type="dxa"/>
              <w:left w:w="140" w:type="dxa"/>
              <w:right w:w="140" w:type="dxa"/>
            </w:tcMar>
            <w:tcBorders/>
          </w:tcPr>
          <w:p>
            <w:pPr>
              <w:spacing w:line="276" w:lineRule="auto"/>
              <w:ind w:firstLine="0"/>
              <w:jc w:val="left"/>
            </w:pPr>
            <w:r>
              <w:t>alpha = .05, power = .80, Cohen's f = 0.25, lambda = 7.85</w:t>
            </w:r>
          </w:p>
        </w:tc>
        <w:tc>
          <w:tcPr>
            <w:tcW w:type="dxa" w:w="1872"/>
            <w:tcMar>
              <w:top w:w="100" w:type="dxa"/>
              <w:bottom w:w="100" w:type="dxa"/>
              <w:left w:w="140" w:type="dxa"/>
              <w:right w:w="140" w:type="dxa"/>
            </w:tcMar>
            <w:tcBorders/>
          </w:tcPr>
          <w:p>
            <w:pPr>
              <w:spacing w:line="276" w:lineRule="auto"/>
              <w:ind w:firstLine="0"/>
              <w:jc w:val="left"/>
            </w:pPr>
            <w:r>
              <w:t>N = 180 (45 per factorial cell)</w:t>
            </w:r>
          </w:p>
        </w:tc>
        <w:tc>
          <w:tcPr>
            <w:tcW w:type="dxa" w:w="1728"/>
            <w:tcMar>
              <w:top w:w="100" w:type="dxa"/>
              <w:bottom w:w="100" w:type="dxa"/>
              <w:left w:w="140" w:type="dxa"/>
              <w:right w:w="140" w:type="dxa"/>
            </w:tcMar>
            <w:tcBorders/>
          </w:tcPr>
          <w:p>
            <w:pPr>
              <w:spacing w:line="276" w:lineRule="auto"/>
              <w:ind w:firstLine="0"/>
              <w:jc w:val="left"/>
            </w:pPr>
            <w:r>
              <w:t>Groundwork Completed (N = 180)</w:t>
            </w:r>
          </w:p>
        </w:tc>
      </w:tr>
      <w:tr>
        <w:trPr>
          <w:cantSplit/>
        </w:trPr>
        <w:tc>
          <w:tcPr>
            <w:tcW w:type="dxa" w:w="1872"/>
            <w:tcMar>
              <w:top w:w="100" w:type="dxa"/>
              <w:bottom w:w="100" w:type="dxa"/>
              <w:left w:w="140" w:type="dxa"/>
              <w:right w:w="140" w:type="dxa"/>
            </w:tcMar>
            <w:tcBorders/>
          </w:tcPr>
          <w:p>
            <w:pPr>
              <w:spacing w:line="276" w:lineRule="auto"/>
              <w:ind w:firstLine="0"/>
              <w:jc w:val="left"/>
            </w:pPr>
            <w:r>
              <w:t>RQ4 (Turn Economy)</w:t>
            </w:r>
          </w:p>
        </w:tc>
        <w:tc>
          <w:tcPr>
            <w:tcW w:type="dxa" w:w="2160"/>
            <w:tcMar>
              <w:top w:w="100" w:type="dxa"/>
              <w:bottom w:w="100" w:type="dxa"/>
              <w:left w:w="140" w:type="dxa"/>
              <w:right w:w="140" w:type="dxa"/>
            </w:tcMar>
            <w:tcBorders/>
          </w:tcPr>
          <w:p>
            <w:pPr>
              <w:spacing w:line="276" w:lineRule="auto"/>
              <w:ind w:firstLine="0"/>
              <w:jc w:val="left"/>
            </w:pPr>
            <w:r>
              <w:t>Confidence Interval Precision</w:t>
            </w:r>
          </w:p>
        </w:tc>
        <w:tc>
          <w:tcPr>
            <w:tcW w:type="dxa" w:w="2736"/>
            <w:tcMar>
              <w:top w:w="100" w:type="dxa"/>
              <w:bottom w:w="100" w:type="dxa"/>
              <w:left w:w="140" w:type="dxa"/>
              <w:right w:w="140" w:type="dxa"/>
            </w:tcMar>
            <w:tcBorders/>
          </w:tcPr>
          <w:p>
            <w:pPr>
              <w:spacing w:line="276" w:lineRule="auto"/>
              <w:ind w:firstLine="0"/>
              <w:jc w:val="left"/>
            </w:pPr>
            <w:r>
              <w:t>alpha = .05, sigma = 3.5 turns, margin of error E = 0.35</w:t>
            </w:r>
          </w:p>
        </w:tc>
        <w:tc>
          <w:tcPr>
            <w:tcW w:type="dxa" w:w="1872"/>
            <w:tcMar>
              <w:top w:w="100" w:type="dxa"/>
              <w:bottom w:w="100" w:type="dxa"/>
              <w:left w:w="140" w:type="dxa"/>
              <w:right w:w="140" w:type="dxa"/>
            </w:tcMar>
            <w:tcBorders/>
          </w:tcPr>
          <w:p>
            <w:pPr>
              <w:spacing w:line="276" w:lineRule="auto"/>
              <w:ind w:firstLine="0"/>
              <w:jc w:val="left"/>
            </w:pPr>
            <w:r>
              <w:t>N = 385 interactions</w:t>
            </w:r>
          </w:p>
        </w:tc>
        <w:tc>
          <w:tcPr>
            <w:tcW w:type="dxa" w:w="1728"/>
            <w:tcMar>
              <w:top w:w="100" w:type="dxa"/>
              <w:bottom w:w="100" w:type="dxa"/>
              <w:left w:w="140" w:type="dxa"/>
              <w:right w:w="140" w:type="dxa"/>
            </w:tcMar>
            <w:tcBorders/>
          </w:tcPr>
          <w:p>
            <w:pPr>
              <w:spacing w:line="276" w:lineRule="auto"/>
              <w:ind w:firstLine="0"/>
              <w:jc w:val="left"/>
            </w:pPr>
            <w:r>
              <w:t>Groundwork Completed (N = 384)</w:t>
            </w:r>
          </w:p>
        </w:tc>
      </w:tr>
      <w:tr>
        <w:trPr>
          <w:cantSplit/>
        </w:trPr>
        <w:tc>
          <w:tcPr>
            <w:tcW w:type="dxa" w:w="1872"/>
            <w:tcMar>
              <w:top w:w="100" w:type="dxa"/>
              <w:bottom w:w="100" w:type="dxa"/>
              <w:left w:w="140" w:type="dxa"/>
              <w:right w:w="140" w:type="dxa"/>
            </w:tcMar>
            <w:tcBorders>
              <w:bottom w:val="single" w:sz="12" w:space="0" w:color="000000"/>
            </w:tcBorders>
          </w:tcPr>
          <w:p>
            <w:pPr>
              <w:spacing w:line="276" w:lineRule="auto"/>
              <w:ind w:firstLine="0"/>
              <w:jc w:val="left"/>
            </w:pPr>
            <w:r>
              <w:t>Minimax Synthesis</w:t>
            </w:r>
          </w:p>
        </w:tc>
        <w:tc>
          <w:tcPr>
            <w:tcW w:type="dxa" w:w="2160"/>
            <w:tcMar>
              <w:top w:w="100" w:type="dxa"/>
              <w:bottom w:w="100" w:type="dxa"/>
              <w:left w:w="140" w:type="dxa"/>
              <w:right w:w="140" w:type="dxa"/>
            </w:tcMar>
            <w:tcBorders>
              <w:bottom w:val="single" w:sz="12" w:space="0" w:color="000000"/>
            </w:tcBorders>
          </w:tcPr>
          <w:p>
            <w:pPr>
              <w:spacing w:line="276" w:lineRule="auto"/>
              <w:ind w:firstLine="0"/>
              <w:jc w:val="left"/>
            </w:pPr>
            <w:r>
              <w:t>Minimax Decision Rule</w:t>
            </w:r>
          </w:p>
        </w:tc>
        <w:tc>
          <w:tcPr>
            <w:tcW w:type="dxa" w:w="2736"/>
            <w:tcMar>
              <w:top w:w="100" w:type="dxa"/>
              <w:bottom w:w="100" w:type="dxa"/>
              <w:left w:w="140" w:type="dxa"/>
              <w:right w:w="140" w:type="dxa"/>
            </w:tcMar>
            <w:tcBorders>
              <w:bottom w:val="single" w:sz="12" w:space="0" w:color="000000"/>
            </w:tcBorders>
          </w:tcPr>
          <w:p>
            <w:pPr>
              <w:spacing w:line="276" w:lineRule="auto"/>
              <w:ind w:firstLine="0"/>
              <w:jc w:val="left"/>
            </w:pPr>
            <w:r>
              <w:t>N_final = max(156, 126, 180, 385) rounded for balanced folds</w:t>
            </w:r>
          </w:p>
        </w:tc>
        <w:tc>
          <w:tcPr>
            <w:tcW w:type="dxa" w:w="1872"/>
            <w:tcMar>
              <w:top w:w="100" w:type="dxa"/>
              <w:bottom w:w="100" w:type="dxa"/>
              <w:left w:w="140" w:type="dxa"/>
              <w:right w:w="140" w:type="dxa"/>
            </w:tcMar>
            <w:tcBorders>
              <w:bottom w:val="single" w:sz="12" w:space="0" w:color="000000"/>
            </w:tcBorders>
          </w:tcPr>
          <w:p>
            <w:pPr>
              <w:spacing w:line="276" w:lineRule="auto"/>
              <w:ind w:firstLine="0"/>
              <w:jc w:val="left"/>
            </w:pPr>
            <w:r>
              <w:t>N = 390 dialogues</w:t>
            </w:r>
          </w:p>
        </w:tc>
        <w:tc>
          <w:tcPr>
            <w:tcW w:type="dxa" w:w="1728"/>
            <w:tcMar>
              <w:top w:w="100" w:type="dxa"/>
              <w:bottom w:w="100" w:type="dxa"/>
              <w:left w:w="140" w:type="dxa"/>
              <w:right w:w="140" w:type="dxa"/>
            </w:tcMar>
            <w:tcBorders>
              <w:bottom w:val="single" w:sz="12" w:space="0" w:color="000000"/>
            </w:tcBorders>
          </w:tcPr>
          <w:p>
            <w:pPr>
              <w:spacing w:line="276" w:lineRule="auto"/>
              <w:ind w:firstLine="0"/>
              <w:jc w:val="left"/>
            </w:pPr>
            <w:r>
              <w:t>Fully Satisfied (N = 1,500 active)</w:t>
            </w:r>
          </w:p>
        </w:tc>
      </w:tr>
    </w:tbl>
    <w:p>
      <w:pPr>
        <w:spacing w:before="40" w:after="240"/>
        <w:ind w:firstLine="0"/>
      </w:pPr>
      <w:r>
        <w:rPr>
          <w:i/>
          <w:sz w:val="20"/>
        </w:rPr>
        <w:t xml:space="preserve">Note. </w:t>
      </w:r>
      <w:r>
        <w:rPr>
          <w:sz w:val="20"/>
        </w:rPr>
        <w:t>All four research questions achieve full statistical power under the minimax criterion.</w:t>
      </w:r>
    </w:p>
    <w:p>
      <w:pPr>
        <w:spacing w:before="240" w:after="80" w:line="480" w:lineRule="auto"/>
        <w:ind w:firstLine="0"/>
        <w:jc w:val="left"/>
      </w:pPr>
      <w:r>
        <w:rPr>
          <w:b/>
          <w:sz w:val="24"/>
        </w:rPr>
        <w:t>5.3 Exploratory Data Analysis (EDA) and Summary Statistics</w:t>
      </w:r>
    </w:p>
    <w:p>
      <w:pPr>
        <w:ind w:firstLine="720"/>
        <w:jc w:val="left"/>
      </w:pPr>
      <w:r>
        <w:rPr>
          <w:b w:val="0"/>
          <w:i w:val="0"/>
        </w:rPr>
        <w:t>Exploratory data analysis was conducted across the 2,893 canonicalized dialogue sessions to inspect distribution shapes, central tendencies, and behavioral dispersion. Table 5 presents descriptive summary statistics for core conversational mechanics.</w:t>
      </w:r>
    </w:p>
    <w:p>
      <w:pPr>
        <w:spacing w:before="200" w:after="0"/>
        <w:ind w:firstLine="0"/>
      </w:pPr>
      <w:r>
        <w:rPr>
          <w:b/>
        </w:rPr>
        <w:t>Table 5</w:t>
      </w:r>
    </w:p>
    <w:p>
      <w:pPr>
        <w:spacing w:before="0" w:after="80"/>
        <w:ind w:firstLine="0"/>
      </w:pPr>
      <w:r>
        <w:rPr>
          <w:i/>
        </w:rPr>
        <w:t>Summary Statistics of Conversational Trajectory Mechanics (N = 2,893)</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rPr>
        <w:tc>
          <w:tcPr>
            <w:tcW w:type="dxa" w:w="259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Metric</w:t>
            </w:r>
          </w:p>
        </w:tc>
        <w:tc>
          <w:tcPr>
            <w:tcW w:type="dxa" w:w="1008"/>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Mean</w:t>
            </w:r>
          </w:p>
        </w:tc>
        <w:tc>
          <w:tcPr>
            <w:tcW w:type="dxa" w:w="115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Std. Dev.</w:t>
            </w:r>
          </w:p>
        </w:tc>
        <w:tc>
          <w:tcPr>
            <w:tcW w:type="dxa" w:w="1008"/>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Median</w:t>
            </w:r>
          </w:p>
        </w:tc>
        <w:tc>
          <w:tcPr>
            <w:tcW w:type="dxa" w:w="158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IQR (Q1–Q3)</w:t>
            </w:r>
          </w:p>
        </w:tc>
        <w:tc>
          <w:tcPr>
            <w:tcW w:type="dxa" w:w="72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Min</w:t>
            </w:r>
          </w:p>
        </w:tc>
        <w:tc>
          <w:tcPr>
            <w:tcW w:type="dxa" w:w="72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Max</w:t>
            </w:r>
          </w:p>
        </w:tc>
        <w:tc>
          <w:tcPr>
            <w:tcW w:type="dxa" w:w="158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Skewness</w:t>
            </w:r>
          </w:p>
        </w:tc>
      </w:tr>
      <w:tr>
        <w:trPr>
          <w:cantSplit/>
        </w:trPr>
        <w:tc>
          <w:tcPr>
            <w:tcW w:type="dxa" w:w="2592"/>
            <w:tcMar>
              <w:top w:w="100" w:type="dxa"/>
              <w:bottom w:w="100" w:type="dxa"/>
              <w:left w:w="140" w:type="dxa"/>
              <w:right w:w="140" w:type="dxa"/>
            </w:tcMar>
            <w:tcBorders/>
          </w:tcPr>
          <w:p>
            <w:pPr>
              <w:spacing w:line="276" w:lineRule="auto"/>
              <w:ind w:firstLine="0"/>
              <w:jc w:val="left"/>
            </w:pPr>
            <w:r>
              <w:t>Total Turns (user + wizard)</w:t>
            </w:r>
          </w:p>
        </w:tc>
        <w:tc>
          <w:tcPr>
            <w:tcW w:type="dxa" w:w="1008"/>
            <w:tcMar>
              <w:top w:w="100" w:type="dxa"/>
              <w:bottom w:w="100" w:type="dxa"/>
              <w:left w:w="140" w:type="dxa"/>
              <w:right w:w="140" w:type="dxa"/>
            </w:tcMar>
            <w:tcBorders/>
          </w:tcPr>
          <w:p>
            <w:pPr>
              <w:spacing w:line="276" w:lineRule="auto"/>
              <w:ind w:firstLine="0"/>
              <w:jc w:val="left"/>
            </w:pPr>
            <w:r>
              <w:t>15.42</w:t>
            </w:r>
          </w:p>
        </w:tc>
        <w:tc>
          <w:tcPr>
            <w:tcW w:type="dxa" w:w="1152"/>
            <w:tcMar>
              <w:top w:w="100" w:type="dxa"/>
              <w:bottom w:w="100" w:type="dxa"/>
              <w:left w:w="140" w:type="dxa"/>
              <w:right w:w="140" w:type="dxa"/>
            </w:tcMar>
            <w:tcBorders/>
          </w:tcPr>
          <w:p>
            <w:pPr>
              <w:spacing w:line="276" w:lineRule="auto"/>
              <w:ind w:firstLine="0"/>
              <w:jc w:val="left"/>
            </w:pPr>
            <w:r>
              <w:t>6.84</w:t>
            </w:r>
          </w:p>
        </w:tc>
        <w:tc>
          <w:tcPr>
            <w:tcW w:type="dxa" w:w="1008"/>
            <w:tcMar>
              <w:top w:w="100" w:type="dxa"/>
              <w:bottom w:w="100" w:type="dxa"/>
              <w:left w:w="140" w:type="dxa"/>
              <w:right w:w="140" w:type="dxa"/>
            </w:tcMar>
            <w:tcBorders/>
          </w:tcPr>
          <w:p>
            <w:pPr>
              <w:spacing w:line="276" w:lineRule="auto"/>
              <w:ind w:firstLine="0"/>
              <w:jc w:val="left"/>
            </w:pPr>
            <w:r>
              <w:t>14.00</w:t>
            </w:r>
          </w:p>
        </w:tc>
        <w:tc>
          <w:tcPr>
            <w:tcW w:type="dxa" w:w="1584"/>
            <w:tcMar>
              <w:top w:w="100" w:type="dxa"/>
              <w:bottom w:w="100" w:type="dxa"/>
              <w:left w:w="140" w:type="dxa"/>
              <w:right w:w="140" w:type="dxa"/>
            </w:tcMar>
            <w:tcBorders/>
          </w:tcPr>
          <w:p>
            <w:pPr>
              <w:spacing w:line="276" w:lineRule="auto"/>
              <w:ind w:firstLine="0"/>
              <w:jc w:val="left"/>
            </w:pPr>
            <w:r>
              <w:t>10.00 – 19.00</w:t>
            </w:r>
          </w:p>
        </w:tc>
        <w:tc>
          <w:tcPr>
            <w:tcW w:type="dxa" w:w="720"/>
            <w:tcMar>
              <w:top w:w="100" w:type="dxa"/>
              <w:bottom w:w="100" w:type="dxa"/>
              <w:left w:w="140" w:type="dxa"/>
              <w:right w:w="140" w:type="dxa"/>
            </w:tcMar>
            <w:tcBorders/>
          </w:tcPr>
          <w:p>
            <w:pPr>
              <w:spacing w:line="276" w:lineRule="auto"/>
              <w:ind w:firstLine="0"/>
              <w:jc w:val="left"/>
            </w:pPr>
            <w:r>
              <w:t>4.00</w:t>
            </w:r>
          </w:p>
        </w:tc>
        <w:tc>
          <w:tcPr>
            <w:tcW w:type="dxa" w:w="720"/>
            <w:tcMar>
              <w:top w:w="100" w:type="dxa"/>
              <w:bottom w:w="100" w:type="dxa"/>
              <w:left w:w="140" w:type="dxa"/>
              <w:right w:w="140" w:type="dxa"/>
            </w:tcMar>
            <w:tcBorders/>
          </w:tcPr>
          <w:p>
            <w:pPr>
              <w:spacing w:line="276" w:lineRule="auto"/>
              <w:ind w:firstLine="0"/>
              <w:jc w:val="left"/>
            </w:pPr>
            <w:r>
              <w:t>42.00</w:t>
            </w:r>
          </w:p>
        </w:tc>
        <w:tc>
          <w:tcPr>
            <w:tcW w:type="dxa" w:w="1584"/>
            <w:tcMar>
              <w:top w:w="100" w:type="dxa"/>
              <w:bottom w:w="100" w:type="dxa"/>
              <w:left w:w="140" w:type="dxa"/>
              <w:right w:w="140" w:type="dxa"/>
            </w:tcMar>
            <w:tcBorders/>
          </w:tcPr>
          <w:p>
            <w:pPr>
              <w:spacing w:line="276" w:lineRule="auto"/>
              <w:ind w:firstLine="0"/>
              <w:jc w:val="left"/>
            </w:pPr>
            <w:r>
              <w:t>+0.92 (Moderate Positive)</w:t>
            </w:r>
          </w:p>
        </w:tc>
      </w:tr>
      <w:tr>
        <w:trPr>
          <w:cantSplit/>
        </w:trPr>
        <w:tc>
          <w:tcPr>
            <w:tcW w:type="dxa" w:w="2592"/>
            <w:tcMar>
              <w:top w:w="100" w:type="dxa"/>
              <w:bottom w:w="100" w:type="dxa"/>
              <w:left w:w="140" w:type="dxa"/>
              <w:right w:w="140" w:type="dxa"/>
            </w:tcMar>
            <w:tcBorders/>
          </w:tcPr>
          <w:p>
            <w:pPr>
              <w:spacing w:line="276" w:lineRule="auto"/>
              <w:ind w:firstLine="0"/>
              <w:jc w:val="left"/>
            </w:pPr>
            <w:r>
              <w:t>User Turns</w:t>
            </w:r>
          </w:p>
        </w:tc>
        <w:tc>
          <w:tcPr>
            <w:tcW w:type="dxa" w:w="1008"/>
            <w:tcMar>
              <w:top w:w="100" w:type="dxa"/>
              <w:bottom w:w="100" w:type="dxa"/>
              <w:left w:w="140" w:type="dxa"/>
              <w:right w:w="140" w:type="dxa"/>
            </w:tcMar>
            <w:tcBorders/>
          </w:tcPr>
          <w:p>
            <w:pPr>
              <w:spacing w:line="276" w:lineRule="auto"/>
              <w:ind w:firstLine="0"/>
              <w:jc w:val="left"/>
            </w:pPr>
            <w:r>
              <w:t>7.78</w:t>
            </w:r>
          </w:p>
        </w:tc>
        <w:tc>
          <w:tcPr>
            <w:tcW w:type="dxa" w:w="1152"/>
            <w:tcMar>
              <w:top w:w="100" w:type="dxa"/>
              <w:bottom w:w="100" w:type="dxa"/>
              <w:left w:w="140" w:type="dxa"/>
              <w:right w:w="140" w:type="dxa"/>
            </w:tcMar>
            <w:tcBorders/>
          </w:tcPr>
          <w:p>
            <w:pPr>
              <w:spacing w:line="276" w:lineRule="auto"/>
              <w:ind w:firstLine="0"/>
              <w:jc w:val="left"/>
            </w:pPr>
            <w:r>
              <w:t>3.46</w:t>
            </w:r>
          </w:p>
        </w:tc>
        <w:tc>
          <w:tcPr>
            <w:tcW w:type="dxa" w:w="1008"/>
            <w:tcMar>
              <w:top w:w="100" w:type="dxa"/>
              <w:bottom w:w="100" w:type="dxa"/>
              <w:left w:w="140" w:type="dxa"/>
              <w:right w:w="140" w:type="dxa"/>
            </w:tcMar>
            <w:tcBorders/>
          </w:tcPr>
          <w:p>
            <w:pPr>
              <w:spacing w:line="276" w:lineRule="auto"/>
              <w:ind w:firstLine="0"/>
              <w:jc w:val="left"/>
            </w:pPr>
            <w:r>
              <w:t>7.00</w:t>
            </w:r>
          </w:p>
        </w:tc>
        <w:tc>
          <w:tcPr>
            <w:tcW w:type="dxa" w:w="1584"/>
            <w:tcMar>
              <w:top w:w="100" w:type="dxa"/>
              <w:bottom w:w="100" w:type="dxa"/>
              <w:left w:w="140" w:type="dxa"/>
              <w:right w:w="140" w:type="dxa"/>
            </w:tcMar>
            <w:tcBorders/>
          </w:tcPr>
          <w:p>
            <w:pPr>
              <w:spacing w:line="276" w:lineRule="auto"/>
              <w:ind w:firstLine="0"/>
              <w:jc w:val="left"/>
            </w:pPr>
            <w:r>
              <w:t>5.00 – 10.00</w:t>
            </w:r>
          </w:p>
        </w:tc>
        <w:tc>
          <w:tcPr>
            <w:tcW w:type="dxa" w:w="720"/>
            <w:tcMar>
              <w:top w:w="100" w:type="dxa"/>
              <w:bottom w:w="100" w:type="dxa"/>
              <w:left w:w="140" w:type="dxa"/>
              <w:right w:w="140" w:type="dxa"/>
            </w:tcMar>
            <w:tcBorders/>
          </w:tcPr>
          <w:p>
            <w:pPr>
              <w:spacing w:line="276" w:lineRule="auto"/>
              <w:ind w:firstLine="0"/>
              <w:jc w:val="left"/>
            </w:pPr>
            <w:r>
              <w:t>2.00</w:t>
            </w:r>
          </w:p>
        </w:tc>
        <w:tc>
          <w:tcPr>
            <w:tcW w:type="dxa" w:w="720"/>
            <w:tcMar>
              <w:top w:w="100" w:type="dxa"/>
              <w:bottom w:w="100" w:type="dxa"/>
              <w:left w:w="140" w:type="dxa"/>
              <w:right w:w="140" w:type="dxa"/>
            </w:tcMar>
            <w:tcBorders/>
          </w:tcPr>
          <w:p>
            <w:pPr>
              <w:spacing w:line="276" w:lineRule="auto"/>
              <w:ind w:firstLine="0"/>
              <w:jc w:val="left"/>
            </w:pPr>
            <w:r>
              <w:t>22.00</w:t>
            </w:r>
          </w:p>
        </w:tc>
        <w:tc>
          <w:tcPr>
            <w:tcW w:type="dxa" w:w="1584"/>
            <w:tcMar>
              <w:top w:w="100" w:type="dxa"/>
              <w:bottom w:w="100" w:type="dxa"/>
              <w:left w:w="140" w:type="dxa"/>
              <w:right w:w="140" w:type="dxa"/>
            </w:tcMar>
            <w:tcBorders/>
          </w:tcPr>
          <w:p>
            <w:pPr>
              <w:spacing w:line="276" w:lineRule="auto"/>
              <w:ind w:firstLine="0"/>
              <w:jc w:val="left"/>
            </w:pPr>
            <w:r>
              <w:t>+0.91 (Moderate Positive)</w:t>
            </w:r>
          </w:p>
        </w:tc>
      </w:tr>
      <w:tr>
        <w:trPr>
          <w:cantSplit/>
        </w:trPr>
        <w:tc>
          <w:tcPr>
            <w:tcW w:type="dxa" w:w="2592"/>
            <w:tcMar>
              <w:top w:w="100" w:type="dxa"/>
              <w:bottom w:w="100" w:type="dxa"/>
              <w:left w:w="140" w:type="dxa"/>
              <w:right w:w="140" w:type="dxa"/>
            </w:tcMar>
            <w:tcBorders/>
          </w:tcPr>
          <w:p>
            <w:pPr>
              <w:spacing w:line="276" w:lineRule="auto"/>
              <w:ind w:firstLine="0"/>
              <w:jc w:val="left"/>
            </w:pPr>
            <w:r>
              <w:t>Wizard Turns</w:t>
            </w:r>
          </w:p>
        </w:tc>
        <w:tc>
          <w:tcPr>
            <w:tcW w:type="dxa" w:w="1008"/>
            <w:tcMar>
              <w:top w:w="100" w:type="dxa"/>
              <w:bottom w:w="100" w:type="dxa"/>
              <w:left w:w="140" w:type="dxa"/>
              <w:right w:w="140" w:type="dxa"/>
            </w:tcMar>
            <w:tcBorders/>
          </w:tcPr>
          <w:p>
            <w:pPr>
              <w:spacing w:line="276" w:lineRule="auto"/>
              <w:ind w:firstLine="0"/>
              <w:jc w:val="left"/>
            </w:pPr>
            <w:r>
              <w:t>7.64</w:t>
            </w:r>
          </w:p>
        </w:tc>
        <w:tc>
          <w:tcPr>
            <w:tcW w:type="dxa" w:w="1152"/>
            <w:tcMar>
              <w:top w:w="100" w:type="dxa"/>
              <w:bottom w:w="100" w:type="dxa"/>
              <w:left w:w="140" w:type="dxa"/>
              <w:right w:w="140" w:type="dxa"/>
            </w:tcMar>
            <w:tcBorders/>
          </w:tcPr>
          <w:p>
            <w:pPr>
              <w:spacing w:line="276" w:lineRule="auto"/>
              <w:ind w:firstLine="0"/>
              <w:jc w:val="left"/>
            </w:pPr>
            <w:r>
              <w:t>3.41</w:t>
            </w:r>
          </w:p>
        </w:tc>
        <w:tc>
          <w:tcPr>
            <w:tcW w:type="dxa" w:w="1008"/>
            <w:tcMar>
              <w:top w:w="100" w:type="dxa"/>
              <w:bottom w:w="100" w:type="dxa"/>
              <w:left w:w="140" w:type="dxa"/>
              <w:right w:w="140" w:type="dxa"/>
            </w:tcMar>
            <w:tcBorders/>
          </w:tcPr>
          <w:p>
            <w:pPr>
              <w:spacing w:line="276" w:lineRule="auto"/>
              <w:ind w:firstLine="0"/>
              <w:jc w:val="left"/>
            </w:pPr>
            <w:r>
              <w:t>7.00</w:t>
            </w:r>
          </w:p>
        </w:tc>
        <w:tc>
          <w:tcPr>
            <w:tcW w:type="dxa" w:w="1584"/>
            <w:tcMar>
              <w:top w:w="100" w:type="dxa"/>
              <w:bottom w:w="100" w:type="dxa"/>
              <w:left w:w="140" w:type="dxa"/>
              <w:right w:w="140" w:type="dxa"/>
            </w:tcMar>
            <w:tcBorders/>
          </w:tcPr>
          <w:p>
            <w:pPr>
              <w:spacing w:line="276" w:lineRule="auto"/>
              <w:ind w:firstLine="0"/>
              <w:jc w:val="left"/>
            </w:pPr>
            <w:r>
              <w:t>5.00 – 10.00</w:t>
            </w:r>
          </w:p>
        </w:tc>
        <w:tc>
          <w:tcPr>
            <w:tcW w:type="dxa" w:w="720"/>
            <w:tcMar>
              <w:top w:w="100" w:type="dxa"/>
              <w:bottom w:w="100" w:type="dxa"/>
              <w:left w:w="140" w:type="dxa"/>
              <w:right w:w="140" w:type="dxa"/>
            </w:tcMar>
            <w:tcBorders/>
          </w:tcPr>
          <w:p>
            <w:pPr>
              <w:spacing w:line="276" w:lineRule="auto"/>
              <w:ind w:firstLine="0"/>
              <w:jc w:val="left"/>
            </w:pPr>
            <w:r>
              <w:t>2.00</w:t>
            </w:r>
          </w:p>
        </w:tc>
        <w:tc>
          <w:tcPr>
            <w:tcW w:type="dxa" w:w="720"/>
            <w:tcMar>
              <w:top w:w="100" w:type="dxa"/>
              <w:bottom w:w="100" w:type="dxa"/>
              <w:left w:w="140" w:type="dxa"/>
              <w:right w:w="140" w:type="dxa"/>
            </w:tcMar>
            <w:tcBorders/>
          </w:tcPr>
          <w:p>
            <w:pPr>
              <w:spacing w:line="276" w:lineRule="auto"/>
              <w:ind w:firstLine="0"/>
              <w:jc w:val="left"/>
            </w:pPr>
            <w:r>
              <w:t>20.00</w:t>
            </w:r>
          </w:p>
        </w:tc>
        <w:tc>
          <w:tcPr>
            <w:tcW w:type="dxa" w:w="1584"/>
            <w:tcMar>
              <w:top w:w="100" w:type="dxa"/>
              <w:bottom w:w="100" w:type="dxa"/>
              <w:left w:w="140" w:type="dxa"/>
              <w:right w:w="140" w:type="dxa"/>
            </w:tcMar>
            <w:tcBorders/>
          </w:tcPr>
          <w:p>
            <w:pPr>
              <w:spacing w:line="276" w:lineRule="auto"/>
              <w:ind w:firstLine="0"/>
              <w:jc w:val="left"/>
            </w:pPr>
            <w:r>
              <w:t>+0.89 (Moderate Positive)</w:t>
            </w:r>
          </w:p>
        </w:tc>
      </w:tr>
      <w:tr>
        <w:trPr>
          <w:cantSplit/>
        </w:trPr>
        <w:tc>
          <w:tcPr>
            <w:tcW w:type="dxa" w:w="2592"/>
            <w:tcMar>
              <w:top w:w="100" w:type="dxa"/>
              <w:bottom w:w="100" w:type="dxa"/>
              <w:left w:w="140" w:type="dxa"/>
              <w:right w:w="140" w:type="dxa"/>
            </w:tcMar>
            <w:tcBorders/>
          </w:tcPr>
          <w:p>
            <w:pPr>
              <w:spacing w:line="276" w:lineRule="auto"/>
              <w:ind w:firstLine="0"/>
              <w:jc w:val="left"/>
            </w:pPr>
            <w:r>
              <w:t>Constraint Revisions Count</w:t>
            </w:r>
          </w:p>
        </w:tc>
        <w:tc>
          <w:tcPr>
            <w:tcW w:type="dxa" w:w="1008"/>
            <w:tcMar>
              <w:top w:w="100" w:type="dxa"/>
              <w:bottom w:w="100" w:type="dxa"/>
              <w:left w:w="140" w:type="dxa"/>
              <w:right w:w="140" w:type="dxa"/>
            </w:tcMar>
            <w:tcBorders/>
          </w:tcPr>
          <w:p>
            <w:pPr>
              <w:spacing w:line="276" w:lineRule="auto"/>
              <w:ind w:firstLine="0"/>
              <w:jc w:val="left"/>
            </w:pPr>
            <w:r>
              <w:t>4.82</w:t>
            </w:r>
          </w:p>
        </w:tc>
        <w:tc>
          <w:tcPr>
            <w:tcW w:type="dxa" w:w="1152"/>
            <w:tcMar>
              <w:top w:w="100" w:type="dxa"/>
              <w:bottom w:w="100" w:type="dxa"/>
              <w:left w:w="140" w:type="dxa"/>
              <w:right w:w="140" w:type="dxa"/>
            </w:tcMar>
            <w:tcBorders/>
          </w:tcPr>
          <w:p>
            <w:pPr>
              <w:spacing w:line="276" w:lineRule="auto"/>
              <w:ind w:firstLine="0"/>
              <w:jc w:val="left"/>
            </w:pPr>
            <w:r>
              <w:t>5.91</w:t>
            </w:r>
          </w:p>
        </w:tc>
        <w:tc>
          <w:tcPr>
            <w:tcW w:type="dxa" w:w="1008"/>
            <w:tcMar>
              <w:top w:w="100" w:type="dxa"/>
              <w:bottom w:w="100" w:type="dxa"/>
              <w:left w:w="140" w:type="dxa"/>
              <w:right w:w="140" w:type="dxa"/>
            </w:tcMar>
            <w:tcBorders/>
          </w:tcPr>
          <w:p>
            <w:pPr>
              <w:spacing w:line="276" w:lineRule="auto"/>
              <w:ind w:firstLine="0"/>
              <w:jc w:val="left"/>
            </w:pPr>
            <w:r>
              <w:t>2.00</w:t>
            </w:r>
          </w:p>
        </w:tc>
        <w:tc>
          <w:tcPr>
            <w:tcW w:type="dxa" w:w="1584"/>
            <w:tcMar>
              <w:top w:w="100" w:type="dxa"/>
              <w:bottom w:w="100" w:type="dxa"/>
              <w:left w:w="140" w:type="dxa"/>
              <w:right w:w="140" w:type="dxa"/>
            </w:tcMar>
            <w:tcBorders/>
          </w:tcPr>
          <w:p>
            <w:pPr>
              <w:spacing w:line="276" w:lineRule="auto"/>
              <w:ind w:firstLine="0"/>
              <w:jc w:val="left"/>
            </w:pPr>
            <w:r>
              <w:t>0.00 – 8.00</w:t>
            </w:r>
          </w:p>
        </w:tc>
        <w:tc>
          <w:tcPr>
            <w:tcW w:type="dxa" w:w="720"/>
            <w:tcMar>
              <w:top w:w="100" w:type="dxa"/>
              <w:bottom w:w="100" w:type="dxa"/>
              <w:left w:w="140" w:type="dxa"/>
              <w:right w:w="140" w:type="dxa"/>
            </w:tcMar>
            <w:tcBorders/>
          </w:tcPr>
          <w:p>
            <w:pPr>
              <w:spacing w:line="276" w:lineRule="auto"/>
              <w:ind w:firstLine="0"/>
              <w:jc w:val="left"/>
            </w:pPr>
            <w:r>
              <w:t>0.00</w:t>
            </w:r>
          </w:p>
        </w:tc>
        <w:tc>
          <w:tcPr>
            <w:tcW w:type="dxa" w:w="720"/>
            <w:tcMar>
              <w:top w:w="100" w:type="dxa"/>
              <w:bottom w:w="100" w:type="dxa"/>
              <w:left w:w="140" w:type="dxa"/>
              <w:right w:w="140" w:type="dxa"/>
            </w:tcMar>
            <w:tcBorders/>
          </w:tcPr>
          <w:p>
            <w:pPr>
              <w:spacing w:line="276" w:lineRule="auto"/>
              <w:ind w:firstLine="0"/>
              <w:jc w:val="left"/>
            </w:pPr>
            <w:r>
              <w:t>31.00</w:t>
            </w:r>
          </w:p>
        </w:tc>
        <w:tc>
          <w:tcPr>
            <w:tcW w:type="dxa" w:w="1584"/>
            <w:tcMar>
              <w:top w:w="100" w:type="dxa"/>
              <w:bottom w:w="100" w:type="dxa"/>
              <w:left w:w="140" w:type="dxa"/>
              <w:right w:w="140" w:type="dxa"/>
            </w:tcMar>
            <w:tcBorders/>
          </w:tcPr>
          <w:p>
            <w:pPr>
              <w:spacing w:line="276" w:lineRule="auto"/>
              <w:ind w:firstLine="0"/>
              <w:jc w:val="left"/>
            </w:pPr>
            <w:r>
              <w:t>+1.74 (Highly Skewed)</w:t>
            </w:r>
          </w:p>
        </w:tc>
      </w:tr>
      <w:tr>
        <w:trPr>
          <w:cantSplit/>
        </w:trPr>
        <w:tc>
          <w:tcPr>
            <w:tcW w:type="dxa" w:w="2592"/>
            <w:tcMar>
              <w:top w:w="100" w:type="dxa"/>
              <w:bottom w:w="100" w:type="dxa"/>
              <w:left w:w="140" w:type="dxa"/>
              <w:right w:w="140" w:type="dxa"/>
            </w:tcMar>
            <w:tcBorders/>
          </w:tcPr>
          <w:p>
            <w:pPr>
              <w:spacing w:line="276" w:lineRule="auto"/>
              <w:ind w:firstLine="0"/>
              <w:jc w:val="left"/>
            </w:pPr>
            <w:r>
              <w:t>Hesitation Markers Count</w:t>
            </w:r>
          </w:p>
        </w:tc>
        <w:tc>
          <w:tcPr>
            <w:tcW w:type="dxa" w:w="1008"/>
            <w:tcMar>
              <w:top w:w="100" w:type="dxa"/>
              <w:bottom w:w="100" w:type="dxa"/>
              <w:left w:w="140" w:type="dxa"/>
              <w:right w:w="140" w:type="dxa"/>
            </w:tcMar>
            <w:tcBorders/>
          </w:tcPr>
          <w:p>
            <w:pPr>
              <w:spacing w:line="276" w:lineRule="auto"/>
              <w:ind w:firstLine="0"/>
              <w:jc w:val="left"/>
            </w:pPr>
            <w:r>
              <w:t>1.65</w:t>
            </w:r>
          </w:p>
        </w:tc>
        <w:tc>
          <w:tcPr>
            <w:tcW w:type="dxa" w:w="1152"/>
            <w:tcMar>
              <w:top w:w="100" w:type="dxa"/>
              <w:bottom w:w="100" w:type="dxa"/>
              <w:left w:w="140" w:type="dxa"/>
              <w:right w:w="140" w:type="dxa"/>
            </w:tcMar>
            <w:tcBorders/>
          </w:tcPr>
          <w:p>
            <w:pPr>
              <w:spacing w:line="276" w:lineRule="auto"/>
              <w:ind w:firstLine="0"/>
              <w:jc w:val="left"/>
            </w:pPr>
            <w:r>
              <w:t>1.82</w:t>
            </w:r>
          </w:p>
        </w:tc>
        <w:tc>
          <w:tcPr>
            <w:tcW w:type="dxa" w:w="1008"/>
            <w:tcMar>
              <w:top w:w="100" w:type="dxa"/>
              <w:bottom w:w="100" w:type="dxa"/>
              <w:left w:w="140" w:type="dxa"/>
              <w:right w:w="140" w:type="dxa"/>
            </w:tcMar>
            <w:tcBorders/>
          </w:tcPr>
          <w:p>
            <w:pPr>
              <w:spacing w:line="276" w:lineRule="auto"/>
              <w:ind w:firstLine="0"/>
              <w:jc w:val="left"/>
            </w:pPr>
            <w:r>
              <w:t>1.00</w:t>
            </w:r>
          </w:p>
        </w:tc>
        <w:tc>
          <w:tcPr>
            <w:tcW w:type="dxa" w:w="1584"/>
            <w:tcMar>
              <w:top w:w="100" w:type="dxa"/>
              <w:bottom w:w="100" w:type="dxa"/>
              <w:left w:w="140" w:type="dxa"/>
              <w:right w:w="140" w:type="dxa"/>
            </w:tcMar>
            <w:tcBorders/>
          </w:tcPr>
          <w:p>
            <w:pPr>
              <w:spacing w:line="276" w:lineRule="auto"/>
              <w:ind w:firstLine="0"/>
              <w:jc w:val="left"/>
            </w:pPr>
            <w:r>
              <w:t>0.00 – 2.00</w:t>
            </w:r>
          </w:p>
        </w:tc>
        <w:tc>
          <w:tcPr>
            <w:tcW w:type="dxa" w:w="720"/>
            <w:tcMar>
              <w:top w:w="100" w:type="dxa"/>
              <w:bottom w:w="100" w:type="dxa"/>
              <w:left w:w="140" w:type="dxa"/>
              <w:right w:w="140" w:type="dxa"/>
            </w:tcMar>
            <w:tcBorders/>
          </w:tcPr>
          <w:p>
            <w:pPr>
              <w:spacing w:line="276" w:lineRule="auto"/>
              <w:ind w:firstLine="0"/>
              <w:jc w:val="left"/>
            </w:pPr>
            <w:r>
              <w:t>0.00</w:t>
            </w:r>
          </w:p>
        </w:tc>
        <w:tc>
          <w:tcPr>
            <w:tcW w:type="dxa" w:w="720"/>
            <w:tcMar>
              <w:top w:w="100" w:type="dxa"/>
              <w:bottom w:w="100" w:type="dxa"/>
              <w:left w:w="140" w:type="dxa"/>
              <w:right w:w="140" w:type="dxa"/>
            </w:tcMar>
            <w:tcBorders/>
          </w:tcPr>
          <w:p>
            <w:pPr>
              <w:spacing w:line="276" w:lineRule="auto"/>
              <w:ind w:firstLine="0"/>
              <w:jc w:val="left"/>
            </w:pPr>
            <w:r>
              <w:t>12.00</w:t>
            </w:r>
          </w:p>
        </w:tc>
        <w:tc>
          <w:tcPr>
            <w:tcW w:type="dxa" w:w="1584"/>
            <w:tcMar>
              <w:top w:w="100" w:type="dxa"/>
              <w:bottom w:w="100" w:type="dxa"/>
              <w:left w:w="140" w:type="dxa"/>
              <w:right w:w="140" w:type="dxa"/>
            </w:tcMar>
            <w:tcBorders/>
          </w:tcPr>
          <w:p>
            <w:pPr>
              <w:spacing w:line="276" w:lineRule="auto"/>
              <w:ind w:firstLine="0"/>
              <w:jc w:val="left"/>
            </w:pPr>
            <w:r>
              <w:t>+1.88 (Highly Skewed)</w:t>
            </w:r>
          </w:p>
        </w:tc>
      </w:tr>
      <w:tr>
        <w:trPr>
          <w:cantSplit/>
        </w:trPr>
        <w:tc>
          <w:tcPr>
            <w:tcW w:type="dxa" w:w="2592"/>
            <w:tcMar>
              <w:top w:w="100" w:type="dxa"/>
              <w:bottom w:w="100" w:type="dxa"/>
              <w:left w:w="140" w:type="dxa"/>
              <w:right w:w="140" w:type="dxa"/>
            </w:tcMar>
            <w:tcBorders/>
          </w:tcPr>
          <w:p>
            <w:pPr>
              <w:spacing w:line="276" w:lineRule="auto"/>
              <w:ind w:firstLine="0"/>
              <w:jc w:val="left"/>
            </w:pPr>
            <w:r>
              <w:t>Turn Ratio (User / Wizard)</w:t>
            </w:r>
          </w:p>
        </w:tc>
        <w:tc>
          <w:tcPr>
            <w:tcW w:type="dxa" w:w="1008"/>
            <w:tcMar>
              <w:top w:w="100" w:type="dxa"/>
              <w:bottom w:w="100" w:type="dxa"/>
              <w:left w:w="140" w:type="dxa"/>
              <w:right w:w="140" w:type="dxa"/>
            </w:tcMar>
            <w:tcBorders/>
          </w:tcPr>
          <w:p>
            <w:pPr>
              <w:spacing w:line="276" w:lineRule="auto"/>
              <w:ind w:firstLine="0"/>
              <w:jc w:val="left"/>
            </w:pPr>
            <w:r>
              <w:t>1.02</w:t>
            </w:r>
          </w:p>
        </w:tc>
        <w:tc>
          <w:tcPr>
            <w:tcW w:type="dxa" w:w="1152"/>
            <w:tcMar>
              <w:top w:w="100" w:type="dxa"/>
              <w:bottom w:w="100" w:type="dxa"/>
              <w:left w:w="140" w:type="dxa"/>
              <w:right w:w="140" w:type="dxa"/>
            </w:tcMar>
            <w:tcBorders/>
          </w:tcPr>
          <w:p>
            <w:pPr>
              <w:spacing w:line="276" w:lineRule="auto"/>
              <w:ind w:firstLine="0"/>
              <w:jc w:val="left"/>
            </w:pPr>
            <w:r>
              <w:t>0.14</w:t>
            </w:r>
          </w:p>
        </w:tc>
        <w:tc>
          <w:tcPr>
            <w:tcW w:type="dxa" w:w="1008"/>
            <w:tcMar>
              <w:top w:w="100" w:type="dxa"/>
              <w:bottom w:w="100" w:type="dxa"/>
              <w:left w:w="140" w:type="dxa"/>
              <w:right w:w="140" w:type="dxa"/>
            </w:tcMar>
            <w:tcBorders/>
          </w:tcPr>
          <w:p>
            <w:pPr>
              <w:spacing w:line="276" w:lineRule="auto"/>
              <w:ind w:firstLine="0"/>
              <w:jc w:val="left"/>
            </w:pPr>
            <w:r>
              <w:t>1.00</w:t>
            </w:r>
          </w:p>
        </w:tc>
        <w:tc>
          <w:tcPr>
            <w:tcW w:type="dxa" w:w="1584"/>
            <w:tcMar>
              <w:top w:w="100" w:type="dxa"/>
              <w:bottom w:w="100" w:type="dxa"/>
              <w:left w:w="140" w:type="dxa"/>
              <w:right w:w="140" w:type="dxa"/>
            </w:tcMar>
            <w:tcBorders/>
          </w:tcPr>
          <w:p>
            <w:pPr>
              <w:spacing w:line="276" w:lineRule="auto"/>
              <w:ind w:firstLine="0"/>
              <w:jc w:val="left"/>
            </w:pPr>
            <w:r>
              <w:t>1.00 – 1.00</w:t>
            </w:r>
          </w:p>
        </w:tc>
        <w:tc>
          <w:tcPr>
            <w:tcW w:type="dxa" w:w="720"/>
            <w:tcMar>
              <w:top w:w="100" w:type="dxa"/>
              <w:bottom w:w="100" w:type="dxa"/>
              <w:left w:w="140" w:type="dxa"/>
              <w:right w:w="140" w:type="dxa"/>
            </w:tcMar>
            <w:tcBorders/>
          </w:tcPr>
          <w:p>
            <w:pPr>
              <w:spacing w:line="276" w:lineRule="auto"/>
              <w:ind w:firstLine="0"/>
              <w:jc w:val="left"/>
            </w:pPr>
            <w:r>
              <w:t>0.50</w:t>
            </w:r>
          </w:p>
        </w:tc>
        <w:tc>
          <w:tcPr>
            <w:tcW w:type="dxa" w:w="720"/>
            <w:tcMar>
              <w:top w:w="100" w:type="dxa"/>
              <w:bottom w:w="100" w:type="dxa"/>
              <w:left w:w="140" w:type="dxa"/>
              <w:right w:w="140" w:type="dxa"/>
            </w:tcMar>
            <w:tcBorders/>
          </w:tcPr>
          <w:p>
            <w:pPr>
              <w:spacing w:line="276" w:lineRule="auto"/>
              <w:ind w:firstLine="0"/>
              <w:jc w:val="left"/>
            </w:pPr>
            <w:r>
              <w:t>2.00</w:t>
            </w:r>
          </w:p>
        </w:tc>
        <w:tc>
          <w:tcPr>
            <w:tcW w:type="dxa" w:w="1584"/>
            <w:tcMar>
              <w:top w:w="100" w:type="dxa"/>
              <w:bottom w:w="100" w:type="dxa"/>
              <w:left w:w="140" w:type="dxa"/>
              <w:right w:w="140" w:type="dxa"/>
            </w:tcMar>
            <w:tcBorders/>
          </w:tcPr>
          <w:p>
            <w:pPr>
              <w:spacing w:line="276" w:lineRule="auto"/>
              <w:ind w:firstLine="0"/>
              <w:jc w:val="left"/>
            </w:pPr>
            <w:r>
              <w:t>+0.31 (Near Symmetric)</w:t>
            </w:r>
          </w:p>
        </w:tc>
      </w:tr>
      <w:tr>
        <w:trPr>
          <w:cantSplit/>
        </w:trPr>
        <w:tc>
          <w:tcPr>
            <w:tcW w:type="dxa" w:w="2592"/>
            <w:tcMar>
              <w:top w:w="100" w:type="dxa"/>
              <w:bottom w:w="100" w:type="dxa"/>
              <w:left w:w="140" w:type="dxa"/>
              <w:right w:w="140" w:type="dxa"/>
            </w:tcMar>
            <w:tcBorders>
              <w:bottom w:val="single" w:sz="12" w:space="0" w:color="000000"/>
            </w:tcBorders>
          </w:tcPr>
          <w:p>
            <w:pPr>
              <w:spacing w:line="276" w:lineRule="auto"/>
              <w:ind w:firstLine="0"/>
              <w:jc w:val="left"/>
            </w:pPr>
            <w:r>
              <w:t>Mean Utterance Length (chars)</w:t>
            </w:r>
          </w:p>
        </w:tc>
        <w:tc>
          <w:tcPr>
            <w:tcW w:type="dxa" w:w="1008"/>
            <w:tcMar>
              <w:top w:w="100" w:type="dxa"/>
              <w:bottom w:w="100" w:type="dxa"/>
              <w:left w:w="140" w:type="dxa"/>
              <w:right w:w="140" w:type="dxa"/>
            </w:tcMar>
            <w:tcBorders>
              <w:bottom w:val="single" w:sz="12" w:space="0" w:color="000000"/>
            </w:tcBorders>
          </w:tcPr>
          <w:p>
            <w:pPr>
              <w:spacing w:line="276" w:lineRule="auto"/>
              <w:ind w:firstLine="0"/>
              <w:jc w:val="left"/>
            </w:pPr>
            <w:r>
              <w:t>112.45</w:t>
            </w:r>
          </w:p>
        </w:tc>
        <w:tc>
          <w:tcPr>
            <w:tcW w:type="dxa" w:w="1152"/>
            <w:tcMar>
              <w:top w:w="100" w:type="dxa"/>
              <w:bottom w:w="100" w:type="dxa"/>
              <w:left w:w="140" w:type="dxa"/>
              <w:right w:w="140" w:type="dxa"/>
            </w:tcMar>
            <w:tcBorders>
              <w:bottom w:val="single" w:sz="12" w:space="0" w:color="000000"/>
            </w:tcBorders>
          </w:tcPr>
          <w:p>
            <w:pPr>
              <w:spacing w:line="276" w:lineRule="auto"/>
              <w:ind w:firstLine="0"/>
              <w:jc w:val="left"/>
            </w:pPr>
            <w:r>
              <w:t>38.20</w:t>
            </w:r>
          </w:p>
        </w:tc>
        <w:tc>
          <w:tcPr>
            <w:tcW w:type="dxa" w:w="1008"/>
            <w:tcMar>
              <w:top w:w="100" w:type="dxa"/>
              <w:bottom w:w="100" w:type="dxa"/>
              <w:left w:w="140" w:type="dxa"/>
              <w:right w:w="140" w:type="dxa"/>
            </w:tcMar>
            <w:tcBorders>
              <w:bottom w:val="single" w:sz="12" w:space="0" w:color="000000"/>
            </w:tcBorders>
          </w:tcPr>
          <w:p>
            <w:pPr>
              <w:spacing w:line="276" w:lineRule="auto"/>
              <w:ind w:firstLine="0"/>
              <w:jc w:val="left"/>
            </w:pPr>
            <w:r>
              <w:t>108.30</w:t>
            </w:r>
          </w:p>
        </w:tc>
        <w:tc>
          <w:tcPr>
            <w:tcW w:type="dxa" w:w="1584"/>
            <w:tcMar>
              <w:top w:w="100" w:type="dxa"/>
              <w:bottom w:w="100" w:type="dxa"/>
              <w:left w:w="140" w:type="dxa"/>
              <w:right w:w="140" w:type="dxa"/>
            </w:tcMar>
            <w:tcBorders>
              <w:bottom w:val="single" w:sz="12" w:space="0" w:color="000000"/>
            </w:tcBorders>
          </w:tcPr>
          <w:p>
            <w:pPr>
              <w:spacing w:line="276" w:lineRule="auto"/>
              <w:ind w:firstLine="0"/>
              <w:jc w:val="left"/>
            </w:pPr>
            <w:r>
              <w:t>84.50 – 134.20</w:t>
            </w:r>
          </w:p>
        </w:tc>
        <w:tc>
          <w:tcPr>
            <w:tcW w:type="dxa" w:w="720"/>
            <w:tcMar>
              <w:top w:w="100" w:type="dxa"/>
              <w:bottom w:w="100" w:type="dxa"/>
              <w:left w:w="140" w:type="dxa"/>
              <w:right w:w="140" w:type="dxa"/>
            </w:tcMar>
            <w:tcBorders>
              <w:bottom w:val="single" w:sz="12" w:space="0" w:color="000000"/>
            </w:tcBorders>
          </w:tcPr>
          <w:p>
            <w:pPr>
              <w:spacing w:line="276" w:lineRule="auto"/>
              <w:ind w:firstLine="0"/>
              <w:jc w:val="left"/>
            </w:pPr>
            <w:r>
              <w:t>28.50</w:t>
            </w:r>
          </w:p>
        </w:tc>
        <w:tc>
          <w:tcPr>
            <w:tcW w:type="dxa" w:w="720"/>
            <w:tcMar>
              <w:top w:w="100" w:type="dxa"/>
              <w:bottom w:w="100" w:type="dxa"/>
              <w:left w:w="140" w:type="dxa"/>
              <w:right w:w="140" w:type="dxa"/>
            </w:tcMar>
            <w:tcBorders>
              <w:bottom w:val="single" w:sz="12" w:space="0" w:color="000000"/>
            </w:tcBorders>
          </w:tcPr>
          <w:p>
            <w:pPr>
              <w:spacing w:line="276" w:lineRule="auto"/>
              <w:ind w:firstLine="0"/>
              <w:jc w:val="left"/>
            </w:pPr>
            <w:r>
              <w:t>310.80</w:t>
            </w:r>
          </w:p>
        </w:tc>
        <w:tc>
          <w:tcPr>
            <w:tcW w:type="dxa" w:w="1584"/>
            <w:tcMar>
              <w:top w:w="100" w:type="dxa"/>
              <w:bottom w:w="100" w:type="dxa"/>
              <w:left w:w="140" w:type="dxa"/>
              <w:right w:w="140" w:type="dxa"/>
            </w:tcMar>
            <w:tcBorders>
              <w:bottom w:val="single" w:sz="12" w:space="0" w:color="000000"/>
            </w:tcBorders>
          </w:tcPr>
          <w:p>
            <w:pPr>
              <w:spacing w:line="276" w:lineRule="auto"/>
              <w:ind w:firstLine="0"/>
              <w:jc w:val="left"/>
            </w:pPr>
            <w:r>
              <w:t>+0.64 (Mild Positive)</w:t>
            </w:r>
          </w:p>
        </w:tc>
      </w:tr>
    </w:tbl>
    <w:p>
      <w:pPr>
        <w:spacing w:before="40" w:after="240"/>
        <w:ind w:firstLine="0"/>
      </w:pPr>
      <w:r>
        <w:rPr>
          <w:i/>
          <w:sz w:val="20"/>
        </w:rPr>
        <w:t xml:space="preserve">Note. </w:t>
      </w:r>
      <w:r>
        <w:rPr>
          <w:sz w:val="20"/>
        </w:rPr>
        <w:t>Positive skewness in revisions and hesitations indicates presence of distinct exploratory sub-populations.</w:t>
      </w:r>
    </w:p>
    <w:p>
      <w:pPr>
        <w:spacing w:before="240" w:after="80" w:line="480" w:lineRule="auto"/>
        <w:ind w:firstLine="0"/>
        <w:jc w:val="left"/>
      </w:pPr>
      <w:r>
        <w:rPr>
          <w:b/>
          <w:sz w:val="24"/>
        </w:rPr>
        <w:t>5.4 EDA Insights and Research Question Alignment</w:t>
      </w:r>
    </w:p>
    <w:p>
      <w:pPr>
        <w:ind w:firstLine="720"/>
        <w:jc w:val="left"/>
      </w:pPr>
      <w:r>
        <w:rPr>
          <w:b w:val="0"/>
          <w:i w:val="0"/>
        </w:rPr>
        <w:t>The distribution analysis reveals three critical empirical insights directly supporting our research hypotheses. First, dialogue turn counts approximate a log-normal distribution, exhibiting a pronounced right tail extending up to 42 turns. Second, constraint revisions and hesitation markers exhibit severe positive skewness (skewness &gt; +1.7), demonstrating that the majority of transactional sessions feature zero to one revisions, while a concentrated consultative cohort executes upwards of 15 to 30 revisions. Third, monetary budget ceilings are specified in 72.8% of value-conscious negotiation sessions but remain entirely unspecified in rapid transactional sessions. These empirical bimodalities confirm that goal-oriented conversations do not occupy a unimodal behavioral continuum; rather, they naturally segment into distinct, cohesive conversational archetypes, directly justifying unsupervised clustering in RQ1.</w:t>
      </w:r>
    </w:p>
    <w:p>
      <w:pPr>
        <w:spacing w:before="240" w:after="80" w:line="480" w:lineRule="auto"/>
        <w:ind w:firstLine="0"/>
        <w:jc w:val="left"/>
      </w:pPr>
      <w:r>
        <w:rPr>
          <w:b/>
          <w:sz w:val="24"/>
        </w:rPr>
        <w:t>5.5 Methodological Assumptions and Model Diagnostics</w:t>
      </w:r>
    </w:p>
    <w:p>
      <w:pPr>
        <w:ind w:firstLine="720"/>
        <w:jc w:val="left"/>
      </w:pPr>
      <w:r>
        <w:rPr>
          <w:b w:val="0"/>
          <w:i w:val="0"/>
        </w:rPr>
        <w:t>To satisfy rigorous econometric and biometric reporting standards, all core statistical assumptions underlying Analysis of Variance (ANOVA) and linear hypothesis testing were empirically validated prior to inference. First, the assumption of normality of model residuals was evaluated across the 156 bootstrap Silhouette Score evaluations. A Shapiro-Wilk test yielded W = 0.984 (p = .082), failing to reject the null hypothesis of residual normality at alpha = .05. Inspection of residual Q-Q plots confirmed that studentized residuals conformed closely to the theoretical normal diagonal, with minor tail deviations within acceptable limits for balanced group designs.</w:t>
      </w:r>
    </w:p>
    <w:p>
      <w:pPr>
        <w:ind w:firstLine="720"/>
        <w:jc w:val="left"/>
      </w:pPr>
      <w:r>
        <w:rPr>
          <w:b w:val="0"/>
          <w:i w:val="0"/>
        </w:rPr>
        <w:t>Second, the assumption of homogeneity of group variances (homoscedasticity) across the three clustering algorithm arms was evaluated using Levene's test of equality of variance. Levene's statistic yielded F(2, 153) = 1.42 (p = .245), confirming that group variances do not differ significantly across K-Means, Agglomerative Hierarchical, and HDBSCAN bootstrap distributions. Consequently, the standard homoscedastic F-ratio and Tukey HSD post-hoc tests were deemed statistically robust without requiring Welch-Satterthwaite corrections. Third, the assumption of observation independence was guaranteed through uniform random shuffling and stratified bootstrap subsampling across 10 distinct cross-validation folds with fixed pseudorandom seeds.</w:t>
      </w:r>
    </w:p>
    <w:p>
      <w:pPr>
        <w:spacing w:before="240" w:after="120" w:line="480" w:lineRule="auto"/>
        <w:ind w:firstLine="0"/>
        <w:jc w:val="center"/>
      </w:pPr>
      <w:r>
        <w:rPr>
          <w:b/>
          <w:sz w:val="24"/>
        </w:rPr>
        <w:t>6. Modelling Framework and Architecture</w:t>
      </w:r>
    </w:p>
    <w:p>
      <w:pPr>
        <w:spacing w:before="240" w:after="80" w:line="480" w:lineRule="auto"/>
        <w:ind w:firstLine="0"/>
        <w:jc w:val="left"/>
      </w:pPr>
      <w:r>
        <w:rPr>
          <w:b/>
          <w:sz w:val="24"/>
        </w:rPr>
        <w:t>6.1 Model Selection Rationale and Baselines</w:t>
      </w:r>
    </w:p>
    <w:p>
      <w:pPr>
        <w:ind w:firstLine="720"/>
        <w:jc w:val="left"/>
      </w:pPr>
      <w:r>
        <w:rPr>
          <w:b w:val="0"/>
          <w:i w:val="0"/>
        </w:rPr>
        <w:t>To answer RQ1, three distinct clustering algorithm paradigms were selected based on theoretical properties: (a) K-Means clustering, which provides a convex, centroid-based spherical partitioning baseline minimizing within-cluster sum of squares; (b) Agglomerative Hierarchical Clustering with Ward linkage, which constructs a bottom-up dendrogram minimizing variance increases, excelling in capturing hierarchical conversational structures; and (c) HDBSCAN (Hierarchical Density-Based Spatial Clustering of Applications with Noise), which identifies arbitrary non-spherical clusters based on local density peaks while isolating anomalous noise trajectories. To answer RQ2, dynamic few-shot prompt steering was benchmarked against two rigorous operational baselines: a Zero-Shot baseline (instruction only, no demonstration exemplars) representing monolithic commercial deployments, and a Static Few-Shot baseline (fixed generic exemplars).</w:t>
      </w:r>
    </w:p>
    <w:p>
      <w:pPr>
        <w:spacing w:before="240" w:after="80" w:line="480" w:lineRule="auto"/>
        <w:ind w:firstLine="0"/>
        <w:jc w:val="left"/>
      </w:pPr>
      <w:r>
        <w:rPr>
          <w:b/>
          <w:sz w:val="24"/>
        </w:rPr>
        <w:t>6.2 Feature Engineering, Temporal Weighting, and Slot Masking</w:t>
      </w:r>
    </w:p>
    <w:p>
      <w:pPr>
        <w:ind w:firstLine="720"/>
        <w:jc w:val="left"/>
      </w:pPr>
      <w:r>
        <w:rPr>
          <w:b w:val="0"/>
          <w:i w:val="0"/>
        </w:rPr>
        <w:t>To vectorize multi-turn dialogues into semantically rich mathematical representations, we utilize Sentence-BERT (all-MiniLM-L6-v2) to embed turn utterances into 384-dimensional dense vectors. Because conversational negotiations culminate in later turns (where final commitments and pricing compromises solidify), uniform turn pooling causes dilution of the final negotiation outcome. To address this, we engineer an exponential temporal decay pooling function:</w:t>
      </w:r>
    </w:p>
    <w:p>
      <w:pPr>
        <w:ind w:firstLine="720"/>
        <w:jc w:val="left"/>
      </w:pPr>
      <w:r>
        <w:rPr>
          <w:b w:val="0"/>
          <w:i w:val="0"/>
        </w:rPr>
        <w:t xml:space="preserve">    e_traj = SUM_{t=1}^T w_t * e_t,    where w_t = exp(-lambda * (T - t)) / SUM_{j=1}^T exp(-lambda * (T - j))</w:t>
        <w:br/>
        <w:br/>
        <w:t>where T is total dialogue turns and decay parameter lambda = 0.15. This weighting ensures foundational context from opening turns is preserved while assigning heightened mathematical prominence to culmination turns. Concurrently, to eliminate factual leakage in few-shot exemplars, we implement automated regex slot masking replacing concrete entities with abstract tokens ([BUDGET], [DATE], [PAX_COUNT]).</w:t>
      </w:r>
    </w:p>
    <w:p>
      <w:pPr>
        <w:spacing w:before="240" w:after="80" w:line="480" w:lineRule="auto"/>
        <w:ind w:firstLine="0"/>
        <w:jc w:val="left"/>
      </w:pPr>
      <w:r>
        <w:rPr>
          <w:b/>
          <w:sz w:val="24"/>
        </w:rPr>
        <w:t>6.3 Mathematical Formulations and Evaluation Metrics</w:t>
      </w:r>
    </w:p>
    <w:p>
      <w:pPr>
        <w:spacing w:before="200" w:after="0"/>
        <w:ind w:firstLine="0"/>
      </w:pPr>
      <w:r>
        <w:rPr>
          <w:b/>
        </w:rPr>
        <w:t>Table 6</w:t>
      </w:r>
    </w:p>
    <w:p>
      <w:pPr>
        <w:spacing w:before="0" w:after="80"/>
        <w:ind w:firstLine="0"/>
      </w:pPr>
      <w:r>
        <w:rPr>
          <w:i/>
        </w:rPr>
        <w:t>Core Evaluation Metrics and Mathematical Formulations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30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Evaluation Metric</w:t>
            </w:r>
          </w:p>
        </w:tc>
        <w:tc>
          <w:tcPr>
            <w:tcW w:type="dxa" w:w="331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Mathematical Formulation</w:t>
            </w:r>
          </w:p>
        </w:tc>
        <w:tc>
          <w:tcPr>
            <w:tcW w:type="dxa" w:w="144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Range</w:t>
            </w:r>
          </w:p>
        </w:tc>
        <w:tc>
          <w:tcPr>
            <w:tcW w:type="dxa" w:w="331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Analytical Role</w:t>
            </w:r>
          </w:p>
        </w:tc>
      </w:tr>
      <w:tr>
        <w:trPr>
          <w:cantSplit/>
        </w:trPr>
        <w:tc>
          <w:tcPr>
            <w:tcW w:type="dxa" w:w="2304"/>
            <w:tcMar>
              <w:top w:w="100" w:type="dxa"/>
              <w:bottom w:w="100" w:type="dxa"/>
              <w:left w:w="140" w:type="dxa"/>
              <w:right w:w="140" w:type="dxa"/>
            </w:tcMar>
            <w:tcBorders/>
          </w:tcPr>
          <w:p>
            <w:pPr>
              <w:spacing w:line="276" w:lineRule="auto"/>
              <w:ind w:firstLine="0"/>
              <w:jc w:val="left"/>
            </w:pPr>
            <w:r>
              <w:t>Silhouette Score</w:t>
            </w:r>
          </w:p>
        </w:tc>
        <w:tc>
          <w:tcPr>
            <w:tcW w:type="dxa" w:w="3312"/>
            <w:tcMar>
              <w:top w:w="100" w:type="dxa"/>
              <w:bottom w:w="100" w:type="dxa"/>
              <w:left w:w="140" w:type="dxa"/>
              <w:right w:w="140" w:type="dxa"/>
            </w:tcMar>
            <w:tcBorders/>
          </w:tcPr>
          <w:p>
            <w:pPr>
              <w:spacing w:line="276" w:lineRule="auto"/>
              <w:ind w:firstLine="0"/>
              <w:jc w:val="left"/>
            </w:pPr>
            <w:r>
              <w:t>s(i) = [b(i) - a(i)] / max[a(i), b(i)]</w:t>
            </w:r>
          </w:p>
        </w:tc>
        <w:tc>
          <w:tcPr>
            <w:tcW w:type="dxa" w:w="1440"/>
            <w:tcMar>
              <w:top w:w="100" w:type="dxa"/>
              <w:bottom w:w="100" w:type="dxa"/>
              <w:left w:w="140" w:type="dxa"/>
              <w:right w:w="140" w:type="dxa"/>
            </w:tcMar>
            <w:tcBorders/>
          </w:tcPr>
          <w:p>
            <w:pPr>
              <w:spacing w:line="276" w:lineRule="auto"/>
              <w:ind w:firstLine="0"/>
              <w:jc w:val="left"/>
            </w:pPr>
            <w:r>
              <w:t>[-1.0, +1.0]</w:t>
            </w:r>
          </w:p>
        </w:tc>
        <w:tc>
          <w:tcPr>
            <w:tcW w:type="dxa" w:w="3312"/>
            <w:tcMar>
              <w:top w:w="100" w:type="dxa"/>
              <w:bottom w:w="100" w:type="dxa"/>
              <w:left w:w="140" w:type="dxa"/>
              <w:right w:w="140" w:type="dxa"/>
            </w:tcMar>
            <w:tcBorders/>
          </w:tcPr>
          <w:p>
            <w:pPr>
              <w:spacing w:line="276" w:lineRule="auto"/>
              <w:ind w:firstLine="0"/>
              <w:jc w:val="left"/>
            </w:pPr>
            <w:r>
              <w:t>Measures cluster cohesion vs. separation in RQ1.</w:t>
            </w:r>
          </w:p>
        </w:tc>
      </w:tr>
      <w:tr>
        <w:trPr>
          <w:cantSplit/>
        </w:trPr>
        <w:tc>
          <w:tcPr>
            <w:tcW w:type="dxa" w:w="2304"/>
            <w:tcMar>
              <w:top w:w="100" w:type="dxa"/>
              <w:bottom w:w="100" w:type="dxa"/>
              <w:left w:w="140" w:type="dxa"/>
              <w:right w:w="140" w:type="dxa"/>
            </w:tcMar>
            <w:tcBorders/>
          </w:tcPr>
          <w:p>
            <w:pPr>
              <w:spacing w:line="276" w:lineRule="auto"/>
              <w:ind w:firstLine="0"/>
              <w:jc w:val="left"/>
            </w:pPr>
            <w:r>
              <w:t>Davies-Bouldin Index</w:t>
            </w:r>
          </w:p>
        </w:tc>
        <w:tc>
          <w:tcPr>
            <w:tcW w:type="dxa" w:w="3312"/>
            <w:tcMar>
              <w:top w:w="100" w:type="dxa"/>
              <w:bottom w:w="100" w:type="dxa"/>
              <w:left w:w="140" w:type="dxa"/>
              <w:right w:w="140" w:type="dxa"/>
            </w:tcMar>
            <w:tcBorders/>
          </w:tcPr>
          <w:p>
            <w:pPr>
              <w:spacing w:line="276" w:lineRule="auto"/>
              <w:ind w:firstLine="0"/>
              <w:jc w:val="left"/>
            </w:pPr>
            <w:r>
              <w:t>DB = (1/k) * SUM_{i=1}^k max_{j != i} [(sigma_i + sigma_j) / d(c_i, c_j)]</w:t>
            </w:r>
          </w:p>
        </w:tc>
        <w:tc>
          <w:tcPr>
            <w:tcW w:type="dxa" w:w="1440"/>
            <w:tcMar>
              <w:top w:w="100" w:type="dxa"/>
              <w:bottom w:w="100" w:type="dxa"/>
              <w:left w:w="140" w:type="dxa"/>
              <w:right w:w="140" w:type="dxa"/>
            </w:tcMar>
            <w:tcBorders/>
          </w:tcPr>
          <w:p>
            <w:pPr>
              <w:spacing w:line="276" w:lineRule="auto"/>
              <w:ind w:firstLine="0"/>
              <w:jc w:val="left"/>
            </w:pPr>
            <w:r>
              <w:t>[0, inf)</w:t>
            </w:r>
          </w:p>
        </w:tc>
        <w:tc>
          <w:tcPr>
            <w:tcW w:type="dxa" w:w="3312"/>
            <w:tcMar>
              <w:top w:w="100" w:type="dxa"/>
              <w:bottom w:w="100" w:type="dxa"/>
              <w:left w:w="140" w:type="dxa"/>
              <w:right w:w="140" w:type="dxa"/>
            </w:tcMar>
            <w:tcBorders/>
          </w:tcPr>
          <w:p>
            <w:pPr>
              <w:spacing w:line="276" w:lineRule="auto"/>
              <w:ind w:firstLine="0"/>
              <w:jc w:val="left"/>
            </w:pPr>
            <w:r>
              <w:t>Measures cluster separation ratio (lower is better) in RQ1.</w:t>
            </w:r>
          </w:p>
        </w:tc>
      </w:tr>
      <w:tr>
        <w:trPr>
          <w:cantSplit/>
        </w:trPr>
        <w:tc>
          <w:tcPr>
            <w:tcW w:type="dxa" w:w="2304"/>
            <w:tcMar>
              <w:top w:w="100" w:type="dxa"/>
              <w:bottom w:w="100" w:type="dxa"/>
              <w:left w:w="140" w:type="dxa"/>
              <w:right w:w="140" w:type="dxa"/>
            </w:tcMar>
            <w:tcBorders/>
          </w:tcPr>
          <w:p>
            <w:pPr>
              <w:spacing w:line="276" w:lineRule="auto"/>
              <w:ind w:firstLine="0"/>
              <w:jc w:val="left"/>
            </w:pPr>
            <w:r>
              <w:t>Semantic Cosine Similarity</w:t>
            </w:r>
          </w:p>
        </w:tc>
        <w:tc>
          <w:tcPr>
            <w:tcW w:type="dxa" w:w="3312"/>
            <w:tcMar>
              <w:top w:w="100" w:type="dxa"/>
              <w:bottom w:w="100" w:type="dxa"/>
              <w:left w:w="140" w:type="dxa"/>
              <w:right w:w="140" w:type="dxa"/>
            </w:tcMar>
            <w:tcBorders/>
          </w:tcPr>
          <w:p>
            <w:pPr>
              <w:spacing w:line="276" w:lineRule="auto"/>
              <w:ind w:firstLine="0"/>
              <w:jc w:val="left"/>
            </w:pPr>
            <w:r>
              <w:t>cos(u, v) = (u . v) / [||u||_2 * ||v||_2]</w:t>
            </w:r>
          </w:p>
        </w:tc>
        <w:tc>
          <w:tcPr>
            <w:tcW w:type="dxa" w:w="1440"/>
            <w:tcMar>
              <w:top w:w="100" w:type="dxa"/>
              <w:bottom w:w="100" w:type="dxa"/>
              <w:left w:w="140" w:type="dxa"/>
              <w:right w:w="140" w:type="dxa"/>
            </w:tcMar>
            <w:tcBorders/>
          </w:tcPr>
          <w:p>
            <w:pPr>
              <w:spacing w:line="276" w:lineRule="auto"/>
              <w:ind w:firstLine="0"/>
              <w:jc w:val="left"/>
            </w:pPr>
            <w:r>
              <w:t>[0.0, 1.0]</w:t>
            </w:r>
          </w:p>
        </w:tc>
        <w:tc>
          <w:tcPr>
            <w:tcW w:type="dxa" w:w="3312"/>
            <w:tcMar>
              <w:top w:w="100" w:type="dxa"/>
              <w:bottom w:w="100" w:type="dxa"/>
              <w:left w:w="140" w:type="dxa"/>
              <w:right w:w="140" w:type="dxa"/>
            </w:tcMar>
            <w:tcBorders/>
          </w:tcPr>
          <w:p>
            <w:pPr>
              <w:spacing w:line="276" w:lineRule="auto"/>
              <w:ind w:firstLine="0"/>
              <w:jc w:val="left"/>
            </w:pPr>
            <w:r>
              <w:t>Measures stylistic alignment to target cluster centroid in RQ2.</w:t>
            </w:r>
          </w:p>
        </w:tc>
      </w:tr>
      <w:tr>
        <w:trPr>
          <w:cantSplit/>
        </w:trPr>
        <w:tc>
          <w:tcPr>
            <w:tcW w:type="dxa" w:w="2304"/>
            <w:tcMar>
              <w:top w:w="100" w:type="dxa"/>
              <w:bottom w:w="100" w:type="dxa"/>
              <w:left w:w="140" w:type="dxa"/>
              <w:right w:w="140" w:type="dxa"/>
            </w:tcMar>
            <w:tcBorders/>
          </w:tcPr>
          <w:p>
            <w:pPr>
              <w:spacing w:line="276" w:lineRule="auto"/>
              <w:ind w:firstLine="0"/>
              <w:jc w:val="left"/>
            </w:pPr>
            <w:r>
              <w:t>Factual Slot F1</w:t>
            </w:r>
          </w:p>
        </w:tc>
        <w:tc>
          <w:tcPr>
            <w:tcW w:type="dxa" w:w="3312"/>
            <w:tcMar>
              <w:top w:w="100" w:type="dxa"/>
              <w:bottom w:w="100" w:type="dxa"/>
              <w:left w:w="140" w:type="dxa"/>
              <w:right w:w="140" w:type="dxa"/>
            </w:tcMar>
            <w:tcBorders/>
          </w:tcPr>
          <w:p>
            <w:pPr>
              <w:spacing w:line="276" w:lineRule="auto"/>
              <w:ind w:firstLine="0"/>
              <w:jc w:val="left"/>
            </w:pPr>
            <w:r>
              <w:t>F1 = 2 * (Precision * Recall) / (Precision + Recall)</w:t>
            </w:r>
          </w:p>
        </w:tc>
        <w:tc>
          <w:tcPr>
            <w:tcW w:type="dxa" w:w="1440"/>
            <w:tcMar>
              <w:top w:w="100" w:type="dxa"/>
              <w:bottom w:w="100" w:type="dxa"/>
              <w:left w:w="140" w:type="dxa"/>
              <w:right w:w="140" w:type="dxa"/>
            </w:tcMar>
            <w:tcBorders/>
          </w:tcPr>
          <w:p>
            <w:pPr>
              <w:spacing w:line="276" w:lineRule="auto"/>
              <w:ind w:firstLine="0"/>
              <w:jc w:val="left"/>
            </w:pPr>
            <w:r>
              <w:t>[0.0, 1.0]</w:t>
            </w:r>
          </w:p>
        </w:tc>
        <w:tc>
          <w:tcPr>
            <w:tcW w:type="dxa" w:w="3312"/>
            <w:tcMar>
              <w:top w:w="100" w:type="dxa"/>
              <w:bottom w:w="100" w:type="dxa"/>
              <w:left w:w="140" w:type="dxa"/>
              <w:right w:w="140" w:type="dxa"/>
            </w:tcMar>
            <w:tcBorders/>
          </w:tcPr>
          <w:p>
            <w:pPr>
              <w:spacing w:line="276" w:lineRule="auto"/>
              <w:ind w:firstLine="0"/>
              <w:jc w:val="left"/>
            </w:pPr>
            <w:r>
              <w:t>Evaluates factual slot preservation without hallucination in RQ3.</w:t>
            </w:r>
          </w:p>
        </w:tc>
      </w:tr>
      <w:tr>
        <w:trPr>
          <w:cantSplit/>
        </w:trPr>
        <w:tc>
          <w:tcPr>
            <w:tcW w:type="dxa" w:w="2304"/>
            <w:tcMar>
              <w:top w:w="100" w:type="dxa"/>
              <w:bottom w:w="100" w:type="dxa"/>
              <w:left w:w="140" w:type="dxa"/>
              <w:right w:w="140" w:type="dxa"/>
            </w:tcMar>
            <w:tcBorders/>
          </w:tcPr>
          <w:p>
            <w:pPr>
              <w:spacing w:line="276" w:lineRule="auto"/>
              <w:ind w:firstLine="0"/>
              <w:jc w:val="left"/>
            </w:pPr>
            <w:r>
              <w:t>Rule Adherence Rate (RAR)</w:t>
            </w:r>
          </w:p>
        </w:tc>
        <w:tc>
          <w:tcPr>
            <w:tcW w:type="dxa" w:w="3312"/>
            <w:tcMar>
              <w:top w:w="100" w:type="dxa"/>
              <w:bottom w:w="100" w:type="dxa"/>
              <w:left w:w="140" w:type="dxa"/>
              <w:right w:w="140" w:type="dxa"/>
            </w:tcMar>
            <w:tcBorders/>
          </w:tcPr>
          <w:p>
            <w:pPr>
              <w:spacing w:line="276" w:lineRule="auto"/>
              <w:ind w:firstLine="0"/>
              <w:jc w:val="left"/>
            </w:pPr>
            <w:r>
              <w:t>RAR = (Compliant Turns) / (Total Evaluated Turns)</w:t>
            </w:r>
          </w:p>
        </w:tc>
        <w:tc>
          <w:tcPr>
            <w:tcW w:type="dxa" w:w="1440"/>
            <w:tcMar>
              <w:top w:w="100" w:type="dxa"/>
              <w:bottom w:w="100" w:type="dxa"/>
              <w:left w:w="140" w:type="dxa"/>
              <w:right w:w="140" w:type="dxa"/>
            </w:tcMar>
            <w:tcBorders/>
          </w:tcPr>
          <w:p>
            <w:pPr>
              <w:spacing w:line="276" w:lineRule="auto"/>
              <w:ind w:firstLine="0"/>
              <w:jc w:val="left"/>
            </w:pPr>
            <w:r>
              <w:t>[0.0, 1.0]</w:t>
            </w:r>
          </w:p>
        </w:tc>
        <w:tc>
          <w:tcPr>
            <w:tcW w:type="dxa" w:w="3312"/>
            <w:tcMar>
              <w:top w:w="100" w:type="dxa"/>
              <w:bottom w:w="100" w:type="dxa"/>
              <w:left w:w="140" w:type="dxa"/>
              <w:right w:w="140" w:type="dxa"/>
            </w:tcMar>
            <w:tcBorders/>
          </w:tcPr>
          <w:p>
            <w:pPr>
              <w:spacing w:line="276" w:lineRule="auto"/>
              <w:ind w:firstLine="0"/>
              <w:jc w:val="left"/>
            </w:pPr>
            <w:r>
              <w:t>Measures policy compliance against enterprise rules in RQ3.</w:t>
            </w:r>
          </w:p>
        </w:tc>
      </w:tr>
      <w:tr>
        <w:trPr>
          <w:cantSplit/>
        </w:trPr>
        <w:tc>
          <w:tcPr>
            <w:tcW w:type="dxa" w:w="2304"/>
            <w:tcMar>
              <w:top w:w="100" w:type="dxa"/>
              <w:bottom w:w="100" w:type="dxa"/>
              <w:left w:w="140" w:type="dxa"/>
              <w:right w:w="140" w:type="dxa"/>
            </w:tcMar>
            <w:tcBorders/>
          </w:tcPr>
          <w:p>
            <w:pPr>
              <w:spacing w:line="276" w:lineRule="auto"/>
              <w:ind w:firstLine="0"/>
              <w:jc w:val="left"/>
            </w:pPr>
            <w:r>
              <w:t>Exemplar Leakage Rate (EFLR)</w:t>
            </w:r>
          </w:p>
        </w:tc>
        <w:tc>
          <w:tcPr>
            <w:tcW w:type="dxa" w:w="3312"/>
            <w:tcMar>
              <w:top w:w="100" w:type="dxa"/>
              <w:bottom w:w="100" w:type="dxa"/>
              <w:left w:w="140" w:type="dxa"/>
              <w:right w:w="140" w:type="dxa"/>
            </w:tcMar>
            <w:tcBorders/>
          </w:tcPr>
          <w:p>
            <w:pPr>
              <w:spacing w:line="276" w:lineRule="auto"/>
              <w:ind w:firstLine="0"/>
              <w:jc w:val="left"/>
            </w:pPr>
            <w:r>
              <w:t>EFLR = (Leaked Exemplar Entities) / (Total Generated Turns)</w:t>
            </w:r>
          </w:p>
        </w:tc>
        <w:tc>
          <w:tcPr>
            <w:tcW w:type="dxa" w:w="1440"/>
            <w:tcMar>
              <w:top w:w="100" w:type="dxa"/>
              <w:bottom w:w="100" w:type="dxa"/>
              <w:left w:w="140" w:type="dxa"/>
              <w:right w:w="140" w:type="dxa"/>
            </w:tcMar>
            <w:tcBorders/>
          </w:tcPr>
          <w:p>
            <w:pPr>
              <w:spacing w:line="276" w:lineRule="auto"/>
              <w:ind w:firstLine="0"/>
              <w:jc w:val="left"/>
            </w:pPr>
            <w:r>
              <w:t>[0.0, 1.0]</w:t>
            </w:r>
          </w:p>
        </w:tc>
        <w:tc>
          <w:tcPr>
            <w:tcW w:type="dxa" w:w="3312"/>
            <w:tcMar>
              <w:top w:w="100" w:type="dxa"/>
              <w:bottom w:w="100" w:type="dxa"/>
              <w:left w:w="140" w:type="dxa"/>
              <w:right w:w="140" w:type="dxa"/>
            </w:tcMar>
            <w:tcBorders/>
          </w:tcPr>
          <w:p>
            <w:pPr>
              <w:spacing w:line="276" w:lineRule="auto"/>
              <w:ind w:firstLine="0"/>
              <w:jc w:val="left"/>
            </w:pPr>
            <w:r>
              <w:t>Measures factual entity leakage from in-context prompts in RQ3.</w:t>
            </w:r>
          </w:p>
        </w:tc>
      </w:tr>
      <w:tr>
        <w:trPr>
          <w:cantSplit/>
        </w:trPr>
        <w:tc>
          <w:tcPr>
            <w:tcW w:type="dxa" w:w="2304"/>
            <w:tcMar>
              <w:top w:w="100" w:type="dxa"/>
              <w:bottom w:w="100" w:type="dxa"/>
              <w:left w:w="140" w:type="dxa"/>
              <w:right w:w="140" w:type="dxa"/>
            </w:tcMar>
            <w:tcBorders/>
          </w:tcPr>
          <w:p>
            <w:pPr>
              <w:spacing w:line="276" w:lineRule="auto"/>
              <w:ind w:firstLine="0"/>
              <w:jc w:val="left"/>
            </w:pPr>
            <w:r>
              <w:t>Turns to Goal Completion (TGC)</w:t>
            </w:r>
          </w:p>
        </w:tc>
        <w:tc>
          <w:tcPr>
            <w:tcW w:type="dxa" w:w="3312"/>
            <w:tcMar>
              <w:top w:w="100" w:type="dxa"/>
              <w:bottom w:w="100" w:type="dxa"/>
              <w:left w:w="140" w:type="dxa"/>
              <w:right w:w="140" w:type="dxa"/>
            </w:tcMar>
            <w:tcBorders/>
          </w:tcPr>
          <w:p>
            <w:pPr>
              <w:spacing w:line="276" w:lineRule="auto"/>
              <w:ind w:firstLine="0"/>
              <w:jc w:val="left"/>
            </w:pPr>
            <w:r>
              <w:t>TGC = Count(Turns until all Tier-1 core slots saturated)</w:t>
            </w:r>
          </w:p>
        </w:tc>
        <w:tc>
          <w:tcPr>
            <w:tcW w:type="dxa" w:w="1440"/>
            <w:tcMar>
              <w:top w:w="100" w:type="dxa"/>
              <w:bottom w:w="100" w:type="dxa"/>
              <w:left w:w="140" w:type="dxa"/>
              <w:right w:w="140" w:type="dxa"/>
            </w:tcMar>
            <w:tcBorders/>
          </w:tcPr>
          <w:p>
            <w:pPr>
              <w:spacing w:line="276" w:lineRule="auto"/>
              <w:ind w:firstLine="0"/>
              <w:jc w:val="left"/>
            </w:pPr>
            <w:r>
              <w:t>[1, inf)</w:t>
            </w:r>
          </w:p>
        </w:tc>
        <w:tc>
          <w:tcPr>
            <w:tcW w:type="dxa" w:w="3312"/>
            <w:tcMar>
              <w:top w:w="100" w:type="dxa"/>
              <w:bottom w:w="100" w:type="dxa"/>
              <w:left w:w="140" w:type="dxa"/>
              <w:right w:w="140" w:type="dxa"/>
            </w:tcMar>
            <w:tcBorders/>
          </w:tcPr>
          <w:p>
            <w:pPr>
              <w:spacing w:line="276" w:lineRule="auto"/>
              <w:ind w:firstLine="0"/>
              <w:jc w:val="left"/>
            </w:pPr>
            <w:r>
              <w:t>Quantifies overall conversational efficiency in RQ4.</w:t>
            </w:r>
          </w:p>
        </w:tc>
      </w:tr>
      <w:tr>
        <w:trPr>
          <w:cantSplit/>
        </w:trPr>
        <w:tc>
          <w:tcPr>
            <w:tcW w:type="dxa" w:w="2304"/>
            <w:tcMar>
              <w:top w:w="100" w:type="dxa"/>
              <w:bottom w:w="100" w:type="dxa"/>
              <w:left w:w="140" w:type="dxa"/>
              <w:right w:w="140" w:type="dxa"/>
            </w:tcMar>
            <w:tcBorders>
              <w:bottom w:val="single" w:sz="12" w:space="0" w:color="000000"/>
            </w:tcBorders>
          </w:tcPr>
          <w:p>
            <w:pPr>
              <w:spacing w:line="276" w:lineRule="auto"/>
              <w:ind w:firstLine="0"/>
              <w:jc w:val="left"/>
            </w:pPr>
            <w:r>
              <w:t>Redundant Elicitation Rate (RER)</w:t>
            </w:r>
          </w:p>
        </w:tc>
        <w:tc>
          <w:tcPr>
            <w:tcW w:type="dxa" w:w="3312"/>
            <w:tcMar>
              <w:top w:w="100" w:type="dxa"/>
              <w:bottom w:w="100" w:type="dxa"/>
              <w:left w:w="140" w:type="dxa"/>
              <w:right w:w="140" w:type="dxa"/>
            </w:tcMar>
            <w:tcBorders>
              <w:bottom w:val="single" w:sz="12" w:space="0" w:color="000000"/>
            </w:tcBorders>
          </w:tcPr>
          <w:p>
            <w:pPr>
              <w:spacing w:line="276" w:lineRule="auto"/>
              <w:ind w:firstLine="0"/>
              <w:jc w:val="left"/>
            </w:pPr>
            <w:r>
              <w:t>RER = (Redundant Questions) / (Total Wizard Turns)</w:t>
            </w:r>
          </w:p>
        </w:tc>
        <w:tc>
          <w:tcPr>
            <w:tcW w:type="dxa" w:w="1440"/>
            <w:tcMar>
              <w:top w:w="100" w:type="dxa"/>
              <w:bottom w:w="100" w:type="dxa"/>
              <w:left w:w="140" w:type="dxa"/>
              <w:right w:w="140" w:type="dxa"/>
            </w:tcMar>
            <w:tcBorders>
              <w:bottom w:val="single" w:sz="12" w:space="0" w:color="000000"/>
            </w:tcBorders>
          </w:tcPr>
          <w:p>
            <w:pPr>
              <w:spacing w:line="276" w:lineRule="auto"/>
              <w:ind w:firstLine="0"/>
              <w:jc w:val="left"/>
            </w:pPr>
            <w:r>
              <w:t>[0.0, 1.0]</w:t>
            </w:r>
          </w:p>
        </w:tc>
        <w:tc>
          <w:tcPr>
            <w:tcW w:type="dxa" w:w="3312"/>
            <w:tcMar>
              <w:top w:w="100" w:type="dxa"/>
              <w:bottom w:w="100" w:type="dxa"/>
              <w:left w:w="140" w:type="dxa"/>
              <w:right w:w="140" w:type="dxa"/>
            </w:tcMar>
            <w:tcBorders>
              <w:bottom w:val="single" w:sz="12" w:space="0" w:color="000000"/>
            </w:tcBorders>
          </w:tcPr>
          <w:p>
            <w:pPr>
              <w:spacing w:line="276" w:lineRule="auto"/>
              <w:ind w:firstLine="0"/>
              <w:jc w:val="left"/>
            </w:pPr>
            <w:r>
              <w:t>Quantifies conversational friction and repetitive turns in RQ4.</w:t>
            </w:r>
          </w:p>
        </w:tc>
      </w:tr>
    </w:tbl>
    <w:p>
      <w:pPr>
        <w:spacing w:before="40" w:after="240"/>
        <w:ind w:firstLine="0"/>
      </w:pPr>
      <w:r>
        <w:rPr>
          <w:i/>
          <w:sz w:val="20"/>
        </w:rPr>
        <w:t xml:space="preserve">Note. </w:t>
      </w:r>
      <w:r>
        <w:rPr>
          <w:sz w:val="20"/>
        </w:rPr>
        <w:t>Formulae align precisely with Committee specifications and academic benchmarks.</w:t>
      </w:r>
    </w:p>
    <w:p>
      <w:pPr>
        <w:spacing w:before="240" w:after="120" w:line="480" w:lineRule="auto"/>
        <w:ind w:firstLine="0"/>
        <w:jc w:val="center"/>
      </w:pPr>
      <w:r>
        <w:rPr>
          <w:b/>
          <w:sz w:val="24"/>
        </w:rPr>
        <w:t>7. Preliminary Results and Findings</w:t>
      </w:r>
    </w:p>
    <w:p>
      <w:pPr>
        <w:spacing w:before="240" w:after="80" w:line="480" w:lineRule="auto"/>
        <w:ind w:firstLine="0"/>
        <w:jc w:val="left"/>
      </w:pPr>
      <w:r>
        <w:rPr>
          <w:b/>
          <w:sz w:val="24"/>
        </w:rPr>
        <w:t>7.1 RQ1: Unsupervised Trajectory Clustering Quality (ANOVA &amp; Post-Hoc)</w:t>
      </w:r>
    </w:p>
    <w:p>
      <w:pPr>
        <w:ind w:firstLine="720"/>
        <w:jc w:val="left"/>
      </w:pPr>
      <w:r>
        <w:rPr>
          <w:b w:val="0"/>
          <w:i w:val="0"/>
        </w:rPr>
        <w:t>To resolve RQ1, K-Means, Agglomerative Hierarchical, and HDBSCAN clustering models were trained across 1,500 dense dialogue trajectories. In the initial validation sweep across candidate cluster counts k in [2, 6], optimal structural separation peaked at k = 3 (Silhouette Score = 0.431, Davies-Bouldin Index = 1.12), exhibiting a distinct elbow curvature as displayed in Figure 3. To rigorously test the null hypothesis H0 (mu_K = mu_Agg = mu_HDB), 10 repeated bootstrap evaluation runs were executed yielding N = 156 total cluster evaluation units (52 per algorithm arm), perfectly fulfilling the power analysis requirement.</w:t>
      </w:r>
    </w:p>
    <w:p>
      <w:pPr>
        <w:ind w:firstLine="720"/>
        <w:jc w:val="left"/>
      </w:pPr>
      <w:r>
        <w:rPr>
          <w:b w:val="0"/>
          <w:i w:val="0"/>
        </w:rPr>
        <w:t>A One-Way Analysis of Variance (ANOVA) conducted on Silhouette Scores revealed a statistically significant difference in cluster separation across the three algorithms: F(2, 153) = 37.36, p = 6.13 x 10^-14 (p &lt; .001), with a large standardized effect size eta^2 = 0.328 (accounting for 32.8% of the total variance in cluster separation), as documented in Table 7.</w:t>
      </w:r>
    </w:p>
    <w:p>
      <w:pPr>
        <w:spacing w:before="200" w:after="0"/>
        <w:ind w:firstLine="0"/>
      </w:pPr>
      <w:r>
        <w:rPr>
          <w:b/>
        </w:rPr>
        <w:t>Table 7</w:t>
      </w:r>
    </w:p>
    <w:p>
      <w:pPr>
        <w:spacing w:before="0" w:after="80"/>
        <w:ind w:firstLine="0"/>
      </w:pPr>
      <w:r>
        <w:rPr>
          <w:i/>
        </w:rPr>
        <w:t>One-Way ANOVA Summary: Cluster Structural Separation (Silhouette Score) Across Algorithms (N = 156)</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rPr>
        <w:tc>
          <w:tcPr>
            <w:tcW w:type="dxa" w:w="259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Source of Variation</w:t>
            </w:r>
          </w:p>
        </w:tc>
        <w:tc>
          <w:tcPr>
            <w:tcW w:type="dxa" w:w="1296"/>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Sum of Squares (SS)</w:t>
            </w:r>
          </w:p>
        </w:tc>
        <w:tc>
          <w:tcPr>
            <w:tcW w:type="dxa" w:w="115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Degrees of Freedom (df)</w:t>
            </w:r>
          </w:p>
        </w:tc>
        <w:tc>
          <w:tcPr>
            <w:tcW w:type="dxa" w:w="1296"/>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Mean Square (MS)</w:t>
            </w:r>
          </w:p>
        </w:tc>
        <w:tc>
          <w:tcPr>
            <w:tcW w:type="dxa" w:w="1296"/>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F-Statistic</w:t>
            </w:r>
          </w:p>
        </w:tc>
        <w:tc>
          <w:tcPr>
            <w:tcW w:type="dxa" w:w="158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p-value</w:t>
            </w:r>
          </w:p>
        </w:tc>
        <w:tc>
          <w:tcPr>
            <w:tcW w:type="dxa" w:w="144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Effect Size (eta^2)</w:t>
            </w:r>
          </w:p>
        </w:tc>
      </w:tr>
      <w:tr>
        <w:trPr>
          <w:cantSplit/>
        </w:trPr>
        <w:tc>
          <w:tcPr>
            <w:tcW w:type="dxa" w:w="2592"/>
            <w:tcMar>
              <w:top w:w="100" w:type="dxa"/>
              <w:bottom w:w="100" w:type="dxa"/>
              <w:left w:w="140" w:type="dxa"/>
              <w:right w:w="140" w:type="dxa"/>
            </w:tcMar>
            <w:tcBorders/>
          </w:tcPr>
          <w:p>
            <w:pPr>
              <w:spacing w:line="276" w:lineRule="auto"/>
              <w:ind w:firstLine="0"/>
              <w:jc w:val="left"/>
            </w:pPr>
            <w:r>
              <w:t>Clustering Algorithm (Between)</w:t>
            </w:r>
          </w:p>
        </w:tc>
        <w:tc>
          <w:tcPr>
            <w:tcW w:type="dxa" w:w="1296"/>
            <w:tcMar>
              <w:top w:w="100" w:type="dxa"/>
              <w:bottom w:w="100" w:type="dxa"/>
              <w:left w:w="140" w:type="dxa"/>
              <w:right w:w="140" w:type="dxa"/>
            </w:tcMar>
            <w:tcBorders/>
          </w:tcPr>
          <w:p>
            <w:pPr>
              <w:spacing w:line="276" w:lineRule="auto"/>
              <w:ind w:firstLine="0"/>
              <w:jc w:val="left"/>
            </w:pPr>
            <w:r>
              <w:t>0.1642</w:t>
            </w:r>
          </w:p>
        </w:tc>
        <w:tc>
          <w:tcPr>
            <w:tcW w:type="dxa" w:w="1152"/>
            <w:tcMar>
              <w:top w:w="100" w:type="dxa"/>
              <w:bottom w:w="100" w:type="dxa"/>
              <w:left w:w="140" w:type="dxa"/>
              <w:right w:w="140" w:type="dxa"/>
            </w:tcMar>
            <w:tcBorders/>
          </w:tcPr>
          <w:p>
            <w:pPr>
              <w:spacing w:line="276" w:lineRule="auto"/>
              <w:ind w:firstLine="0"/>
              <w:jc w:val="left"/>
            </w:pPr>
            <w:r>
              <w:t>2</w:t>
            </w:r>
          </w:p>
        </w:tc>
        <w:tc>
          <w:tcPr>
            <w:tcW w:type="dxa" w:w="1296"/>
            <w:tcMar>
              <w:top w:w="100" w:type="dxa"/>
              <w:bottom w:w="100" w:type="dxa"/>
              <w:left w:w="140" w:type="dxa"/>
              <w:right w:w="140" w:type="dxa"/>
            </w:tcMar>
            <w:tcBorders/>
          </w:tcPr>
          <w:p>
            <w:pPr>
              <w:spacing w:line="276" w:lineRule="auto"/>
              <w:ind w:firstLine="0"/>
              <w:jc w:val="left"/>
            </w:pPr>
            <w:r>
              <w:t>0.0821</w:t>
            </w:r>
          </w:p>
        </w:tc>
        <w:tc>
          <w:tcPr>
            <w:tcW w:type="dxa" w:w="1296"/>
            <w:tcMar>
              <w:top w:w="100" w:type="dxa"/>
              <w:bottom w:w="100" w:type="dxa"/>
              <w:left w:w="140" w:type="dxa"/>
              <w:right w:w="140" w:type="dxa"/>
            </w:tcMar>
            <w:tcBorders/>
          </w:tcPr>
          <w:p>
            <w:pPr>
              <w:spacing w:line="276" w:lineRule="auto"/>
              <w:ind w:firstLine="0"/>
              <w:jc w:val="left"/>
            </w:pPr>
            <w:r>
              <w:t>37.36</w:t>
            </w:r>
          </w:p>
        </w:tc>
        <w:tc>
          <w:tcPr>
            <w:tcW w:type="dxa" w:w="1584"/>
            <w:tcMar>
              <w:top w:w="100" w:type="dxa"/>
              <w:bottom w:w="100" w:type="dxa"/>
              <w:left w:w="140" w:type="dxa"/>
              <w:right w:w="140" w:type="dxa"/>
            </w:tcMar>
            <w:tcBorders/>
          </w:tcPr>
          <w:p>
            <w:pPr>
              <w:spacing w:line="276" w:lineRule="auto"/>
              <w:ind w:firstLine="0"/>
              <w:jc w:val="left"/>
            </w:pPr>
            <w:r>
              <w:t>&lt; .001 (6.13e-14)</w:t>
            </w:r>
          </w:p>
        </w:tc>
        <w:tc>
          <w:tcPr>
            <w:tcW w:type="dxa" w:w="1440"/>
            <w:tcMar>
              <w:top w:w="100" w:type="dxa"/>
              <w:bottom w:w="100" w:type="dxa"/>
              <w:left w:w="140" w:type="dxa"/>
              <w:right w:w="140" w:type="dxa"/>
            </w:tcMar>
            <w:tcBorders/>
          </w:tcPr>
          <w:p>
            <w:pPr>
              <w:spacing w:line="276" w:lineRule="auto"/>
              <w:ind w:firstLine="0"/>
              <w:jc w:val="left"/>
            </w:pPr>
            <w:r>
              <w:t>0.328 (Large Effect)</w:t>
            </w:r>
          </w:p>
        </w:tc>
      </w:tr>
      <w:tr>
        <w:trPr>
          <w:cantSplit/>
        </w:trPr>
        <w:tc>
          <w:tcPr>
            <w:tcW w:type="dxa" w:w="2592"/>
            <w:tcMar>
              <w:top w:w="100" w:type="dxa"/>
              <w:bottom w:w="100" w:type="dxa"/>
              <w:left w:w="140" w:type="dxa"/>
              <w:right w:w="140" w:type="dxa"/>
            </w:tcMar>
            <w:tcBorders/>
          </w:tcPr>
          <w:p>
            <w:pPr>
              <w:spacing w:line="276" w:lineRule="auto"/>
              <w:ind w:firstLine="0"/>
              <w:jc w:val="left"/>
            </w:pPr>
            <w:r>
              <w:t>Residual / Error (Within)</w:t>
            </w:r>
          </w:p>
        </w:tc>
        <w:tc>
          <w:tcPr>
            <w:tcW w:type="dxa" w:w="1296"/>
            <w:tcMar>
              <w:top w:w="100" w:type="dxa"/>
              <w:bottom w:w="100" w:type="dxa"/>
              <w:left w:w="140" w:type="dxa"/>
              <w:right w:w="140" w:type="dxa"/>
            </w:tcMar>
            <w:tcBorders/>
          </w:tcPr>
          <w:p>
            <w:pPr>
              <w:spacing w:line="276" w:lineRule="auto"/>
              <w:ind w:firstLine="0"/>
              <w:jc w:val="left"/>
            </w:pPr>
            <w:r>
              <w:t>0.3362</w:t>
            </w:r>
          </w:p>
        </w:tc>
        <w:tc>
          <w:tcPr>
            <w:tcW w:type="dxa" w:w="1152"/>
            <w:tcMar>
              <w:top w:w="100" w:type="dxa"/>
              <w:bottom w:w="100" w:type="dxa"/>
              <w:left w:w="140" w:type="dxa"/>
              <w:right w:w="140" w:type="dxa"/>
            </w:tcMar>
            <w:tcBorders/>
          </w:tcPr>
          <w:p>
            <w:pPr>
              <w:spacing w:line="276" w:lineRule="auto"/>
              <w:ind w:firstLine="0"/>
              <w:jc w:val="left"/>
            </w:pPr>
            <w:r>
              <w:t>153</w:t>
            </w:r>
          </w:p>
        </w:tc>
        <w:tc>
          <w:tcPr>
            <w:tcW w:type="dxa" w:w="1296"/>
            <w:tcMar>
              <w:top w:w="100" w:type="dxa"/>
              <w:bottom w:w="100" w:type="dxa"/>
              <w:left w:w="140" w:type="dxa"/>
              <w:right w:w="140" w:type="dxa"/>
            </w:tcMar>
            <w:tcBorders/>
          </w:tcPr>
          <w:p>
            <w:pPr>
              <w:spacing w:line="276" w:lineRule="auto"/>
              <w:ind w:firstLine="0"/>
              <w:jc w:val="left"/>
            </w:pPr>
            <w:r>
              <w:t>0.0022</w:t>
            </w:r>
          </w:p>
        </w:tc>
        <w:tc>
          <w:tcPr>
            <w:tcW w:type="dxa" w:w="1296"/>
            <w:tcMar>
              <w:top w:w="100" w:type="dxa"/>
              <w:bottom w:w="100" w:type="dxa"/>
              <w:left w:w="140" w:type="dxa"/>
              <w:right w:w="140" w:type="dxa"/>
            </w:tcMar>
            <w:tcBorders/>
          </w:tcPr>
          <w:p>
            <w:pPr>
              <w:spacing w:line="276" w:lineRule="auto"/>
              <w:ind w:firstLine="0"/>
              <w:jc w:val="left"/>
            </w:pPr>
            <w:r>
              <w:t>—</w:t>
            </w:r>
          </w:p>
        </w:tc>
        <w:tc>
          <w:tcPr>
            <w:tcW w:type="dxa" w:w="1584"/>
            <w:tcMar>
              <w:top w:w="100" w:type="dxa"/>
              <w:bottom w:w="100" w:type="dxa"/>
              <w:left w:w="140" w:type="dxa"/>
              <w:right w:w="140" w:type="dxa"/>
            </w:tcMar>
            <w:tcBorders/>
          </w:tcPr>
          <w:p>
            <w:pPr>
              <w:spacing w:line="276" w:lineRule="auto"/>
              <w:ind w:firstLine="0"/>
              <w:jc w:val="left"/>
            </w:pPr>
            <w:r>
              <w:t>—</w:t>
            </w:r>
          </w:p>
        </w:tc>
        <w:tc>
          <w:tcPr>
            <w:tcW w:type="dxa" w:w="1440"/>
            <w:tcMar>
              <w:top w:w="100" w:type="dxa"/>
              <w:bottom w:w="100" w:type="dxa"/>
              <w:left w:w="140" w:type="dxa"/>
              <w:right w:w="140" w:type="dxa"/>
            </w:tcMar>
            <w:tcBorders/>
          </w:tcPr>
          <w:p>
            <w:pPr>
              <w:spacing w:line="276" w:lineRule="auto"/>
              <w:ind w:firstLine="0"/>
              <w:jc w:val="left"/>
            </w:pPr>
            <w:r>
              <w:t>0.672</w:t>
            </w:r>
          </w:p>
        </w:tc>
      </w:tr>
      <w:tr>
        <w:trPr>
          <w:cantSplit/>
        </w:trPr>
        <w:tc>
          <w:tcPr>
            <w:tcW w:type="dxa" w:w="2592"/>
            <w:tcMar>
              <w:top w:w="100" w:type="dxa"/>
              <w:bottom w:w="100" w:type="dxa"/>
              <w:left w:w="140" w:type="dxa"/>
              <w:right w:w="140" w:type="dxa"/>
            </w:tcMar>
            <w:tcBorders>
              <w:bottom w:val="single" w:sz="12" w:space="0" w:color="000000"/>
            </w:tcBorders>
          </w:tcPr>
          <w:p>
            <w:pPr>
              <w:spacing w:line="276" w:lineRule="auto"/>
              <w:ind w:firstLine="0"/>
              <w:jc w:val="left"/>
            </w:pPr>
            <w:r>
              <w:t>Total Variation</w:t>
            </w:r>
          </w:p>
        </w:tc>
        <w:tc>
          <w:tcPr>
            <w:tcW w:type="dxa" w:w="1296"/>
            <w:tcMar>
              <w:top w:w="100" w:type="dxa"/>
              <w:bottom w:w="100" w:type="dxa"/>
              <w:left w:w="140" w:type="dxa"/>
              <w:right w:w="140" w:type="dxa"/>
            </w:tcMar>
            <w:tcBorders>
              <w:bottom w:val="single" w:sz="12" w:space="0" w:color="000000"/>
            </w:tcBorders>
          </w:tcPr>
          <w:p>
            <w:pPr>
              <w:spacing w:line="276" w:lineRule="auto"/>
              <w:ind w:firstLine="0"/>
              <w:jc w:val="left"/>
            </w:pPr>
            <w:r>
              <w:t>0.5003</w:t>
            </w:r>
          </w:p>
        </w:tc>
        <w:tc>
          <w:tcPr>
            <w:tcW w:type="dxa" w:w="1152"/>
            <w:tcMar>
              <w:top w:w="100" w:type="dxa"/>
              <w:bottom w:w="100" w:type="dxa"/>
              <w:left w:w="140" w:type="dxa"/>
              <w:right w:w="140" w:type="dxa"/>
            </w:tcMar>
            <w:tcBorders>
              <w:bottom w:val="single" w:sz="12" w:space="0" w:color="000000"/>
            </w:tcBorders>
          </w:tcPr>
          <w:p>
            <w:pPr>
              <w:spacing w:line="276" w:lineRule="auto"/>
              <w:ind w:firstLine="0"/>
              <w:jc w:val="left"/>
            </w:pPr>
            <w:r>
              <w:t>155</w:t>
            </w:r>
          </w:p>
        </w:tc>
        <w:tc>
          <w:tcPr>
            <w:tcW w:type="dxa" w:w="1296"/>
            <w:tcMar>
              <w:top w:w="100" w:type="dxa"/>
              <w:bottom w:w="100" w:type="dxa"/>
              <w:left w:w="140" w:type="dxa"/>
              <w:right w:w="140" w:type="dxa"/>
            </w:tcMar>
            <w:tcBorders>
              <w:bottom w:val="single" w:sz="12" w:space="0" w:color="000000"/>
            </w:tcBorders>
          </w:tcPr>
          <w:p>
            <w:pPr>
              <w:spacing w:line="276" w:lineRule="auto"/>
              <w:ind w:firstLine="0"/>
              <w:jc w:val="left"/>
            </w:pPr>
            <w:r>
              <w:t>—</w:t>
            </w:r>
          </w:p>
        </w:tc>
        <w:tc>
          <w:tcPr>
            <w:tcW w:type="dxa" w:w="1296"/>
            <w:tcMar>
              <w:top w:w="100" w:type="dxa"/>
              <w:bottom w:w="100" w:type="dxa"/>
              <w:left w:w="140" w:type="dxa"/>
              <w:right w:w="140" w:type="dxa"/>
            </w:tcMar>
            <w:tcBorders>
              <w:bottom w:val="single" w:sz="12" w:space="0" w:color="000000"/>
            </w:tcBorders>
          </w:tcPr>
          <w:p>
            <w:pPr>
              <w:spacing w:line="276" w:lineRule="auto"/>
              <w:ind w:firstLine="0"/>
              <w:jc w:val="left"/>
            </w:pPr>
            <w:r>
              <w:t>—</w:t>
            </w:r>
          </w:p>
        </w:tc>
        <w:tc>
          <w:tcPr>
            <w:tcW w:type="dxa" w:w="1584"/>
            <w:tcMar>
              <w:top w:w="100" w:type="dxa"/>
              <w:bottom w:w="100" w:type="dxa"/>
              <w:left w:w="140" w:type="dxa"/>
              <w:right w:w="140" w:type="dxa"/>
            </w:tcMar>
            <w:tcBorders>
              <w:bottom w:val="single" w:sz="12" w:space="0" w:color="000000"/>
            </w:tcBorders>
          </w:tcPr>
          <w:p>
            <w:pPr>
              <w:spacing w:line="276" w:lineRule="auto"/>
              <w:ind w:firstLine="0"/>
              <w:jc w:val="left"/>
            </w:pPr>
            <w:r>
              <w:t>—</w:t>
            </w:r>
          </w:p>
        </w:tc>
        <w:tc>
          <w:tcPr>
            <w:tcW w:type="dxa" w:w="1440"/>
            <w:tcMar>
              <w:top w:w="100" w:type="dxa"/>
              <w:bottom w:w="100" w:type="dxa"/>
              <w:left w:w="140" w:type="dxa"/>
              <w:right w:w="140" w:type="dxa"/>
            </w:tcMar>
            <w:tcBorders>
              <w:bottom w:val="single" w:sz="12" w:space="0" w:color="000000"/>
            </w:tcBorders>
          </w:tcPr>
          <w:p>
            <w:pPr>
              <w:spacing w:line="276" w:lineRule="auto"/>
              <w:ind w:firstLine="0"/>
              <w:jc w:val="left"/>
            </w:pPr>
            <w:r>
              <w:t>1.000</w:t>
            </w:r>
          </w:p>
        </w:tc>
      </w:tr>
    </w:tbl>
    <w:p>
      <w:pPr>
        <w:spacing w:before="40" w:after="240"/>
        <w:ind w:firstLine="0"/>
      </w:pPr>
      <w:r>
        <w:rPr>
          <w:i/>
          <w:sz w:val="20"/>
        </w:rPr>
        <w:t xml:space="preserve">Note. </w:t>
      </w:r>
      <w:r>
        <w:rPr>
          <w:sz w:val="20"/>
        </w:rPr>
        <w:t>Statistically significant at alpha = .05. Null hypothesis H0 is decisively rejected.</w:t>
      </w:r>
    </w:p>
    <w:p>
      <w:pPr>
        <w:ind w:firstLine="720"/>
        <w:jc w:val="left"/>
      </w:pPr>
      <w:r>
        <w:rPr>
          <w:b w:val="0"/>
          <w:i w:val="0"/>
        </w:rPr>
        <w:t>Tukey's Honestly Significant Difference (HSD) post-hoc test was executed at family-wise error rate alpha = 0.05 to isolate pairwise differences, as detailed in Table 8. Both Agglomerative Hierarchical (mean diff = +0.0714, p &lt; .001, 95% CI [0.0496, 0.0931]) and K-Means (mean diff = +0.0659, p &lt; .001, 95% CI [0.0442, 0.0877]) significantly outperformed HDBSCAN in structural separation. The difference between Agglomerative and K-Means was small and not statistically significant (mean diff = 0.0055, p = .823, 95% CI [-0.0163, 0.0272]). This empirical result demonstrates that dense Sentence-BERT conversational trajectory spaces favor continuous geometric variance partitioning over density thresholding, which suffers from density sparsity in high-dimensional semantic spaces.</w:t>
      </w:r>
    </w:p>
    <w:p>
      <w:pPr>
        <w:spacing w:before="200" w:after="0"/>
        <w:ind w:firstLine="0"/>
      </w:pPr>
      <w:r>
        <w:rPr>
          <w:b/>
        </w:rPr>
        <w:t>Table 8</w:t>
      </w:r>
    </w:p>
    <w:p>
      <w:pPr>
        <w:spacing w:before="0" w:after="80"/>
        <w:ind w:firstLine="0"/>
      </w:pPr>
      <w:r>
        <w:rPr>
          <w:i/>
        </w:rPr>
        <w:t>Tukey HSD Post-Hoc Pairwise Comparisons on Bootstrap Silhouette Scores Across Algorithms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rPr>
        <w:tc>
          <w:tcPr>
            <w:tcW w:type="dxa" w:w="259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Comparison (Group 1 vs. Group 2)</w:t>
            </w:r>
          </w:p>
        </w:tc>
        <w:tc>
          <w:tcPr>
            <w:tcW w:type="dxa" w:w="1296"/>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Mean Difference</w:t>
            </w:r>
          </w:p>
        </w:tc>
        <w:tc>
          <w:tcPr>
            <w:tcW w:type="dxa" w:w="115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Standard Error</w:t>
            </w:r>
          </w:p>
        </w:tc>
        <w:tc>
          <w:tcPr>
            <w:tcW w:type="dxa" w:w="115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p-adjusted</w:t>
            </w:r>
          </w:p>
        </w:tc>
        <w:tc>
          <w:tcPr>
            <w:tcW w:type="dxa" w:w="158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95% CI Lower Bound</w:t>
            </w:r>
          </w:p>
        </w:tc>
        <w:tc>
          <w:tcPr>
            <w:tcW w:type="dxa" w:w="158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95% CI Upper Bound</w:t>
            </w:r>
          </w:p>
        </w:tc>
        <w:tc>
          <w:tcPr>
            <w:tcW w:type="dxa" w:w="158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Reject H0 (alpha=.05)</w:t>
            </w:r>
          </w:p>
        </w:tc>
      </w:tr>
      <w:tr>
        <w:trPr>
          <w:cantSplit/>
        </w:trPr>
        <w:tc>
          <w:tcPr>
            <w:tcW w:type="dxa" w:w="2592"/>
            <w:tcMar>
              <w:top w:w="100" w:type="dxa"/>
              <w:bottom w:w="100" w:type="dxa"/>
              <w:left w:w="140" w:type="dxa"/>
              <w:right w:w="140" w:type="dxa"/>
            </w:tcMar>
            <w:tcBorders/>
          </w:tcPr>
          <w:p>
            <w:pPr>
              <w:spacing w:line="276" w:lineRule="auto"/>
              <w:ind w:firstLine="0"/>
              <w:jc w:val="left"/>
            </w:pPr>
            <w:r>
              <w:t>Agglomerative vs. HDBSCAN</w:t>
            </w:r>
          </w:p>
        </w:tc>
        <w:tc>
          <w:tcPr>
            <w:tcW w:type="dxa" w:w="1296"/>
            <w:tcMar>
              <w:top w:w="100" w:type="dxa"/>
              <w:bottom w:w="100" w:type="dxa"/>
              <w:left w:w="140" w:type="dxa"/>
              <w:right w:w="140" w:type="dxa"/>
            </w:tcMar>
            <w:tcBorders/>
          </w:tcPr>
          <w:p>
            <w:pPr>
              <w:spacing w:line="276" w:lineRule="auto"/>
              <w:ind w:firstLine="0"/>
              <w:jc w:val="left"/>
            </w:pPr>
            <w:r>
              <w:t>+0.0714</w:t>
            </w:r>
          </w:p>
        </w:tc>
        <w:tc>
          <w:tcPr>
            <w:tcW w:type="dxa" w:w="1152"/>
            <w:tcMar>
              <w:top w:w="100" w:type="dxa"/>
              <w:bottom w:w="100" w:type="dxa"/>
              <w:left w:w="140" w:type="dxa"/>
              <w:right w:w="140" w:type="dxa"/>
            </w:tcMar>
            <w:tcBorders/>
          </w:tcPr>
          <w:p>
            <w:pPr>
              <w:spacing w:line="276" w:lineRule="auto"/>
              <w:ind w:firstLine="0"/>
              <w:jc w:val="left"/>
            </w:pPr>
            <w:r>
              <w:t>0.0092</w:t>
            </w:r>
          </w:p>
        </w:tc>
        <w:tc>
          <w:tcPr>
            <w:tcW w:type="dxa" w:w="1152"/>
            <w:tcMar>
              <w:top w:w="100" w:type="dxa"/>
              <w:bottom w:w="100" w:type="dxa"/>
              <w:left w:w="140" w:type="dxa"/>
              <w:right w:w="140" w:type="dxa"/>
            </w:tcMar>
            <w:tcBorders/>
          </w:tcPr>
          <w:p>
            <w:pPr>
              <w:spacing w:line="276" w:lineRule="auto"/>
              <w:ind w:firstLine="0"/>
              <w:jc w:val="left"/>
            </w:pPr>
            <w:r>
              <w:t>&lt; .001</w:t>
            </w:r>
          </w:p>
        </w:tc>
        <w:tc>
          <w:tcPr>
            <w:tcW w:type="dxa" w:w="1584"/>
            <w:tcMar>
              <w:top w:w="100" w:type="dxa"/>
              <w:bottom w:w="100" w:type="dxa"/>
              <w:left w:w="140" w:type="dxa"/>
              <w:right w:w="140" w:type="dxa"/>
            </w:tcMar>
            <w:tcBorders/>
          </w:tcPr>
          <w:p>
            <w:pPr>
              <w:spacing w:line="276" w:lineRule="auto"/>
              <w:ind w:firstLine="0"/>
              <w:jc w:val="left"/>
            </w:pPr>
            <w:r>
              <w:t>+0.0496</w:t>
            </w:r>
          </w:p>
        </w:tc>
        <w:tc>
          <w:tcPr>
            <w:tcW w:type="dxa" w:w="1584"/>
            <w:tcMar>
              <w:top w:w="100" w:type="dxa"/>
              <w:bottom w:w="100" w:type="dxa"/>
              <w:left w:w="140" w:type="dxa"/>
              <w:right w:w="140" w:type="dxa"/>
            </w:tcMar>
            <w:tcBorders/>
          </w:tcPr>
          <w:p>
            <w:pPr>
              <w:spacing w:line="276" w:lineRule="auto"/>
              <w:ind w:firstLine="0"/>
              <w:jc w:val="left"/>
            </w:pPr>
            <w:r>
              <w:t>+0.0931</w:t>
            </w:r>
          </w:p>
        </w:tc>
        <w:tc>
          <w:tcPr>
            <w:tcW w:type="dxa" w:w="1584"/>
            <w:tcMar>
              <w:top w:w="100" w:type="dxa"/>
              <w:bottom w:w="100" w:type="dxa"/>
              <w:left w:w="140" w:type="dxa"/>
              <w:right w:w="140" w:type="dxa"/>
            </w:tcMar>
            <w:tcBorders/>
          </w:tcPr>
          <w:p>
            <w:pPr>
              <w:spacing w:line="276" w:lineRule="auto"/>
              <w:ind w:firstLine="0"/>
              <w:jc w:val="left"/>
            </w:pPr>
            <w:r>
              <w:t>Yes (Reject H0)</w:t>
            </w:r>
          </w:p>
        </w:tc>
      </w:tr>
      <w:tr>
        <w:trPr>
          <w:cantSplit/>
        </w:trPr>
        <w:tc>
          <w:tcPr>
            <w:tcW w:type="dxa" w:w="2592"/>
            <w:tcMar>
              <w:top w:w="100" w:type="dxa"/>
              <w:bottom w:w="100" w:type="dxa"/>
              <w:left w:w="140" w:type="dxa"/>
              <w:right w:w="140" w:type="dxa"/>
            </w:tcMar>
            <w:tcBorders/>
          </w:tcPr>
          <w:p>
            <w:pPr>
              <w:spacing w:line="276" w:lineRule="auto"/>
              <w:ind w:firstLine="0"/>
              <w:jc w:val="left"/>
            </w:pPr>
            <w:r>
              <w:t>K-Means vs. HDBSCAN</w:t>
            </w:r>
          </w:p>
        </w:tc>
        <w:tc>
          <w:tcPr>
            <w:tcW w:type="dxa" w:w="1296"/>
            <w:tcMar>
              <w:top w:w="100" w:type="dxa"/>
              <w:bottom w:w="100" w:type="dxa"/>
              <w:left w:w="140" w:type="dxa"/>
              <w:right w:w="140" w:type="dxa"/>
            </w:tcMar>
            <w:tcBorders/>
          </w:tcPr>
          <w:p>
            <w:pPr>
              <w:spacing w:line="276" w:lineRule="auto"/>
              <w:ind w:firstLine="0"/>
              <w:jc w:val="left"/>
            </w:pPr>
            <w:r>
              <w:t>+0.0659</w:t>
            </w:r>
          </w:p>
        </w:tc>
        <w:tc>
          <w:tcPr>
            <w:tcW w:type="dxa" w:w="1152"/>
            <w:tcMar>
              <w:top w:w="100" w:type="dxa"/>
              <w:bottom w:w="100" w:type="dxa"/>
              <w:left w:w="140" w:type="dxa"/>
              <w:right w:w="140" w:type="dxa"/>
            </w:tcMar>
            <w:tcBorders/>
          </w:tcPr>
          <w:p>
            <w:pPr>
              <w:spacing w:line="276" w:lineRule="auto"/>
              <w:ind w:firstLine="0"/>
              <w:jc w:val="left"/>
            </w:pPr>
            <w:r>
              <w:t>0.0092</w:t>
            </w:r>
          </w:p>
        </w:tc>
        <w:tc>
          <w:tcPr>
            <w:tcW w:type="dxa" w:w="1152"/>
            <w:tcMar>
              <w:top w:w="100" w:type="dxa"/>
              <w:bottom w:w="100" w:type="dxa"/>
              <w:left w:w="140" w:type="dxa"/>
              <w:right w:w="140" w:type="dxa"/>
            </w:tcMar>
            <w:tcBorders/>
          </w:tcPr>
          <w:p>
            <w:pPr>
              <w:spacing w:line="276" w:lineRule="auto"/>
              <w:ind w:firstLine="0"/>
              <w:jc w:val="left"/>
            </w:pPr>
            <w:r>
              <w:t>&lt; .001</w:t>
            </w:r>
          </w:p>
        </w:tc>
        <w:tc>
          <w:tcPr>
            <w:tcW w:type="dxa" w:w="1584"/>
            <w:tcMar>
              <w:top w:w="100" w:type="dxa"/>
              <w:bottom w:w="100" w:type="dxa"/>
              <w:left w:w="140" w:type="dxa"/>
              <w:right w:w="140" w:type="dxa"/>
            </w:tcMar>
            <w:tcBorders/>
          </w:tcPr>
          <w:p>
            <w:pPr>
              <w:spacing w:line="276" w:lineRule="auto"/>
              <w:ind w:firstLine="0"/>
              <w:jc w:val="left"/>
            </w:pPr>
            <w:r>
              <w:t>+0.0442</w:t>
            </w:r>
          </w:p>
        </w:tc>
        <w:tc>
          <w:tcPr>
            <w:tcW w:type="dxa" w:w="1584"/>
            <w:tcMar>
              <w:top w:w="100" w:type="dxa"/>
              <w:bottom w:w="100" w:type="dxa"/>
              <w:left w:w="140" w:type="dxa"/>
              <w:right w:w="140" w:type="dxa"/>
            </w:tcMar>
            <w:tcBorders/>
          </w:tcPr>
          <w:p>
            <w:pPr>
              <w:spacing w:line="276" w:lineRule="auto"/>
              <w:ind w:firstLine="0"/>
              <w:jc w:val="left"/>
            </w:pPr>
            <w:r>
              <w:t>+0.0877</w:t>
            </w:r>
          </w:p>
        </w:tc>
        <w:tc>
          <w:tcPr>
            <w:tcW w:type="dxa" w:w="1584"/>
            <w:tcMar>
              <w:top w:w="100" w:type="dxa"/>
              <w:bottom w:w="100" w:type="dxa"/>
              <w:left w:w="140" w:type="dxa"/>
              <w:right w:w="140" w:type="dxa"/>
            </w:tcMar>
            <w:tcBorders/>
          </w:tcPr>
          <w:p>
            <w:pPr>
              <w:spacing w:line="276" w:lineRule="auto"/>
              <w:ind w:firstLine="0"/>
              <w:jc w:val="left"/>
            </w:pPr>
            <w:r>
              <w:t>Yes (Reject H0)</w:t>
            </w:r>
          </w:p>
        </w:tc>
      </w:tr>
      <w:tr>
        <w:trPr>
          <w:cantSplit/>
        </w:trPr>
        <w:tc>
          <w:tcPr>
            <w:tcW w:type="dxa" w:w="2592"/>
            <w:tcMar>
              <w:top w:w="100" w:type="dxa"/>
              <w:bottom w:w="100" w:type="dxa"/>
              <w:left w:w="140" w:type="dxa"/>
              <w:right w:w="140" w:type="dxa"/>
            </w:tcMar>
            <w:tcBorders>
              <w:bottom w:val="single" w:sz="12" w:space="0" w:color="000000"/>
            </w:tcBorders>
          </w:tcPr>
          <w:p>
            <w:pPr>
              <w:spacing w:line="276" w:lineRule="auto"/>
              <w:ind w:firstLine="0"/>
              <w:jc w:val="left"/>
            </w:pPr>
            <w:r>
              <w:t>Agglomerative vs. K-Means</w:t>
            </w:r>
          </w:p>
        </w:tc>
        <w:tc>
          <w:tcPr>
            <w:tcW w:type="dxa" w:w="1296"/>
            <w:tcMar>
              <w:top w:w="100" w:type="dxa"/>
              <w:bottom w:w="100" w:type="dxa"/>
              <w:left w:w="140" w:type="dxa"/>
              <w:right w:w="140" w:type="dxa"/>
            </w:tcMar>
            <w:tcBorders>
              <w:bottom w:val="single" w:sz="12" w:space="0" w:color="000000"/>
            </w:tcBorders>
          </w:tcPr>
          <w:p>
            <w:pPr>
              <w:spacing w:line="276" w:lineRule="auto"/>
              <w:ind w:firstLine="0"/>
              <w:jc w:val="left"/>
            </w:pPr>
            <w:r>
              <w:t>+0.0055</w:t>
            </w:r>
          </w:p>
        </w:tc>
        <w:tc>
          <w:tcPr>
            <w:tcW w:type="dxa" w:w="1152"/>
            <w:tcMar>
              <w:top w:w="100" w:type="dxa"/>
              <w:bottom w:w="100" w:type="dxa"/>
              <w:left w:w="140" w:type="dxa"/>
              <w:right w:w="140" w:type="dxa"/>
            </w:tcMar>
            <w:tcBorders>
              <w:bottom w:val="single" w:sz="12" w:space="0" w:color="000000"/>
            </w:tcBorders>
          </w:tcPr>
          <w:p>
            <w:pPr>
              <w:spacing w:line="276" w:lineRule="auto"/>
              <w:ind w:firstLine="0"/>
              <w:jc w:val="left"/>
            </w:pPr>
            <w:r>
              <w:t>0.0092</w:t>
            </w:r>
          </w:p>
        </w:tc>
        <w:tc>
          <w:tcPr>
            <w:tcW w:type="dxa" w:w="1152"/>
            <w:tcMar>
              <w:top w:w="100" w:type="dxa"/>
              <w:bottom w:w="100" w:type="dxa"/>
              <w:left w:w="140" w:type="dxa"/>
              <w:right w:w="140" w:type="dxa"/>
            </w:tcMar>
            <w:tcBorders>
              <w:bottom w:val="single" w:sz="12" w:space="0" w:color="000000"/>
            </w:tcBorders>
          </w:tcPr>
          <w:p>
            <w:pPr>
              <w:spacing w:line="276" w:lineRule="auto"/>
              <w:ind w:firstLine="0"/>
              <w:jc w:val="left"/>
            </w:pPr>
            <w:r>
              <w:t>.8234</w:t>
            </w:r>
          </w:p>
        </w:tc>
        <w:tc>
          <w:tcPr>
            <w:tcW w:type="dxa" w:w="1584"/>
            <w:tcMar>
              <w:top w:w="100" w:type="dxa"/>
              <w:bottom w:w="100" w:type="dxa"/>
              <w:left w:w="140" w:type="dxa"/>
              <w:right w:w="140" w:type="dxa"/>
            </w:tcMar>
            <w:tcBorders>
              <w:bottom w:val="single" w:sz="12" w:space="0" w:color="000000"/>
            </w:tcBorders>
          </w:tcPr>
          <w:p>
            <w:pPr>
              <w:spacing w:line="276" w:lineRule="auto"/>
              <w:ind w:firstLine="0"/>
              <w:jc w:val="left"/>
            </w:pPr>
            <w:r>
              <w:t>-0.0163</w:t>
            </w:r>
          </w:p>
        </w:tc>
        <w:tc>
          <w:tcPr>
            <w:tcW w:type="dxa" w:w="1584"/>
            <w:tcMar>
              <w:top w:w="100" w:type="dxa"/>
              <w:bottom w:w="100" w:type="dxa"/>
              <w:left w:w="140" w:type="dxa"/>
              <w:right w:w="140" w:type="dxa"/>
            </w:tcMar>
            <w:tcBorders>
              <w:bottom w:val="single" w:sz="12" w:space="0" w:color="000000"/>
            </w:tcBorders>
          </w:tcPr>
          <w:p>
            <w:pPr>
              <w:spacing w:line="276" w:lineRule="auto"/>
              <w:ind w:firstLine="0"/>
              <w:jc w:val="left"/>
            </w:pPr>
            <w:r>
              <w:t>+0.0272</w:t>
            </w:r>
          </w:p>
        </w:tc>
        <w:tc>
          <w:tcPr>
            <w:tcW w:type="dxa" w:w="1584"/>
            <w:tcMar>
              <w:top w:w="100" w:type="dxa"/>
              <w:bottom w:w="100" w:type="dxa"/>
              <w:left w:w="140" w:type="dxa"/>
              <w:right w:w="140" w:type="dxa"/>
            </w:tcMar>
            <w:tcBorders>
              <w:bottom w:val="single" w:sz="12" w:space="0" w:color="000000"/>
            </w:tcBorders>
          </w:tcPr>
          <w:p>
            <w:pPr>
              <w:spacing w:line="276" w:lineRule="auto"/>
              <w:ind w:firstLine="0"/>
              <w:jc w:val="left"/>
            </w:pPr>
            <w:r>
              <w:t>No (Fail to Reject)</w:t>
            </w:r>
          </w:p>
        </w:tc>
      </w:tr>
    </w:tbl>
    <w:p>
      <w:pPr>
        <w:spacing w:before="40" w:after="240"/>
        <w:ind w:firstLine="0"/>
      </w:pPr>
      <w:r>
        <w:rPr>
          <w:i/>
          <w:sz w:val="20"/>
        </w:rPr>
        <w:t xml:space="preserve">Note. </w:t>
      </w:r>
      <w:r>
        <w:rPr>
          <w:sz w:val="20"/>
        </w:rPr>
        <w:t>Agglomerative hierarchical clustering achieves highest structural separation, closely followed by K-Means.</w:t>
      </w:r>
    </w:p>
    <w:p>
      <w:pPr>
        <w:spacing w:before="240" w:after="0"/>
        <w:ind w:firstLine="0"/>
      </w:pPr>
      <w:r>
        <w:rPr>
          <w:b/>
        </w:rPr>
        <w:t>Figure 1</w:t>
      </w:r>
    </w:p>
    <w:p>
      <w:pPr>
        <w:spacing w:before="0" w:after="120"/>
        <w:ind w:firstLine="0"/>
      </w:pPr>
      <w:r>
        <w:rPr>
          <w:i/>
        </w:rPr>
        <w:t>Latent Trajectory Space: Unsupervised Dialogue Archetype Clusters (N = 1,500)</w:t>
      </w:r>
    </w:p>
    <w:p>
      <w:pPr>
        <w:spacing w:before="80" w:after="80"/>
        <w:ind w:firstLine="0"/>
        <w:jc w:val="center"/>
      </w:pPr>
      <w:r>
        <w:drawing>
          <wp:inline xmlns:a="http://schemas.openxmlformats.org/drawingml/2006/main" xmlns:pic="http://schemas.openxmlformats.org/drawingml/2006/picture">
            <wp:extent cx="5486400" cy="3962400"/>
            <wp:docPr id="1" name="Picture 1"/>
            <wp:cNvGraphicFramePr>
              <a:graphicFrameLocks noChangeAspect="1"/>
            </wp:cNvGraphicFramePr>
            <a:graphic>
              <a:graphicData uri="http://schemas.openxmlformats.org/drawingml/2006/picture">
                <pic:pic>
                  <pic:nvPicPr>
                    <pic:cNvPr id="0" name="fig1_umap_archetypes.png"/>
                    <pic:cNvPicPr/>
                  </pic:nvPicPr>
                  <pic:blipFill>
                    <a:blip r:embed="rId10"/>
                    <a:stretch>
                      <a:fillRect/>
                    </a:stretch>
                  </pic:blipFill>
                  <pic:spPr>
                    <a:xfrm>
                      <a:off x="0" y="0"/>
                      <a:ext cx="5486400" cy="3962400"/>
                    </a:xfrm>
                    <a:prstGeom prst="rect"/>
                  </pic:spPr>
                </pic:pic>
              </a:graphicData>
            </a:graphic>
          </wp:inline>
        </w:drawing>
      </w:r>
    </w:p>
    <w:p>
      <w:pPr>
        <w:spacing w:before="40" w:after="200"/>
        <w:ind w:firstLine="0"/>
      </w:pPr>
      <w:r>
        <w:rPr>
          <w:i/>
          <w:sz w:val="20"/>
        </w:rPr>
        <w:t xml:space="preserve">Note. </w:t>
      </w:r>
      <w:r>
        <w:rPr>
          <w:sz w:val="20"/>
        </w:rPr>
        <w:t>Two-dimensional UMAP projection of 384-dimensional Sentence-BERT dialogue trajectories. Crosses mark cluster centroids for Hesitant Explorer / Consultative (blue), Budget Negotiator / Value-Conscious (orange), and Rapid Transactional / Corporate (green).</w:t>
      </w:r>
    </w:p>
    <w:p>
      <w:pPr>
        <w:spacing w:before="240" w:after="0"/>
        <w:ind w:firstLine="0"/>
      </w:pPr>
      <w:r>
        <w:rPr>
          <w:b/>
        </w:rPr>
        <w:t>Figure 2</w:t>
      </w:r>
    </w:p>
    <w:p>
      <w:pPr>
        <w:spacing w:before="0" w:after="120"/>
        <w:ind w:firstLine="0"/>
      </w:pPr>
      <w:r>
        <w:rPr>
          <w:i/>
        </w:rPr>
        <w:t>Bootstrap Structural Separation (Silhouette Score) Across Clustering Algorithms (N = 156)</w:t>
      </w:r>
    </w:p>
    <w:p>
      <w:pPr>
        <w:spacing w:before="80" w:after="80"/>
        <w:ind w:firstLine="0"/>
        <w:jc w:val="center"/>
      </w:pPr>
      <w:r>
        <w:drawing>
          <wp:inline xmlns:a="http://schemas.openxmlformats.org/drawingml/2006/main" xmlns:pic="http://schemas.openxmlformats.org/drawingml/2006/picture">
            <wp:extent cx="5486400" cy="3771900"/>
            <wp:docPr id="2" name="Picture 2"/>
            <wp:cNvGraphicFramePr>
              <a:graphicFrameLocks noChangeAspect="1"/>
            </wp:cNvGraphicFramePr>
            <a:graphic>
              <a:graphicData uri="http://schemas.openxmlformats.org/drawingml/2006/picture">
                <pic:pic>
                  <pic:nvPicPr>
                    <pic:cNvPr id="0" name="fig2_silhouette_comparison.png"/>
                    <pic:cNvPicPr/>
                  </pic:nvPicPr>
                  <pic:blipFill>
                    <a:blip r:embed="rId11"/>
                    <a:stretch>
                      <a:fillRect/>
                    </a:stretch>
                  </pic:blipFill>
                  <pic:spPr>
                    <a:xfrm>
                      <a:off x="0" y="0"/>
                      <a:ext cx="5486400" cy="3771900"/>
                    </a:xfrm>
                    <a:prstGeom prst="rect"/>
                  </pic:spPr>
                </pic:pic>
              </a:graphicData>
            </a:graphic>
          </wp:inline>
        </w:drawing>
      </w:r>
    </w:p>
    <w:p>
      <w:pPr>
        <w:spacing w:before="40" w:after="200"/>
        <w:ind w:firstLine="0"/>
      </w:pPr>
      <w:r>
        <w:rPr>
          <w:i/>
          <w:sz w:val="20"/>
        </w:rPr>
        <w:t xml:space="preserve">Note. </w:t>
      </w:r>
      <w:r>
        <w:rPr>
          <w:sz w:val="20"/>
        </w:rPr>
        <w:t>Boxplot and strip-plot distribution of 156 repeated bootstrap evaluations (52 per algorithm). Red diamonds denote group means. Agglomerative (mean = 0.431) and K-Means (mean = 0.426) significantly outperform HDBSCAN (mean = 0.360, p &lt; .001).</w:t>
      </w:r>
    </w:p>
    <w:p>
      <w:pPr>
        <w:spacing w:before="240" w:after="0"/>
        <w:ind w:firstLine="0"/>
      </w:pPr>
      <w:r>
        <w:rPr>
          <w:b/>
        </w:rPr>
        <w:t>Figure 3</w:t>
      </w:r>
    </w:p>
    <w:p>
      <w:pPr>
        <w:spacing w:before="0" w:after="120"/>
        <w:ind w:firstLine="0"/>
      </w:pPr>
      <w:r>
        <w:rPr>
          <w:i/>
        </w:rPr>
        <w:t>Cluster Validation Metrics Across Candidate Cluster Counts k in [2, 6]</w:t>
      </w:r>
    </w:p>
    <w:p>
      <w:pPr>
        <w:spacing w:before="80" w:after="80"/>
        <w:ind w:firstLine="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fig3_cluster_metrics_elbow.png"/>
                    <pic:cNvPicPr/>
                  </pic:nvPicPr>
                  <pic:blipFill>
                    <a:blip r:embed="rId12"/>
                    <a:stretch>
                      <a:fillRect/>
                    </a:stretch>
                  </pic:blipFill>
                  <pic:spPr>
                    <a:xfrm>
                      <a:off x="0" y="0"/>
                      <a:ext cx="5486400" cy="3429000"/>
                    </a:xfrm>
                    <a:prstGeom prst="rect"/>
                  </pic:spPr>
                </pic:pic>
              </a:graphicData>
            </a:graphic>
          </wp:inline>
        </w:drawing>
      </w:r>
    </w:p>
    <w:p>
      <w:pPr>
        <w:spacing w:before="40" w:after="200"/>
        <w:ind w:firstLine="0"/>
      </w:pPr>
      <w:r>
        <w:rPr>
          <w:i/>
          <w:sz w:val="20"/>
        </w:rPr>
        <w:t xml:space="preserve">Note. </w:t>
      </w:r>
      <w:r>
        <w:rPr>
          <w:sz w:val="20"/>
        </w:rPr>
        <w:t>Dual-axis plot of Silhouette Score (blue line, left axis, higher is better) and Davies-Bouldin Index (orange dashed line, right axis, lower is better) across k. The vertical dotted line highlights the optimal structural partition at k = 3.</w:t>
      </w:r>
    </w:p>
    <w:p>
      <w:pPr>
        <w:spacing w:before="240" w:after="80" w:line="480" w:lineRule="auto"/>
        <w:ind w:firstLine="0"/>
        <w:jc w:val="left"/>
      </w:pPr>
      <w:r>
        <w:rPr>
          <w:b/>
          <w:sz w:val="24"/>
        </w:rPr>
        <w:t>7.2 Profiling Discovered Behavioral Archetypes</w:t>
      </w:r>
    </w:p>
    <w:p>
      <w:pPr>
        <w:ind w:firstLine="720"/>
        <w:jc w:val="left"/>
      </w:pPr>
      <w:r>
        <w:rPr>
          <w:b w:val="0"/>
          <w:i w:val="0"/>
        </w:rPr>
        <w:t>By cross-referencing cluster memberships with dialogue mechanics features, three highly interpretable, operationally actionable customer behavioral archetypes were identified, as detailed in Table 9:</w:t>
      </w:r>
    </w:p>
    <w:p>
      <w:pPr>
        <w:pStyle w:val="ListBullet"/>
      </w:pPr>
      <w:r>
        <w:t>• Archetype 1: Hesitant Explorer / Consultative (N = 281, 18.7%). Characterized by long conversational interactions (mean = 17.7 turns), high hesitation marker frequency (mean = 2.66 hesitations per dialogue), and moderate revisions (mean = 3.68). These users explore uncommitted destinations and seek guided recommendations without fixed budget ceilings.</w:t>
      </w:r>
    </w:p>
    <w:p>
      <w:pPr>
        <w:pStyle w:val="ListBullet"/>
      </w:pPr>
      <w:r>
        <w:t>• Archetype 2: Budget Negotiator / Value-Conscious (N = 1,112, 74.1%). Characterized by intense negotiation dynamics (mean = 16.1 turns), massive constraint revisions (mean = 16.87 revisions), and high budget focus (72.8% explicitly specify monetary budgets). These users actively trade off travel dates, flight stops, and accommodation tiers to meet budget ceilings.</w:t>
      </w:r>
    </w:p>
    <w:p>
      <w:pPr>
        <w:pStyle w:val="ListBullet"/>
      </w:pPr>
      <w:r>
        <w:t>• Archetype 3: Rapid Transactional / Corporate (N = 107, 7.1%). Characterized by direct, rapid transactions (mean = 15.0 turns total, 4–8 task turns), near-zero constraint revisions (mean = 0.19), zero budget friction (0% budget constraints), and very low hesitation (mean = 0.89). These users supply complete constraints in opening turns and seek immediate confirmation.</w:t>
      </w:r>
    </w:p>
    <w:p>
      <w:pPr>
        <w:spacing w:before="200" w:after="0"/>
        <w:ind w:firstLine="0"/>
      </w:pPr>
      <w:r>
        <w:rPr>
          <w:b/>
        </w:rPr>
        <w:t>Table 9</w:t>
      </w:r>
    </w:p>
    <w:p>
      <w:pPr>
        <w:spacing w:before="0" w:after="80"/>
        <w:ind w:firstLine="0"/>
      </w:pPr>
      <w:r>
        <w:rPr>
          <w:i/>
        </w:rPr>
        <w:t>Empirical Behavioral Profiles of Discovered Conversational Archetypes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rPr>
        <w:tc>
          <w:tcPr>
            <w:tcW w:type="dxa" w:w="259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Archetype Profile</w:t>
            </w:r>
          </w:p>
        </w:tc>
        <w:tc>
          <w:tcPr>
            <w:tcW w:type="dxa" w:w="86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Dialogue Count (N)</w:t>
            </w:r>
          </w:p>
        </w:tc>
        <w:tc>
          <w:tcPr>
            <w:tcW w:type="dxa" w:w="86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 Share</w:t>
            </w:r>
          </w:p>
        </w:tc>
        <w:tc>
          <w:tcPr>
            <w:tcW w:type="dxa" w:w="144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Mean Total Turns (SD)</w:t>
            </w:r>
          </w:p>
        </w:tc>
        <w:tc>
          <w:tcPr>
            <w:tcW w:type="dxa" w:w="86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Mean User Turns</w:t>
            </w:r>
          </w:p>
        </w:tc>
        <w:tc>
          <w:tcPr>
            <w:tcW w:type="dxa" w:w="86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Mean Wizard Turns</w:t>
            </w:r>
          </w:p>
        </w:tc>
        <w:tc>
          <w:tcPr>
            <w:tcW w:type="dxa" w:w="144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Mean Revisions (SD)</w:t>
            </w:r>
          </w:p>
        </w:tc>
        <w:tc>
          <w:tcPr>
            <w:tcW w:type="dxa" w:w="144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Mean Hesitations (SD)</w:t>
            </w:r>
          </w:p>
        </w:tc>
        <w:tc>
          <w:tcPr>
            <w:tcW w:type="dxa" w:w="1008"/>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 Budget Stated</w:t>
            </w:r>
          </w:p>
        </w:tc>
      </w:tr>
      <w:tr>
        <w:trPr>
          <w:cantSplit/>
        </w:trPr>
        <w:tc>
          <w:tcPr>
            <w:tcW w:type="dxa" w:w="2592"/>
            <w:tcMar>
              <w:top w:w="100" w:type="dxa"/>
              <w:bottom w:w="100" w:type="dxa"/>
              <w:left w:w="140" w:type="dxa"/>
              <w:right w:w="140" w:type="dxa"/>
            </w:tcMar>
            <w:tcBorders/>
          </w:tcPr>
          <w:p>
            <w:pPr>
              <w:spacing w:line="276" w:lineRule="auto"/>
              <w:ind w:firstLine="0"/>
              <w:jc w:val="left"/>
            </w:pPr>
            <w:r>
              <w:t>Hesitant Explorer / Consultative</w:t>
            </w:r>
          </w:p>
        </w:tc>
        <w:tc>
          <w:tcPr>
            <w:tcW w:type="dxa" w:w="864"/>
            <w:tcMar>
              <w:top w:w="100" w:type="dxa"/>
              <w:bottom w:w="100" w:type="dxa"/>
              <w:left w:w="140" w:type="dxa"/>
              <w:right w:w="140" w:type="dxa"/>
            </w:tcMar>
            <w:tcBorders/>
          </w:tcPr>
          <w:p>
            <w:pPr>
              <w:spacing w:line="276" w:lineRule="auto"/>
              <w:ind w:firstLine="0"/>
              <w:jc w:val="left"/>
            </w:pPr>
            <w:r>
              <w:t>281</w:t>
            </w:r>
          </w:p>
        </w:tc>
        <w:tc>
          <w:tcPr>
            <w:tcW w:type="dxa" w:w="864"/>
            <w:tcMar>
              <w:top w:w="100" w:type="dxa"/>
              <w:bottom w:w="100" w:type="dxa"/>
              <w:left w:w="140" w:type="dxa"/>
              <w:right w:w="140" w:type="dxa"/>
            </w:tcMar>
            <w:tcBorders/>
          </w:tcPr>
          <w:p>
            <w:pPr>
              <w:spacing w:line="276" w:lineRule="auto"/>
              <w:ind w:firstLine="0"/>
              <w:jc w:val="left"/>
            </w:pPr>
            <w:r>
              <w:t>18.7%</w:t>
            </w:r>
          </w:p>
        </w:tc>
        <w:tc>
          <w:tcPr>
            <w:tcW w:type="dxa" w:w="1440"/>
            <w:tcMar>
              <w:top w:w="100" w:type="dxa"/>
              <w:bottom w:w="100" w:type="dxa"/>
              <w:left w:w="140" w:type="dxa"/>
              <w:right w:w="140" w:type="dxa"/>
            </w:tcMar>
            <w:tcBorders/>
          </w:tcPr>
          <w:p>
            <w:pPr>
              <w:spacing w:line="276" w:lineRule="auto"/>
              <w:ind w:firstLine="0"/>
              <w:jc w:val="left"/>
            </w:pPr>
            <w:r>
              <w:t>17.70 (±4.12)</w:t>
            </w:r>
          </w:p>
        </w:tc>
        <w:tc>
          <w:tcPr>
            <w:tcW w:type="dxa" w:w="864"/>
            <w:tcMar>
              <w:top w:w="100" w:type="dxa"/>
              <w:bottom w:w="100" w:type="dxa"/>
              <w:left w:w="140" w:type="dxa"/>
              <w:right w:w="140" w:type="dxa"/>
            </w:tcMar>
            <w:tcBorders/>
          </w:tcPr>
          <w:p>
            <w:pPr>
              <w:spacing w:line="276" w:lineRule="auto"/>
              <w:ind w:firstLine="0"/>
              <w:jc w:val="left"/>
            </w:pPr>
            <w:r>
              <w:t>8.92</w:t>
            </w:r>
          </w:p>
        </w:tc>
        <w:tc>
          <w:tcPr>
            <w:tcW w:type="dxa" w:w="864"/>
            <w:tcMar>
              <w:top w:w="100" w:type="dxa"/>
              <w:bottom w:w="100" w:type="dxa"/>
              <w:left w:w="140" w:type="dxa"/>
              <w:right w:w="140" w:type="dxa"/>
            </w:tcMar>
            <w:tcBorders/>
          </w:tcPr>
          <w:p>
            <w:pPr>
              <w:spacing w:line="276" w:lineRule="auto"/>
              <w:ind w:firstLine="0"/>
              <w:jc w:val="left"/>
            </w:pPr>
            <w:r>
              <w:t>8.78</w:t>
            </w:r>
          </w:p>
        </w:tc>
        <w:tc>
          <w:tcPr>
            <w:tcW w:type="dxa" w:w="1440"/>
            <w:tcMar>
              <w:top w:w="100" w:type="dxa"/>
              <w:bottom w:w="100" w:type="dxa"/>
              <w:left w:w="140" w:type="dxa"/>
              <w:right w:w="140" w:type="dxa"/>
            </w:tcMar>
            <w:tcBorders/>
          </w:tcPr>
          <w:p>
            <w:pPr>
              <w:spacing w:line="276" w:lineRule="auto"/>
              <w:ind w:firstLine="0"/>
              <w:jc w:val="left"/>
            </w:pPr>
            <w:r>
              <w:t>3.68 (±2.45)</w:t>
            </w:r>
          </w:p>
        </w:tc>
        <w:tc>
          <w:tcPr>
            <w:tcW w:type="dxa" w:w="1440"/>
            <w:tcMar>
              <w:top w:w="100" w:type="dxa"/>
              <w:bottom w:w="100" w:type="dxa"/>
              <w:left w:w="140" w:type="dxa"/>
              <w:right w:w="140" w:type="dxa"/>
            </w:tcMar>
            <w:tcBorders/>
          </w:tcPr>
          <w:p>
            <w:pPr>
              <w:spacing w:line="276" w:lineRule="auto"/>
              <w:ind w:firstLine="0"/>
              <w:jc w:val="left"/>
            </w:pPr>
            <w:r>
              <w:t>2.66 (±1.82)</w:t>
            </w:r>
          </w:p>
        </w:tc>
        <w:tc>
          <w:tcPr>
            <w:tcW w:type="dxa" w:w="1008"/>
            <w:tcMar>
              <w:top w:w="100" w:type="dxa"/>
              <w:bottom w:w="100" w:type="dxa"/>
              <w:left w:w="140" w:type="dxa"/>
              <w:right w:w="140" w:type="dxa"/>
            </w:tcMar>
            <w:tcBorders/>
          </w:tcPr>
          <w:p>
            <w:pPr>
              <w:spacing w:line="276" w:lineRule="auto"/>
              <w:ind w:firstLine="0"/>
              <w:jc w:val="left"/>
            </w:pPr>
            <w:r>
              <w:t>52.3%</w:t>
            </w:r>
          </w:p>
        </w:tc>
      </w:tr>
      <w:tr>
        <w:trPr>
          <w:cantSplit/>
        </w:trPr>
        <w:tc>
          <w:tcPr>
            <w:tcW w:type="dxa" w:w="2592"/>
            <w:tcMar>
              <w:top w:w="100" w:type="dxa"/>
              <w:bottom w:w="100" w:type="dxa"/>
              <w:left w:w="140" w:type="dxa"/>
              <w:right w:w="140" w:type="dxa"/>
            </w:tcMar>
            <w:tcBorders/>
          </w:tcPr>
          <w:p>
            <w:pPr>
              <w:spacing w:line="276" w:lineRule="auto"/>
              <w:ind w:firstLine="0"/>
              <w:jc w:val="left"/>
            </w:pPr>
            <w:r>
              <w:t>Budget Negotiator / Value-Conscious</w:t>
            </w:r>
          </w:p>
        </w:tc>
        <w:tc>
          <w:tcPr>
            <w:tcW w:type="dxa" w:w="864"/>
            <w:tcMar>
              <w:top w:w="100" w:type="dxa"/>
              <w:bottom w:w="100" w:type="dxa"/>
              <w:left w:w="140" w:type="dxa"/>
              <w:right w:w="140" w:type="dxa"/>
            </w:tcMar>
            <w:tcBorders/>
          </w:tcPr>
          <w:p>
            <w:pPr>
              <w:spacing w:line="276" w:lineRule="auto"/>
              <w:ind w:firstLine="0"/>
              <w:jc w:val="left"/>
            </w:pPr>
            <w:r>
              <w:t>1,112</w:t>
            </w:r>
          </w:p>
        </w:tc>
        <w:tc>
          <w:tcPr>
            <w:tcW w:type="dxa" w:w="864"/>
            <w:tcMar>
              <w:top w:w="100" w:type="dxa"/>
              <w:bottom w:w="100" w:type="dxa"/>
              <w:left w:w="140" w:type="dxa"/>
              <w:right w:w="140" w:type="dxa"/>
            </w:tcMar>
            <w:tcBorders/>
          </w:tcPr>
          <w:p>
            <w:pPr>
              <w:spacing w:line="276" w:lineRule="auto"/>
              <w:ind w:firstLine="0"/>
              <w:jc w:val="left"/>
            </w:pPr>
            <w:r>
              <w:t>74.1%</w:t>
            </w:r>
          </w:p>
        </w:tc>
        <w:tc>
          <w:tcPr>
            <w:tcW w:type="dxa" w:w="1440"/>
            <w:tcMar>
              <w:top w:w="100" w:type="dxa"/>
              <w:bottom w:w="100" w:type="dxa"/>
              <w:left w:w="140" w:type="dxa"/>
              <w:right w:w="140" w:type="dxa"/>
            </w:tcMar>
            <w:tcBorders/>
          </w:tcPr>
          <w:p>
            <w:pPr>
              <w:spacing w:line="276" w:lineRule="auto"/>
              <w:ind w:firstLine="0"/>
              <w:jc w:val="left"/>
            </w:pPr>
            <w:r>
              <w:t>16.14 (±5.20)</w:t>
            </w:r>
          </w:p>
        </w:tc>
        <w:tc>
          <w:tcPr>
            <w:tcW w:type="dxa" w:w="864"/>
            <w:tcMar>
              <w:top w:w="100" w:type="dxa"/>
              <w:bottom w:w="100" w:type="dxa"/>
              <w:left w:w="140" w:type="dxa"/>
              <w:right w:w="140" w:type="dxa"/>
            </w:tcMar>
            <w:tcBorders/>
          </w:tcPr>
          <w:p>
            <w:pPr>
              <w:spacing w:line="276" w:lineRule="auto"/>
              <w:ind w:firstLine="0"/>
              <w:jc w:val="left"/>
            </w:pPr>
            <w:r>
              <w:t>8.12</w:t>
            </w:r>
          </w:p>
        </w:tc>
        <w:tc>
          <w:tcPr>
            <w:tcW w:type="dxa" w:w="864"/>
            <w:tcMar>
              <w:top w:w="100" w:type="dxa"/>
              <w:bottom w:w="100" w:type="dxa"/>
              <w:left w:w="140" w:type="dxa"/>
              <w:right w:w="140" w:type="dxa"/>
            </w:tcMar>
            <w:tcBorders/>
          </w:tcPr>
          <w:p>
            <w:pPr>
              <w:spacing w:line="276" w:lineRule="auto"/>
              <w:ind w:firstLine="0"/>
              <w:jc w:val="left"/>
            </w:pPr>
            <w:r>
              <w:t>8.02</w:t>
            </w:r>
          </w:p>
        </w:tc>
        <w:tc>
          <w:tcPr>
            <w:tcW w:type="dxa" w:w="1440"/>
            <w:tcMar>
              <w:top w:w="100" w:type="dxa"/>
              <w:bottom w:w="100" w:type="dxa"/>
              <w:left w:w="140" w:type="dxa"/>
              <w:right w:w="140" w:type="dxa"/>
            </w:tcMar>
            <w:tcBorders/>
          </w:tcPr>
          <w:p>
            <w:pPr>
              <w:spacing w:line="276" w:lineRule="auto"/>
              <w:ind w:firstLine="0"/>
              <w:jc w:val="left"/>
            </w:pPr>
            <w:r>
              <w:t>16.87 (±6.14)</w:t>
            </w:r>
          </w:p>
        </w:tc>
        <w:tc>
          <w:tcPr>
            <w:tcW w:type="dxa" w:w="1440"/>
            <w:tcMar>
              <w:top w:w="100" w:type="dxa"/>
              <w:bottom w:w="100" w:type="dxa"/>
              <w:left w:w="140" w:type="dxa"/>
              <w:right w:w="140" w:type="dxa"/>
            </w:tcMar>
            <w:tcBorders/>
          </w:tcPr>
          <w:p>
            <w:pPr>
              <w:spacing w:line="276" w:lineRule="auto"/>
              <w:ind w:firstLine="0"/>
              <w:jc w:val="left"/>
            </w:pPr>
            <w:r>
              <w:t>1.15 (±1.10)</w:t>
            </w:r>
          </w:p>
        </w:tc>
        <w:tc>
          <w:tcPr>
            <w:tcW w:type="dxa" w:w="1008"/>
            <w:tcMar>
              <w:top w:w="100" w:type="dxa"/>
              <w:bottom w:w="100" w:type="dxa"/>
              <w:left w:w="140" w:type="dxa"/>
              <w:right w:w="140" w:type="dxa"/>
            </w:tcMar>
            <w:tcBorders/>
          </w:tcPr>
          <w:p>
            <w:pPr>
              <w:spacing w:line="276" w:lineRule="auto"/>
              <w:ind w:firstLine="0"/>
              <w:jc w:val="left"/>
            </w:pPr>
            <w:r>
              <w:t>72.8%</w:t>
            </w:r>
          </w:p>
        </w:tc>
      </w:tr>
      <w:tr>
        <w:trPr>
          <w:cantSplit/>
        </w:trPr>
        <w:tc>
          <w:tcPr>
            <w:tcW w:type="dxa" w:w="2592"/>
            <w:tcMar>
              <w:top w:w="100" w:type="dxa"/>
              <w:bottom w:w="100" w:type="dxa"/>
              <w:left w:w="140" w:type="dxa"/>
              <w:right w:w="140" w:type="dxa"/>
            </w:tcMar>
            <w:tcBorders>
              <w:bottom w:val="single" w:sz="12" w:space="0" w:color="000000"/>
            </w:tcBorders>
          </w:tcPr>
          <w:p>
            <w:pPr>
              <w:spacing w:line="276" w:lineRule="auto"/>
              <w:ind w:firstLine="0"/>
              <w:jc w:val="left"/>
            </w:pPr>
            <w:r>
              <w:t>Rapid Transactional / Corporate</w:t>
            </w:r>
          </w:p>
        </w:tc>
        <w:tc>
          <w:tcPr>
            <w:tcW w:type="dxa" w:w="864"/>
            <w:tcMar>
              <w:top w:w="100" w:type="dxa"/>
              <w:bottom w:w="100" w:type="dxa"/>
              <w:left w:w="140" w:type="dxa"/>
              <w:right w:w="140" w:type="dxa"/>
            </w:tcMar>
            <w:tcBorders>
              <w:bottom w:val="single" w:sz="12" w:space="0" w:color="000000"/>
            </w:tcBorders>
          </w:tcPr>
          <w:p>
            <w:pPr>
              <w:spacing w:line="276" w:lineRule="auto"/>
              <w:ind w:firstLine="0"/>
              <w:jc w:val="left"/>
            </w:pPr>
            <w:r>
              <w:t>107</w:t>
            </w:r>
          </w:p>
        </w:tc>
        <w:tc>
          <w:tcPr>
            <w:tcW w:type="dxa" w:w="864"/>
            <w:tcMar>
              <w:top w:w="100" w:type="dxa"/>
              <w:bottom w:w="100" w:type="dxa"/>
              <w:left w:w="140" w:type="dxa"/>
              <w:right w:w="140" w:type="dxa"/>
            </w:tcMar>
            <w:tcBorders>
              <w:bottom w:val="single" w:sz="12" w:space="0" w:color="000000"/>
            </w:tcBorders>
          </w:tcPr>
          <w:p>
            <w:pPr>
              <w:spacing w:line="276" w:lineRule="auto"/>
              <w:ind w:firstLine="0"/>
              <w:jc w:val="left"/>
            </w:pPr>
            <w:r>
              <w:t>7.1%</w:t>
            </w:r>
          </w:p>
        </w:tc>
        <w:tc>
          <w:tcPr>
            <w:tcW w:type="dxa" w:w="1440"/>
            <w:tcMar>
              <w:top w:w="100" w:type="dxa"/>
              <w:bottom w:w="100" w:type="dxa"/>
              <w:left w:w="140" w:type="dxa"/>
              <w:right w:w="140" w:type="dxa"/>
            </w:tcMar>
            <w:tcBorders>
              <w:bottom w:val="single" w:sz="12" w:space="0" w:color="000000"/>
            </w:tcBorders>
          </w:tcPr>
          <w:p>
            <w:pPr>
              <w:spacing w:line="276" w:lineRule="auto"/>
              <w:ind w:firstLine="0"/>
              <w:jc w:val="left"/>
            </w:pPr>
            <w:r>
              <w:t>15.01 (±3.80)</w:t>
            </w:r>
          </w:p>
        </w:tc>
        <w:tc>
          <w:tcPr>
            <w:tcW w:type="dxa" w:w="864"/>
            <w:tcMar>
              <w:top w:w="100" w:type="dxa"/>
              <w:bottom w:w="100" w:type="dxa"/>
              <w:left w:w="140" w:type="dxa"/>
              <w:right w:w="140" w:type="dxa"/>
            </w:tcMar>
            <w:tcBorders>
              <w:bottom w:val="single" w:sz="12" w:space="0" w:color="000000"/>
            </w:tcBorders>
          </w:tcPr>
          <w:p>
            <w:pPr>
              <w:spacing w:line="276" w:lineRule="auto"/>
              <w:ind w:firstLine="0"/>
              <w:jc w:val="left"/>
            </w:pPr>
            <w:r>
              <w:t>7.51</w:t>
            </w:r>
          </w:p>
        </w:tc>
        <w:tc>
          <w:tcPr>
            <w:tcW w:type="dxa" w:w="864"/>
            <w:tcMar>
              <w:top w:w="100" w:type="dxa"/>
              <w:bottom w:w="100" w:type="dxa"/>
              <w:left w:w="140" w:type="dxa"/>
              <w:right w:w="140" w:type="dxa"/>
            </w:tcMar>
            <w:tcBorders>
              <w:bottom w:val="single" w:sz="12" w:space="0" w:color="000000"/>
            </w:tcBorders>
          </w:tcPr>
          <w:p>
            <w:pPr>
              <w:spacing w:line="276" w:lineRule="auto"/>
              <w:ind w:firstLine="0"/>
              <w:jc w:val="left"/>
            </w:pPr>
            <w:r>
              <w:t>7.50</w:t>
            </w:r>
          </w:p>
        </w:tc>
        <w:tc>
          <w:tcPr>
            <w:tcW w:type="dxa" w:w="1440"/>
            <w:tcMar>
              <w:top w:w="100" w:type="dxa"/>
              <w:bottom w:w="100" w:type="dxa"/>
              <w:left w:w="140" w:type="dxa"/>
              <w:right w:w="140" w:type="dxa"/>
            </w:tcMar>
            <w:tcBorders>
              <w:bottom w:val="single" w:sz="12" w:space="0" w:color="000000"/>
            </w:tcBorders>
          </w:tcPr>
          <w:p>
            <w:pPr>
              <w:spacing w:line="276" w:lineRule="auto"/>
              <w:ind w:firstLine="0"/>
              <w:jc w:val="left"/>
            </w:pPr>
            <w:r>
              <w:t>0.19 (±0.42)</w:t>
            </w:r>
          </w:p>
        </w:tc>
        <w:tc>
          <w:tcPr>
            <w:tcW w:type="dxa" w:w="1440"/>
            <w:tcMar>
              <w:top w:w="100" w:type="dxa"/>
              <w:bottom w:w="100" w:type="dxa"/>
              <w:left w:w="140" w:type="dxa"/>
              <w:right w:w="140" w:type="dxa"/>
            </w:tcMar>
            <w:tcBorders>
              <w:bottom w:val="single" w:sz="12" w:space="0" w:color="000000"/>
            </w:tcBorders>
          </w:tcPr>
          <w:p>
            <w:pPr>
              <w:spacing w:line="276" w:lineRule="auto"/>
              <w:ind w:firstLine="0"/>
              <w:jc w:val="left"/>
            </w:pPr>
            <w:r>
              <w:t>0.89 (±0.92)</w:t>
            </w:r>
          </w:p>
        </w:tc>
        <w:tc>
          <w:tcPr>
            <w:tcW w:type="dxa" w:w="1008"/>
            <w:tcMar>
              <w:top w:w="100" w:type="dxa"/>
              <w:bottom w:w="100" w:type="dxa"/>
              <w:left w:w="140" w:type="dxa"/>
              <w:right w:w="140" w:type="dxa"/>
            </w:tcMar>
            <w:tcBorders>
              <w:bottom w:val="single" w:sz="12" w:space="0" w:color="000000"/>
            </w:tcBorders>
          </w:tcPr>
          <w:p>
            <w:pPr>
              <w:spacing w:line="276" w:lineRule="auto"/>
              <w:ind w:firstLine="0"/>
              <w:jc w:val="left"/>
            </w:pPr>
            <w:r>
              <w:t>0.0%</w:t>
            </w:r>
          </w:p>
        </w:tc>
      </w:tr>
    </w:tbl>
    <w:p>
      <w:pPr>
        <w:spacing w:before="40" w:after="240"/>
        <w:ind w:firstLine="0"/>
      </w:pPr>
      <w:r>
        <w:rPr>
          <w:i/>
          <w:sz w:val="20"/>
        </w:rPr>
        <w:t xml:space="preserve">Note. </w:t>
      </w:r>
      <w:r>
        <w:rPr>
          <w:sz w:val="20"/>
        </w:rPr>
        <w:t>Archetypes exhibit distinct statistical separation across revisions, hesitations, and budget focus.</w:t>
      </w:r>
    </w:p>
    <w:p>
      <w:pPr>
        <w:spacing w:before="240" w:after="80" w:line="480" w:lineRule="auto"/>
        <w:ind w:firstLine="0"/>
        <w:jc w:val="left"/>
      </w:pPr>
      <w:r>
        <w:rPr>
          <w:b/>
          <w:sz w:val="24"/>
        </w:rPr>
        <w:t>7.3 RQ2: Dynamic In-Context Style Convergence (ANOVA &amp; Post-Hoc)</w:t>
      </w:r>
    </w:p>
    <w:p>
      <w:pPr>
        <w:ind w:firstLine="720"/>
        <w:jc w:val="left"/>
      </w:pPr>
      <w:r>
        <w:rPr>
          <w:b w:val="0"/>
          <w:i w:val="0"/>
        </w:rPr>
        <w:t>To evaluate RQ2, the FAISS vector index was queried to retrieve archetype-matched golden exemplars, and agent conversational trajectories were evaluated across the three conditioning modes: Zero-Shot Baseline, Static Few-Shot, and Dynamic Cluster-Adaptive Few-Shot across N = 126 dialogue evaluations (42 per arm, balanced across archetypes: 14 per archetype). S-BERT Semantic Cosine Similarity and BERTScore to the target reference cluster centroids were logged.</w:t>
      </w:r>
    </w:p>
    <w:p>
      <w:pPr>
        <w:ind w:firstLine="720"/>
        <w:jc w:val="left"/>
      </w:pPr>
      <w:r>
        <w:rPr>
          <w:b w:val="0"/>
          <w:i w:val="0"/>
        </w:rPr>
        <w:t>A One-Way ANOVA on Semantic Cosine Similarity revealed a statistically significant difference across prompt conditioning modes: F(2, 123) = 58.28, p = 1.57 x 10^-18 (p &lt; .001), with a massive standardized effect size eta^2 = 0.487 (accounting for 48.7% of total variance in style closeness), as shown in Table 10.</w:t>
      </w:r>
    </w:p>
    <w:p>
      <w:pPr>
        <w:spacing w:before="200" w:after="0"/>
        <w:ind w:firstLine="0"/>
      </w:pPr>
      <w:r>
        <w:rPr>
          <w:b/>
        </w:rPr>
        <w:t>Table 10</w:t>
      </w:r>
    </w:p>
    <w:p>
      <w:pPr>
        <w:spacing w:before="0" w:after="80"/>
        <w:ind w:firstLine="0"/>
      </w:pPr>
      <w:r>
        <w:rPr>
          <w:i/>
        </w:rPr>
        <w:t>One-Way ANOVA Summary: Semantic Cosine Similarity across Prompt Conditioning Modes (N = 126)</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rPr>
        <w:tc>
          <w:tcPr>
            <w:tcW w:type="dxa" w:w="259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Source of Variation</w:t>
            </w:r>
          </w:p>
        </w:tc>
        <w:tc>
          <w:tcPr>
            <w:tcW w:type="dxa" w:w="1296"/>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Sum of Squares (SS)</w:t>
            </w:r>
          </w:p>
        </w:tc>
        <w:tc>
          <w:tcPr>
            <w:tcW w:type="dxa" w:w="115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Degrees of Freedom (df)</w:t>
            </w:r>
          </w:p>
        </w:tc>
        <w:tc>
          <w:tcPr>
            <w:tcW w:type="dxa" w:w="1296"/>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Mean Square (MS)</w:t>
            </w:r>
          </w:p>
        </w:tc>
        <w:tc>
          <w:tcPr>
            <w:tcW w:type="dxa" w:w="1296"/>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F-Statistic</w:t>
            </w:r>
          </w:p>
        </w:tc>
        <w:tc>
          <w:tcPr>
            <w:tcW w:type="dxa" w:w="158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p-value</w:t>
            </w:r>
          </w:p>
        </w:tc>
        <w:tc>
          <w:tcPr>
            <w:tcW w:type="dxa" w:w="144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Effect Size (eta^2)</w:t>
            </w:r>
          </w:p>
        </w:tc>
      </w:tr>
      <w:tr>
        <w:trPr>
          <w:cantSplit/>
        </w:trPr>
        <w:tc>
          <w:tcPr>
            <w:tcW w:type="dxa" w:w="2592"/>
            <w:tcMar>
              <w:top w:w="100" w:type="dxa"/>
              <w:bottom w:w="100" w:type="dxa"/>
              <w:left w:w="140" w:type="dxa"/>
              <w:right w:w="140" w:type="dxa"/>
            </w:tcMar>
            <w:tcBorders/>
          </w:tcPr>
          <w:p>
            <w:pPr>
              <w:spacing w:line="276" w:lineRule="auto"/>
              <w:ind w:firstLine="0"/>
              <w:jc w:val="left"/>
            </w:pPr>
            <w:r>
              <w:t>Conditioning Mode (Between)</w:t>
            </w:r>
          </w:p>
        </w:tc>
        <w:tc>
          <w:tcPr>
            <w:tcW w:type="dxa" w:w="1296"/>
            <w:tcMar>
              <w:top w:w="100" w:type="dxa"/>
              <w:bottom w:w="100" w:type="dxa"/>
              <w:left w:w="140" w:type="dxa"/>
              <w:right w:w="140" w:type="dxa"/>
            </w:tcMar>
            <w:tcBorders/>
          </w:tcPr>
          <w:p>
            <w:pPr>
              <w:spacing w:line="276" w:lineRule="auto"/>
              <w:ind w:firstLine="0"/>
              <w:jc w:val="left"/>
            </w:pPr>
            <w:r>
              <w:t>0.6892</w:t>
            </w:r>
          </w:p>
        </w:tc>
        <w:tc>
          <w:tcPr>
            <w:tcW w:type="dxa" w:w="1152"/>
            <w:tcMar>
              <w:top w:w="100" w:type="dxa"/>
              <w:bottom w:w="100" w:type="dxa"/>
              <w:left w:w="140" w:type="dxa"/>
              <w:right w:w="140" w:type="dxa"/>
            </w:tcMar>
            <w:tcBorders/>
          </w:tcPr>
          <w:p>
            <w:pPr>
              <w:spacing w:line="276" w:lineRule="auto"/>
              <w:ind w:firstLine="0"/>
              <w:jc w:val="left"/>
            </w:pPr>
            <w:r>
              <w:t>2</w:t>
            </w:r>
          </w:p>
        </w:tc>
        <w:tc>
          <w:tcPr>
            <w:tcW w:type="dxa" w:w="1296"/>
            <w:tcMar>
              <w:top w:w="100" w:type="dxa"/>
              <w:bottom w:w="100" w:type="dxa"/>
              <w:left w:w="140" w:type="dxa"/>
              <w:right w:w="140" w:type="dxa"/>
            </w:tcMar>
            <w:tcBorders/>
          </w:tcPr>
          <w:p>
            <w:pPr>
              <w:spacing w:line="276" w:lineRule="auto"/>
              <w:ind w:firstLine="0"/>
              <w:jc w:val="left"/>
            </w:pPr>
            <w:r>
              <w:t>0.3446</w:t>
            </w:r>
          </w:p>
        </w:tc>
        <w:tc>
          <w:tcPr>
            <w:tcW w:type="dxa" w:w="1296"/>
            <w:tcMar>
              <w:top w:w="100" w:type="dxa"/>
              <w:bottom w:w="100" w:type="dxa"/>
              <w:left w:w="140" w:type="dxa"/>
              <w:right w:w="140" w:type="dxa"/>
            </w:tcMar>
            <w:tcBorders/>
          </w:tcPr>
          <w:p>
            <w:pPr>
              <w:spacing w:line="276" w:lineRule="auto"/>
              <w:ind w:firstLine="0"/>
              <w:jc w:val="left"/>
            </w:pPr>
            <w:r>
              <w:t>58.28</w:t>
            </w:r>
          </w:p>
        </w:tc>
        <w:tc>
          <w:tcPr>
            <w:tcW w:type="dxa" w:w="1584"/>
            <w:tcMar>
              <w:top w:w="100" w:type="dxa"/>
              <w:bottom w:w="100" w:type="dxa"/>
              <w:left w:w="140" w:type="dxa"/>
              <w:right w:w="140" w:type="dxa"/>
            </w:tcMar>
            <w:tcBorders/>
          </w:tcPr>
          <w:p>
            <w:pPr>
              <w:spacing w:line="276" w:lineRule="auto"/>
              <w:ind w:firstLine="0"/>
              <w:jc w:val="left"/>
            </w:pPr>
            <w:r>
              <w:t>&lt; .001 (1.57e-18)</w:t>
            </w:r>
          </w:p>
        </w:tc>
        <w:tc>
          <w:tcPr>
            <w:tcW w:type="dxa" w:w="1440"/>
            <w:tcMar>
              <w:top w:w="100" w:type="dxa"/>
              <w:bottom w:w="100" w:type="dxa"/>
              <w:left w:w="140" w:type="dxa"/>
              <w:right w:w="140" w:type="dxa"/>
            </w:tcMar>
            <w:tcBorders/>
          </w:tcPr>
          <w:p>
            <w:pPr>
              <w:spacing w:line="276" w:lineRule="auto"/>
              <w:ind w:firstLine="0"/>
              <w:jc w:val="left"/>
            </w:pPr>
            <w:r>
              <w:t>0.487 (Very Large Effect)</w:t>
            </w:r>
          </w:p>
        </w:tc>
      </w:tr>
      <w:tr>
        <w:trPr>
          <w:cantSplit/>
        </w:trPr>
        <w:tc>
          <w:tcPr>
            <w:tcW w:type="dxa" w:w="2592"/>
            <w:tcMar>
              <w:top w:w="100" w:type="dxa"/>
              <w:bottom w:w="100" w:type="dxa"/>
              <w:left w:w="140" w:type="dxa"/>
              <w:right w:w="140" w:type="dxa"/>
            </w:tcMar>
            <w:tcBorders/>
          </w:tcPr>
          <w:p>
            <w:pPr>
              <w:spacing w:line="276" w:lineRule="auto"/>
              <w:ind w:firstLine="0"/>
              <w:jc w:val="left"/>
            </w:pPr>
            <w:r>
              <w:t>Residual / Error (Within)</w:t>
            </w:r>
          </w:p>
        </w:tc>
        <w:tc>
          <w:tcPr>
            <w:tcW w:type="dxa" w:w="1296"/>
            <w:tcMar>
              <w:top w:w="100" w:type="dxa"/>
              <w:bottom w:w="100" w:type="dxa"/>
              <w:left w:w="140" w:type="dxa"/>
              <w:right w:w="140" w:type="dxa"/>
            </w:tcMar>
            <w:tcBorders/>
          </w:tcPr>
          <w:p>
            <w:pPr>
              <w:spacing w:line="276" w:lineRule="auto"/>
              <w:ind w:firstLine="0"/>
              <w:jc w:val="left"/>
            </w:pPr>
            <w:r>
              <w:t>0.7273</w:t>
            </w:r>
          </w:p>
        </w:tc>
        <w:tc>
          <w:tcPr>
            <w:tcW w:type="dxa" w:w="1152"/>
            <w:tcMar>
              <w:top w:w="100" w:type="dxa"/>
              <w:bottom w:w="100" w:type="dxa"/>
              <w:left w:w="140" w:type="dxa"/>
              <w:right w:w="140" w:type="dxa"/>
            </w:tcMar>
            <w:tcBorders/>
          </w:tcPr>
          <w:p>
            <w:pPr>
              <w:spacing w:line="276" w:lineRule="auto"/>
              <w:ind w:firstLine="0"/>
              <w:jc w:val="left"/>
            </w:pPr>
            <w:r>
              <w:t>123</w:t>
            </w:r>
          </w:p>
        </w:tc>
        <w:tc>
          <w:tcPr>
            <w:tcW w:type="dxa" w:w="1296"/>
            <w:tcMar>
              <w:top w:w="100" w:type="dxa"/>
              <w:bottom w:w="100" w:type="dxa"/>
              <w:left w:w="140" w:type="dxa"/>
              <w:right w:w="140" w:type="dxa"/>
            </w:tcMar>
            <w:tcBorders/>
          </w:tcPr>
          <w:p>
            <w:pPr>
              <w:spacing w:line="276" w:lineRule="auto"/>
              <w:ind w:firstLine="0"/>
              <w:jc w:val="left"/>
            </w:pPr>
            <w:r>
              <w:t>0.0059</w:t>
            </w:r>
          </w:p>
        </w:tc>
        <w:tc>
          <w:tcPr>
            <w:tcW w:type="dxa" w:w="1296"/>
            <w:tcMar>
              <w:top w:w="100" w:type="dxa"/>
              <w:bottom w:w="100" w:type="dxa"/>
              <w:left w:w="140" w:type="dxa"/>
              <w:right w:w="140" w:type="dxa"/>
            </w:tcMar>
            <w:tcBorders/>
          </w:tcPr>
          <w:p>
            <w:pPr>
              <w:spacing w:line="276" w:lineRule="auto"/>
              <w:ind w:firstLine="0"/>
              <w:jc w:val="left"/>
            </w:pPr>
            <w:r>
              <w:t>—</w:t>
            </w:r>
          </w:p>
        </w:tc>
        <w:tc>
          <w:tcPr>
            <w:tcW w:type="dxa" w:w="1584"/>
            <w:tcMar>
              <w:top w:w="100" w:type="dxa"/>
              <w:bottom w:w="100" w:type="dxa"/>
              <w:left w:w="140" w:type="dxa"/>
              <w:right w:w="140" w:type="dxa"/>
            </w:tcMar>
            <w:tcBorders/>
          </w:tcPr>
          <w:p>
            <w:pPr>
              <w:spacing w:line="276" w:lineRule="auto"/>
              <w:ind w:firstLine="0"/>
              <w:jc w:val="left"/>
            </w:pPr>
            <w:r>
              <w:t>—</w:t>
            </w:r>
          </w:p>
        </w:tc>
        <w:tc>
          <w:tcPr>
            <w:tcW w:type="dxa" w:w="1440"/>
            <w:tcMar>
              <w:top w:w="100" w:type="dxa"/>
              <w:bottom w:w="100" w:type="dxa"/>
              <w:left w:w="140" w:type="dxa"/>
              <w:right w:w="140" w:type="dxa"/>
            </w:tcMar>
            <w:tcBorders/>
          </w:tcPr>
          <w:p>
            <w:pPr>
              <w:spacing w:line="276" w:lineRule="auto"/>
              <w:ind w:firstLine="0"/>
              <w:jc w:val="left"/>
            </w:pPr>
            <w:r>
              <w:t>0.513</w:t>
            </w:r>
          </w:p>
        </w:tc>
      </w:tr>
      <w:tr>
        <w:trPr>
          <w:cantSplit/>
        </w:trPr>
        <w:tc>
          <w:tcPr>
            <w:tcW w:type="dxa" w:w="2592"/>
            <w:tcMar>
              <w:top w:w="100" w:type="dxa"/>
              <w:bottom w:w="100" w:type="dxa"/>
              <w:left w:w="140" w:type="dxa"/>
              <w:right w:w="140" w:type="dxa"/>
            </w:tcMar>
            <w:tcBorders>
              <w:bottom w:val="single" w:sz="12" w:space="0" w:color="000000"/>
            </w:tcBorders>
          </w:tcPr>
          <w:p>
            <w:pPr>
              <w:spacing w:line="276" w:lineRule="auto"/>
              <w:ind w:firstLine="0"/>
              <w:jc w:val="left"/>
            </w:pPr>
            <w:r>
              <w:t>Total Variation</w:t>
            </w:r>
          </w:p>
        </w:tc>
        <w:tc>
          <w:tcPr>
            <w:tcW w:type="dxa" w:w="1296"/>
            <w:tcMar>
              <w:top w:w="100" w:type="dxa"/>
              <w:bottom w:w="100" w:type="dxa"/>
              <w:left w:w="140" w:type="dxa"/>
              <w:right w:w="140" w:type="dxa"/>
            </w:tcMar>
            <w:tcBorders>
              <w:bottom w:val="single" w:sz="12" w:space="0" w:color="000000"/>
            </w:tcBorders>
          </w:tcPr>
          <w:p>
            <w:pPr>
              <w:spacing w:line="276" w:lineRule="auto"/>
              <w:ind w:firstLine="0"/>
              <w:jc w:val="left"/>
            </w:pPr>
            <w:r>
              <w:t>1.4166</w:t>
            </w:r>
          </w:p>
        </w:tc>
        <w:tc>
          <w:tcPr>
            <w:tcW w:type="dxa" w:w="1152"/>
            <w:tcMar>
              <w:top w:w="100" w:type="dxa"/>
              <w:bottom w:w="100" w:type="dxa"/>
              <w:left w:w="140" w:type="dxa"/>
              <w:right w:w="140" w:type="dxa"/>
            </w:tcMar>
            <w:tcBorders>
              <w:bottom w:val="single" w:sz="12" w:space="0" w:color="000000"/>
            </w:tcBorders>
          </w:tcPr>
          <w:p>
            <w:pPr>
              <w:spacing w:line="276" w:lineRule="auto"/>
              <w:ind w:firstLine="0"/>
              <w:jc w:val="left"/>
            </w:pPr>
            <w:r>
              <w:t>125</w:t>
            </w:r>
          </w:p>
        </w:tc>
        <w:tc>
          <w:tcPr>
            <w:tcW w:type="dxa" w:w="1296"/>
            <w:tcMar>
              <w:top w:w="100" w:type="dxa"/>
              <w:bottom w:w="100" w:type="dxa"/>
              <w:left w:w="140" w:type="dxa"/>
              <w:right w:w="140" w:type="dxa"/>
            </w:tcMar>
            <w:tcBorders>
              <w:bottom w:val="single" w:sz="12" w:space="0" w:color="000000"/>
            </w:tcBorders>
          </w:tcPr>
          <w:p>
            <w:pPr>
              <w:spacing w:line="276" w:lineRule="auto"/>
              <w:ind w:firstLine="0"/>
              <w:jc w:val="left"/>
            </w:pPr>
            <w:r>
              <w:t>—</w:t>
            </w:r>
          </w:p>
        </w:tc>
        <w:tc>
          <w:tcPr>
            <w:tcW w:type="dxa" w:w="1296"/>
            <w:tcMar>
              <w:top w:w="100" w:type="dxa"/>
              <w:bottom w:w="100" w:type="dxa"/>
              <w:left w:w="140" w:type="dxa"/>
              <w:right w:w="140" w:type="dxa"/>
            </w:tcMar>
            <w:tcBorders>
              <w:bottom w:val="single" w:sz="12" w:space="0" w:color="000000"/>
            </w:tcBorders>
          </w:tcPr>
          <w:p>
            <w:pPr>
              <w:spacing w:line="276" w:lineRule="auto"/>
              <w:ind w:firstLine="0"/>
              <w:jc w:val="left"/>
            </w:pPr>
            <w:r>
              <w:t>—</w:t>
            </w:r>
          </w:p>
        </w:tc>
        <w:tc>
          <w:tcPr>
            <w:tcW w:type="dxa" w:w="1584"/>
            <w:tcMar>
              <w:top w:w="100" w:type="dxa"/>
              <w:bottom w:w="100" w:type="dxa"/>
              <w:left w:w="140" w:type="dxa"/>
              <w:right w:w="140" w:type="dxa"/>
            </w:tcMar>
            <w:tcBorders>
              <w:bottom w:val="single" w:sz="12" w:space="0" w:color="000000"/>
            </w:tcBorders>
          </w:tcPr>
          <w:p>
            <w:pPr>
              <w:spacing w:line="276" w:lineRule="auto"/>
              <w:ind w:firstLine="0"/>
              <w:jc w:val="left"/>
            </w:pPr>
            <w:r>
              <w:t>—</w:t>
            </w:r>
          </w:p>
        </w:tc>
        <w:tc>
          <w:tcPr>
            <w:tcW w:type="dxa" w:w="1440"/>
            <w:tcMar>
              <w:top w:w="100" w:type="dxa"/>
              <w:bottom w:w="100" w:type="dxa"/>
              <w:left w:w="140" w:type="dxa"/>
              <w:right w:w="140" w:type="dxa"/>
            </w:tcMar>
            <w:tcBorders>
              <w:bottom w:val="single" w:sz="12" w:space="0" w:color="000000"/>
            </w:tcBorders>
          </w:tcPr>
          <w:p>
            <w:pPr>
              <w:spacing w:line="276" w:lineRule="auto"/>
              <w:ind w:firstLine="0"/>
              <w:jc w:val="left"/>
            </w:pPr>
            <w:r>
              <w:t>1.000</w:t>
            </w:r>
          </w:p>
        </w:tc>
      </w:tr>
    </w:tbl>
    <w:p>
      <w:pPr>
        <w:spacing w:before="40" w:after="240"/>
        <w:ind w:firstLine="0"/>
      </w:pPr>
      <w:r>
        <w:rPr>
          <w:i/>
          <w:sz w:val="20"/>
        </w:rPr>
        <w:t xml:space="preserve">Note. </w:t>
      </w:r>
      <w:r>
        <w:rPr>
          <w:sz w:val="20"/>
        </w:rPr>
        <w:t>Statistically significant at alpha = .05. Null hypothesis H0 is decisively rejected.</w:t>
      </w:r>
    </w:p>
    <w:p>
      <w:pPr>
        <w:ind w:firstLine="720"/>
        <w:jc w:val="left"/>
      </w:pPr>
      <w:r>
        <w:rPr>
          <w:b w:val="0"/>
          <w:i w:val="0"/>
        </w:rPr>
        <w:t>Tukey's HSD post-hoc test (Table 11) confirmed that Cluster-Adaptive Few-Shot prompting achieved a mean Cosine Similarity of 0.884 (BERTScore = 0.895), significantly outperforming both Static Few-Shot (mean = 0.772, difference = +0.1122, p &lt; .001, 95% CI [0.0724, 0.1520]) and Zero-Shot Baseline (mean = 0.705, difference = +0.1793, p &lt; .001, 95% CI [0.1395, 0.2191]). Static Few-Shot also outperformed Zero-Shot (difference = +0.0671, p &lt; .001), demonstrating that while generic exemplars provide marginal structural guidance, dynamic archetype-aligned exemplars provide superior stylistic steering, steering conversational pacing directly toward the human reference norm.</w:t>
      </w:r>
    </w:p>
    <w:p>
      <w:pPr>
        <w:spacing w:before="200" w:after="0"/>
        <w:ind w:firstLine="0"/>
      </w:pPr>
      <w:r>
        <w:rPr>
          <w:b/>
        </w:rPr>
        <w:t>Table 11</w:t>
      </w:r>
    </w:p>
    <w:p>
      <w:pPr>
        <w:spacing w:before="0" w:after="80"/>
        <w:ind w:firstLine="0"/>
      </w:pPr>
      <w:r>
        <w:rPr>
          <w:i/>
        </w:rPr>
        <w:t>Tukey HSD Post-Hoc Pairwise Comparisons on Semantic Cosine Similarity across Conditioning Modes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rPr>
        <w:tc>
          <w:tcPr>
            <w:tcW w:type="dxa" w:w="288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Comparison (Group 1 vs. Group 2)</w:t>
            </w:r>
          </w:p>
        </w:tc>
        <w:tc>
          <w:tcPr>
            <w:tcW w:type="dxa" w:w="1296"/>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Mean Difference</w:t>
            </w:r>
          </w:p>
        </w:tc>
        <w:tc>
          <w:tcPr>
            <w:tcW w:type="dxa" w:w="115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Standard Error</w:t>
            </w:r>
          </w:p>
        </w:tc>
        <w:tc>
          <w:tcPr>
            <w:tcW w:type="dxa" w:w="115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p-adjusted</w:t>
            </w:r>
          </w:p>
        </w:tc>
        <w:tc>
          <w:tcPr>
            <w:tcW w:type="dxa" w:w="144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95% CI Lower Bound</w:t>
            </w:r>
          </w:p>
        </w:tc>
        <w:tc>
          <w:tcPr>
            <w:tcW w:type="dxa" w:w="144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95% CI Upper Bound</w:t>
            </w:r>
          </w:p>
        </w:tc>
        <w:tc>
          <w:tcPr>
            <w:tcW w:type="dxa" w:w="144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Reject H0 (alpha=.05)</w:t>
            </w:r>
          </w:p>
        </w:tc>
      </w:tr>
      <w:tr>
        <w:trPr>
          <w:cantSplit/>
        </w:trPr>
        <w:tc>
          <w:tcPr>
            <w:tcW w:type="dxa" w:w="2880"/>
            <w:tcMar>
              <w:top w:w="100" w:type="dxa"/>
              <w:bottom w:w="100" w:type="dxa"/>
              <w:left w:w="140" w:type="dxa"/>
              <w:right w:w="140" w:type="dxa"/>
            </w:tcMar>
            <w:tcBorders/>
          </w:tcPr>
          <w:p>
            <w:pPr>
              <w:spacing w:line="276" w:lineRule="auto"/>
              <w:ind w:firstLine="0"/>
              <w:jc w:val="left"/>
            </w:pPr>
            <w:r>
              <w:t>Cluster-Adaptive vs. Static Few-Shot</w:t>
            </w:r>
          </w:p>
        </w:tc>
        <w:tc>
          <w:tcPr>
            <w:tcW w:type="dxa" w:w="1296"/>
            <w:tcMar>
              <w:top w:w="100" w:type="dxa"/>
              <w:bottom w:w="100" w:type="dxa"/>
              <w:left w:w="140" w:type="dxa"/>
              <w:right w:w="140" w:type="dxa"/>
            </w:tcMar>
            <w:tcBorders/>
          </w:tcPr>
          <w:p>
            <w:pPr>
              <w:spacing w:line="276" w:lineRule="auto"/>
              <w:ind w:firstLine="0"/>
              <w:jc w:val="left"/>
            </w:pPr>
            <w:r>
              <w:t>+0.1122</w:t>
            </w:r>
          </w:p>
        </w:tc>
        <w:tc>
          <w:tcPr>
            <w:tcW w:type="dxa" w:w="1152"/>
            <w:tcMar>
              <w:top w:w="100" w:type="dxa"/>
              <w:bottom w:w="100" w:type="dxa"/>
              <w:left w:w="140" w:type="dxa"/>
              <w:right w:w="140" w:type="dxa"/>
            </w:tcMar>
            <w:tcBorders/>
          </w:tcPr>
          <w:p>
            <w:pPr>
              <w:spacing w:line="276" w:lineRule="auto"/>
              <w:ind w:firstLine="0"/>
              <w:jc w:val="left"/>
            </w:pPr>
            <w:r>
              <w:t>0.0168</w:t>
            </w:r>
          </w:p>
        </w:tc>
        <w:tc>
          <w:tcPr>
            <w:tcW w:type="dxa" w:w="1152"/>
            <w:tcMar>
              <w:top w:w="100" w:type="dxa"/>
              <w:bottom w:w="100" w:type="dxa"/>
              <w:left w:w="140" w:type="dxa"/>
              <w:right w:w="140" w:type="dxa"/>
            </w:tcMar>
            <w:tcBorders/>
          </w:tcPr>
          <w:p>
            <w:pPr>
              <w:spacing w:line="276" w:lineRule="auto"/>
              <w:ind w:firstLine="0"/>
              <w:jc w:val="left"/>
            </w:pPr>
            <w:r>
              <w:t>&lt; .001</w:t>
            </w:r>
          </w:p>
        </w:tc>
        <w:tc>
          <w:tcPr>
            <w:tcW w:type="dxa" w:w="1440"/>
            <w:tcMar>
              <w:top w:w="100" w:type="dxa"/>
              <w:bottom w:w="100" w:type="dxa"/>
              <w:left w:w="140" w:type="dxa"/>
              <w:right w:w="140" w:type="dxa"/>
            </w:tcMar>
            <w:tcBorders/>
          </w:tcPr>
          <w:p>
            <w:pPr>
              <w:spacing w:line="276" w:lineRule="auto"/>
              <w:ind w:firstLine="0"/>
              <w:jc w:val="left"/>
            </w:pPr>
            <w:r>
              <w:t>+0.0724</w:t>
            </w:r>
          </w:p>
        </w:tc>
        <w:tc>
          <w:tcPr>
            <w:tcW w:type="dxa" w:w="1440"/>
            <w:tcMar>
              <w:top w:w="100" w:type="dxa"/>
              <w:bottom w:w="100" w:type="dxa"/>
              <w:left w:w="140" w:type="dxa"/>
              <w:right w:w="140" w:type="dxa"/>
            </w:tcMar>
            <w:tcBorders/>
          </w:tcPr>
          <w:p>
            <w:pPr>
              <w:spacing w:line="276" w:lineRule="auto"/>
              <w:ind w:firstLine="0"/>
              <w:jc w:val="left"/>
            </w:pPr>
            <w:r>
              <w:t>+0.1520</w:t>
            </w:r>
          </w:p>
        </w:tc>
        <w:tc>
          <w:tcPr>
            <w:tcW w:type="dxa" w:w="1440"/>
            <w:tcMar>
              <w:top w:w="100" w:type="dxa"/>
              <w:bottom w:w="100" w:type="dxa"/>
              <w:left w:w="140" w:type="dxa"/>
              <w:right w:w="140" w:type="dxa"/>
            </w:tcMar>
            <w:tcBorders/>
          </w:tcPr>
          <w:p>
            <w:pPr>
              <w:spacing w:line="276" w:lineRule="auto"/>
              <w:ind w:firstLine="0"/>
              <w:jc w:val="left"/>
            </w:pPr>
            <w:r>
              <w:t>Yes (Reject H0)</w:t>
            </w:r>
          </w:p>
        </w:tc>
      </w:tr>
      <w:tr>
        <w:trPr>
          <w:cantSplit/>
        </w:trPr>
        <w:tc>
          <w:tcPr>
            <w:tcW w:type="dxa" w:w="2880"/>
            <w:tcMar>
              <w:top w:w="100" w:type="dxa"/>
              <w:bottom w:w="100" w:type="dxa"/>
              <w:left w:w="140" w:type="dxa"/>
              <w:right w:w="140" w:type="dxa"/>
            </w:tcMar>
            <w:tcBorders/>
          </w:tcPr>
          <w:p>
            <w:pPr>
              <w:spacing w:line="276" w:lineRule="auto"/>
              <w:ind w:firstLine="0"/>
              <w:jc w:val="left"/>
            </w:pPr>
            <w:r>
              <w:t>Cluster-Adaptive vs. Zero-Shot</w:t>
            </w:r>
          </w:p>
        </w:tc>
        <w:tc>
          <w:tcPr>
            <w:tcW w:type="dxa" w:w="1296"/>
            <w:tcMar>
              <w:top w:w="100" w:type="dxa"/>
              <w:bottom w:w="100" w:type="dxa"/>
              <w:left w:w="140" w:type="dxa"/>
              <w:right w:w="140" w:type="dxa"/>
            </w:tcMar>
            <w:tcBorders/>
          </w:tcPr>
          <w:p>
            <w:pPr>
              <w:spacing w:line="276" w:lineRule="auto"/>
              <w:ind w:firstLine="0"/>
              <w:jc w:val="left"/>
            </w:pPr>
            <w:r>
              <w:t>+0.1793</w:t>
            </w:r>
          </w:p>
        </w:tc>
        <w:tc>
          <w:tcPr>
            <w:tcW w:type="dxa" w:w="1152"/>
            <w:tcMar>
              <w:top w:w="100" w:type="dxa"/>
              <w:bottom w:w="100" w:type="dxa"/>
              <w:left w:w="140" w:type="dxa"/>
              <w:right w:w="140" w:type="dxa"/>
            </w:tcMar>
            <w:tcBorders/>
          </w:tcPr>
          <w:p>
            <w:pPr>
              <w:spacing w:line="276" w:lineRule="auto"/>
              <w:ind w:firstLine="0"/>
              <w:jc w:val="left"/>
            </w:pPr>
            <w:r>
              <w:t>0.0168</w:t>
            </w:r>
          </w:p>
        </w:tc>
        <w:tc>
          <w:tcPr>
            <w:tcW w:type="dxa" w:w="1152"/>
            <w:tcMar>
              <w:top w:w="100" w:type="dxa"/>
              <w:bottom w:w="100" w:type="dxa"/>
              <w:left w:w="140" w:type="dxa"/>
              <w:right w:w="140" w:type="dxa"/>
            </w:tcMar>
            <w:tcBorders/>
          </w:tcPr>
          <w:p>
            <w:pPr>
              <w:spacing w:line="276" w:lineRule="auto"/>
              <w:ind w:firstLine="0"/>
              <w:jc w:val="left"/>
            </w:pPr>
            <w:r>
              <w:t>&lt; .001</w:t>
            </w:r>
          </w:p>
        </w:tc>
        <w:tc>
          <w:tcPr>
            <w:tcW w:type="dxa" w:w="1440"/>
            <w:tcMar>
              <w:top w:w="100" w:type="dxa"/>
              <w:bottom w:w="100" w:type="dxa"/>
              <w:left w:w="140" w:type="dxa"/>
              <w:right w:w="140" w:type="dxa"/>
            </w:tcMar>
            <w:tcBorders/>
          </w:tcPr>
          <w:p>
            <w:pPr>
              <w:spacing w:line="276" w:lineRule="auto"/>
              <w:ind w:firstLine="0"/>
              <w:jc w:val="left"/>
            </w:pPr>
            <w:r>
              <w:t>+0.1395</w:t>
            </w:r>
          </w:p>
        </w:tc>
        <w:tc>
          <w:tcPr>
            <w:tcW w:type="dxa" w:w="1440"/>
            <w:tcMar>
              <w:top w:w="100" w:type="dxa"/>
              <w:bottom w:w="100" w:type="dxa"/>
              <w:left w:w="140" w:type="dxa"/>
              <w:right w:w="140" w:type="dxa"/>
            </w:tcMar>
            <w:tcBorders/>
          </w:tcPr>
          <w:p>
            <w:pPr>
              <w:spacing w:line="276" w:lineRule="auto"/>
              <w:ind w:firstLine="0"/>
              <w:jc w:val="left"/>
            </w:pPr>
            <w:r>
              <w:t>+0.2191</w:t>
            </w:r>
          </w:p>
        </w:tc>
        <w:tc>
          <w:tcPr>
            <w:tcW w:type="dxa" w:w="1440"/>
            <w:tcMar>
              <w:top w:w="100" w:type="dxa"/>
              <w:bottom w:w="100" w:type="dxa"/>
              <w:left w:w="140" w:type="dxa"/>
              <w:right w:w="140" w:type="dxa"/>
            </w:tcMar>
            <w:tcBorders/>
          </w:tcPr>
          <w:p>
            <w:pPr>
              <w:spacing w:line="276" w:lineRule="auto"/>
              <w:ind w:firstLine="0"/>
              <w:jc w:val="left"/>
            </w:pPr>
            <w:r>
              <w:t>Yes (Reject H0)</w:t>
            </w:r>
          </w:p>
        </w:tc>
      </w:tr>
      <w:tr>
        <w:trPr>
          <w:cantSplit/>
        </w:trPr>
        <w:tc>
          <w:tcPr>
            <w:tcW w:type="dxa" w:w="2880"/>
            <w:tcMar>
              <w:top w:w="100" w:type="dxa"/>
              <w:bottom w:w="100" w:type="dxa"/>
              <w:left w:w="140" w:type="dxa"/>
              <w:right w:w="140" w:type="dxa"/>
            </w:tcMar>
            <w:tcBorders>
              <w:bottom w:val="single" w:sz="12" w:space="0" w:color="000000"/>
            </w:tcBorders>
          </w:tcPr>
          <w:p>
            <w:pPr>
              <w:spacing w:line="276" w:lineRule="auto"/>
              <w:ind w:firstLine="0"/>
              <w:jc w:val="left"/>
            </w:pPr>
            <w:r>
              <w:t>Static Few-Shot vs. Zero-Shot</w:t>
            </w:r>
          </w:p>
        </w:tc>
        <w:tc>
          <w:tcPr>
            <w:tcW w:type="dxa" w:w="1296"/>
            <w:tcMar>
              <w:top w:w="100" w:type="dxa"/>
              <w:bottom w:w="100" w:type="dxa"/>
              <w:left w:w="140" w:type="dxa"/>
              <w:right w:w="140" w:type="dxa"/>
            </w:tcMar>
            <w:tcBorders>
              <w:bottom w:val="single" w:sz="12" w:space="0" w:color="000000"/>
            </w:tcBorders>
          </w:tcPr>
          <w:p>
            <w:pPr>
              <w:spacing w:line="276" w:lineRule="auto"/>
              <w:ind w:firstLine="0"/>
              <w:jc w:val="left"/>
            </w:pPr>
            <w:r>
              <w:t>+0.0671</w:t>
            </w:r>
          </w:p>
        </w:tc>
        <w:tc>
          <w:tcPr>
            <w:tcW w:type="dxa" w:w="1152"/>
            <w:tcMar>
              <w:top w:w="100" w:type="dxa"/>
              <w:bottom w:w="100" w:type="dxa"/>
              <w:left w:w="140" w:type="dxa"/>
              <w:right w:w="140" w:type="dxa"/>
            </w:tcMar>
            <w:tcBorders>
              <w:bottom w:val="single" w:sz="12" w:space="0" w:color="000000"/>
            </w:tcBorders>
          </w:tcPr>
          <w:p>
            <w:pPr>
              <w:spacing w:line="276" w:lineRule="auto"/>
              <w:ind w:firstLine="0"/>
              <w:jc w:val="left"/>
            </w:pPr>
            <w:r>
              <w:t>0.0168</w:t>
            </w:r>
          </w:p>
        </w:tc>
        <w:tc>
          <w:tcPr>
            <w:tcW w:type="dxa" w:w="1152"/>
            <w:tcMar>
              <w:top w:w="100" w:type="dxa"/>
              <w:bottom w:w="100" w:type="dxa"/>
              <w:left w:w="140" w:type="dxa"/>
              <w:right w:w="140" w:type="dxa"/>
            </w:tcMar>
            <w:tcBorders>
              <w:bottom w:val="single" w:sz="12" w:space="0" w:color="000000"/>
            </w:tcBorders>
          </w:tcPr>
          <w:p>
            <w:pPr>
              <w:spacing w:line="276" w:lineRule="auto"/>
              <w:ind w:firstLine="0"/>
              <w:jc w:val="left"/>
            </w:pPr>
            <w:r>
              <w:t>.0003</w:t>
            </w:r>
          </w:p>
        </w:tc>
        <w:tc>
          <w:tcPr>
            <w:tcW w:type="dxa" w:w="1440"/>
            <w:tcMar>
              <w:top w:w="100" w:type="dxa"/>
              <w:bottom w:w="100" w:type="dxa"/>
              <w:left w:w="140" w:type="dxa"/>
              <w:right w:w="140" w:type="dxa"/>
            </w:tcMar>
            <w:tcBorders>
              <w:bottom w:val="single" w:sz="12" w:space="0" w:color="000000"/>
            </w:tcBorders>
          </w:tcPr>
          <w:p>
            <w:pPr>
              <w:spacing w:line="276" w:lineRule="auto"/>
              <w:ind w:firstLine="0"/>
              <w:jc w:val="left"/>
            </w:pPr>
            <w:r>
              <w:t>+0.0273</w:t>
            </w:r>
          </w:p>
        </w:tc>
        <w:tc>
          <w:tcPr>
            <w:tcW w:type="dxa" w:w="1440"/>
            <w:tcMar>
              <w:top w:w="100" w:type="dxa"/>
              <w:bottom w:w="100" w:type="dxa"/>
              <w:left w:w="140" w:type="dxa"/>
              <w:right w:w="140" w:type="dxa"/>
            </w:tcMar>
            <w:tcBorders>
              <w:bottom w:val="single" w:sz="12" w:space="0" w:color="000000"/>
            </w:tcBorders>
          </w:tcPr>
          <w:p>
            <w:pPr>
              <w:spacing w:line="276" w:lineRule="auto"/>
              <w:ind w:firstLine="0"/>
              <w:jc w:val="left"/>
            </w:pPr>
            <w:r>
              <w:t>+0.1069</w:t>
            </w:r>
          </w:p>
        </w:tc>
        <w:tc>
          <w:tcPr>
            <w:tcW w:type="dxa" w:w="1440"/>
            <w:tcMar>
              <w:top w:w="100" w:type="dxa"/>
              <w:bottom w:w="100" w:type="dxa"/>
              <w:left w:w="140" w:type="dxa"/>
              <w:right w:w="140" w:type="dxa"/>
            </w:tcMar>
            <w:tcBorders>
              <w:bottom w:val="single" w:sz="12" w:space="0" w:color="000000"/>
            </w:tcBorders>
          </w:tcPr>
          <w:p>
            <w:pPr>
              <w:spacing w:line="276" w:lineRule="auto"/>
              <w:ind w:firstLine="0"/>
              <w:jc w:val="left"/>
            </w:pPr>
            <w:r>
              <w:t>Yes (Reject H0)</w:t>
            </w:r>
          </w:p>
        </w:tc>
      </w:tr>
    </w:tbl>
    <w:p>
      <w:pPr>
        <w:spacing w:before="40" w:after="240"/>
        <w:ind w:firstLine="0"/>
      </w:pPr>
      <w:r>
        <w:rPr>
          <w:i/>
          <w:sz w:val="20"/>
        </w:rPr>
        <w:t xml:space="preserve">Note. </w:t>
      </w:r>
      <w:r>
        <w:rPr>
          <w:sz w:val="20"/>
        </w:rPr>
        <w:t>Cluster-adaptive conditioning achieves statistically superior style convergence over all baselines.</w:t>
      </w:r>
    </w:p>
    <w:p>
      <w:pPr>
        <w:spacing w:before="240" w:after="0"/>
        <w:ind w:firstLine="0"/>
      </w:pPr>
      <w:r>
        <w:rPr>
          <w:b/>
        </w:rPr>
        <w:t>Figure 4</w:t>
      </w:r>
    </w:p>
    <w:p>
      <w:pPr>
        <w:spacing w:before="0" w:after="120"/>
        <w:ind w:firstLine="0"/>
      </w:pPr>
      <w:r>
        <w:rPr>
          <w:i/>
        </w:rPr>
        <w:t>Semantic Style Closeness Across In-Context Prompt Conditioning Modes (N = 126)</w:t>
      </w:r>
    </w:p>
    <w:p>
      <w:pPr>
        <w:spacing w:before="80" w:after="80"/>
        <w:ind w:firstLine="0"/>
        <w:jc w:val="center"/>
      </w:pPr>
      <w:r>
        <w:drawing>
          <wp:inline xmlns:a="http://schemas.openxmlformats.org/drawingml/2006/main" xmlns:pic="http://schemas.openxmlformats.org/drawingml/2006/picture">
            <wp:extent cx="5486400" cy="3550024"/>
            <wp:docPr id="4" name="Picture 4"/>
            <wp:cNvGraphicFramePr>
              <a:graphicFrameLocks noChangeAspect="1"/>
            </wp:cNvGraphicFramePr>
            <a:graphic>
              <a:graphicData uri="http://schemas.openxmlformats.org/drawingml/2006/picture">
                <pic:pic>
                  <pic:nvPicPr>
                    <pic:cNvPr id="0" name="fig4_rq2_style_convergence.png"/>
                    <pic:cNvPicPr/>
                  </pic:nvPicPr>
                  <pic:blipFill>
                    <a:blip r:embed="rId13"/>
                    <a:stretch>
                      <a:fillRect/>
                    </a:stretch>
                  </pic:blipFill>
                  <pic:spPr>
                    <a:xfrm>
                      <a:off x="0" y="0"/>
                      <a:ext cx="5486400" cy="3550024"/>
                    </a:xfrm>
                    <a:prstGeom prst="rect"/>
                  </pic:spPr>
                </pic:pic>
              </a:graphicData>
            </a:graphic>
          </wp:inline>
        </w:drawing>
      </w:r>
    </w:p>
    <w:p>
      <w:pPr>
        <w:spacing w:before="40" w:after="200"/>
        <w:ind w:firstLine="0"/>
      </w:pPr>
      <w:r>
        <w:rPr>
          <w:i/>
          <w:sz w:val="20"/>
        </w:rPr>
        <w:t xml:space="preserve">Note. </w:t>
      </w:r>
      <w:r>
        <w:rPr>
          <w:sz w:val="20"/>
        </w:rPr>
        <w:t>Bar chart with 95% confidence intervals and jittered distribution points. Cluster-Adaptive Few-Shot (green, mean = 0.884) achieves statistically significant improvements over Static Few-Shot (blue, mean = 0.772) and Zero-Shot (gray, mean = 0.705), F(2, 123) = 58.28, p &lt; .001.</w:t>
      </w:r>
    </w:p>
    <w:p>
      <w:pPr>
        <w:spacing w:before="240" w:after="80" w:line="480" w:lineRule="auto"/>
        <w:ind w:firstLine="0"/>
        <w:jc w:val="left"/>
      </w:pPr>
      <w:r>
        <w:rPr>
          <w:b/>
          <w:sz w:val="24"/>
        </w:rPr>
        <w:t>7.4 RQ3 Groundwork: 2x2 Factorial Ablation of Rules vs. Drift</w:t>
      </w:r>
    </w:p>
    <w:p>
      <w:pPr>
        <w:ind w:firstLine="720"/>
        <w:jc w:val="left"/>
      </w:pPr>
      <w:r>
        <w:rPr>
          <w:b w:val="0"/>
          <w:i w:val="0"/>
        </w:rPr>
        <w:t>To establish empirical groundwork for RQ3, a controlled 2x2 factorial ablation experiment was executed evaluating Declarative Rules (Active vs. OFF) cross-factored with Prompt Conditioning (Zero-Shot vs. Cluster Few-Shot) across N = 180 multi-turn dialogue evaluations (45 per cell), as presented in Table 12. Preliminary results show that Cluster Few-Shot conditioning without declarative verification (Rules OFF) causes serious factual degradation: Rule Adherence Rate drops to 68.4% and Exemplar Factual Leakage Rate escalates to 14.2%. When the Decoupled Declarative Rule Engine is set to ACTIVE, Rule Adherence reaches 97.7%, and slot masking eliminates exemplar leakage down to 1.5% while achieving the highest Factual Slot F1 score (0.932). This confirms our architectural premise: declarative guardrails successfully prevent policy drift without dampening stylistic adaptation.</w:t>
      </w:r>
    </w:p>
    <w:p>
      <w:pPr>
        <w:spacing w:before="200" w:after="0"/>
        <w:ind w:firstLine="0"/>
      </w:pPr>
      <w:r>
        <w:rPr>
          <w:b/>
        </w:rPr>
        <w:t>Table 12</w:t>
      </w:r>
    </w:p>
    <w:p>
      <w:pPr>
        <w:spacing w:before="0" w:after="80"/>
        <w:ind w:firstLine="0"/>
      </w:pPr>
      <w:r>
        <w:rPr>
          <w:i/>
        </w:rPr>
        <w:t>Preliminary 2x2 Factorial Ablation Results: Rules vs. Drift (N = 180)</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259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Factorial Cell (Rules x Prompt)</w:t>
            </w:r>
          </w:p>
        </w:tc>
        <w:tc>
          <w:tcPr>
            <w:tcW w:type="dxa" w:w="115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Sample Size (n)</w:t>
            </w:r>
          </w:p>
        </w:tc>
        <w:tc>
          <w:tcPr>
            <w:tcW w:type="dxa" w:w="158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Factual Slot F1 (SD)</w:t>
            </w:r>
          </w:p>
        </w:tc>
        <w:tc>
          <w:tcPr>
            <w:tcW w:type="dxa" w:w="1728"/>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Rule Adherence Rate (RAR)</w:t>
            </w:r>
          </w:p>
        </w:tc>
        <w:tc>
          <w:tcPr>
            <w:tcW w:type="dxa" w:w="158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Exemplar Leakage Rate (EFLR)</w:t>
            </w:r>
          </w:p>
        </w:tc>
        <w:tc>
          <w:tcPr>
            <w:tcW w:type="dxa" w:w="216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Operational Implication</w:t>
            </w:r>
          </w:p>
        </w:tc>
      </w:tr>
      <w:tr>
        <w:trPr>
          <w:cantSplit/>
        </w:trPr>
        <w:tc>
          <w:tcPr>
            <w:tcW w:type="dxa" w:w="2592"/>
            <w:tcMar>
              <w:top w:w="100" w:type="dxa"/>
              <w:bottom w:w="100" w:type="dxa"/>
              <w:left w:w="140" w:type="dxa"/>
              <w:right w:w="140" w:type="dxa"/>
            </w:tcMar>
            <w:tcBorders/>
          </w:tcPr>
          <w:p>
            <w:pPr>
              <w:spacing w:line="276" w:lineRule="auto"/>
              <w:ind w:firstLine="0"/>
              <w:jc w:val="left"/>
            </w:pPr>
            <w:r>
              <w:t>Rules OFF x Zero-Shot</w:t>
            </w:r>
          </w:p>
        </w:tc>
        <w:tc>
          <w:tcPr>
            <w:tcW w:type="dxa" w:w="1152"/>
            <w:tcMar>
              <w:top w:w="100" w:type="dxa"/>
              <w:bottom w:w="100" w:type="dxa"/>
              <w:left w:w="140" w:type="dxa"/>
              <w:right w:w="140" w:type="dxa"/>
            </w:tcMar>
            <w:tcBorders/>
          </w:tcPr>
          <w:p>
            <w:pPr>
              <w:spacing w:line="276" w:lineRule="auto"/>
              <w:ind w:firstLine="0"/>
              <w:jc w:val="left"/>
            </w:pPr>
            <w:r>
              <w:t>45</w:t>
            </w:r>
          </w:p>
        </w:tc>
        <w:tc>
          <w:tcPr>
            <w:tcW w:type="dxa" w:w="1584"/>
            <w:tcMar>
              <w:top w:w="100" w:type="dxa"/>
              <w:bottom w:w="100" w:type="dxa"/>
              <w:left w:w="140" w:type="dxa"/>
              <w:right w:w="140" w:type="dxa"/>
            </w:tcMar>
            <w:tcBorders/>
          </w:tcPr>
          <w:p>
            <w:pPr>
              <w:spacing w:line="276" w:lineRule="auto"/>
              <w:ind w:firstLine="0"/>
              <w:jc w:val="left"/>
            </w:pPr>
            <w:r>
              <w:t>0.812 (±0.038)</w:t>
            </w:r>
          </w:p>
        </w:tc>
        <w:tc>
          <w:tcPr>
            <w:tcW w:type="dxa" w:w="1728"/>
            <w:tcMar>
              <w:top w:w="100" w:type="dxa"/>
              <w:bottom w:w="100" w:type="dxa"/>
              <w:left w:w="140" w:type="dxa"/>
              <w:right w:w="140" w:type="dxa"/>
            </w:tcMar>
            <w:tcBorders/>
          </w:tcPr>
          <w:p>
            <w:pPr>
              <w:spacing w:line="276" w:lineRule="auto"/>
              <w:ind w:firstLine="0"/>
              <w:jc w:val="left"/>
            </w:pPr>
            <w:r>
              <w:t>73.8% (±3.0%)</w:t>
            </w:r>
          </w:p>
        </w:tc>
        <w:tc>
          <w:tcPr>
            <w:tcW w:type="dxa" w:w="1584"/>
            <w:tcMar>
              <w:top w:w="100" w:type="dxa"/>
              <w:bottom w:w="100" w:type="dxa"/>
              <w:left w:w="140" w:type="dxa"/>
              <w:right w:w="140" w:type="dxa"/>
            </w:tcMar>
            <w:tcBorders/>
          </w:tcPr>
          <w:p>
            <w:pPr>
              <w:spacing w:line="276" w:lineRule="auto"/>
              <w:ind w:firstLine="0"/>
              <w:jc w:val="left"/>
            </w:pPr>
            <w:r>
              <w:t>0.8%</w:t>
            </w:r>
          </w:p>
        </w:tc>
        <w:tc>
          <w:tcPr>
            <w:tcW w:type="dxa" w:w="2160"/>
            <w:tcMar>
              <w:top w:w="100" w:type="dxa"/>
              <w:bottom w:w="100" w:type="dxa"/>
              <w:left w:w="140" w:type="dxa"/>
              <w:right w:w="140" w:type="dxa"/>
            </w:tcMar>
            <w:tcBorders/>
          </w:tcPr>
          <w:p>
            <w:pPr>
              <w:spacing w:line="276" w:lineRule="auto"/>
              <w:ind w:firstLine="0"/>
              <w:jc w:val="left"/>
            </w:pPr>
            <w:r>
              <w:t>Uncontrolled baseline: moderate compliance failures.</w:t>
            </w:r>
          </w:p>
        </w:tc>
      </w:tr>
      <w:tr>
        <w:trPr>
          <w:cantSplit/>
        </w:trPr>
        <w:tc>
          <w:tcPr>
            <w:tcW w:type="dxa" w:w="2592"/>
            <w:tcMar>
              <w:top w:w="100" w:type="dxa"/>
              <w:bottom w:w="100" w:type="dxa"/>
              <w:left w:w="140" w:type="dxa"/>
              <w:right w:w="140" w:type="dxa"/>
            </w:tcMar>
            <w:tcBorders/>
          </w:tcPr>
          <w:p>
            <w:pPr>
              <w:spacing w:line="276" w:lineRule="auto"/>
              <w:ind w:firstLine="0"/>
              <w:jc w:val="left"/>
            </w:pPr>
            <w:r>
              <w:t>Rules OFF x Cluster Few-Shot</w:t>
            </w:r>
          </w:p>
        </w:tc>
        <w:tc>
          <w:tcPr>
            <w:tcW w:type="dxa" w:w="1152"/>
            <w:tcMar>
              <w:top w:w="100" w:type="dxa"/>
              <w:bottom w:w="100" w:type="dxa"/>
              <w:left w:w="140" w:type="dxa"/>
              <w:right w:w="140" w:type="dxa"/>
            </w:tcMar>
            <w:tcBorders/>
          </w:tcPr>
          <w:p>
            <w:pPr>
              <w:spacing w:line="276" w:lineRule="auto"/>
              <w:ind w:firstLine="0"/>
              <w:jc w:val="left"/>
            </w:pPr>
            <w:r>
              <w:t>45</w:t>
            </w:r>
          </w:p>
        </w:tc>
        <w:tc>
          <w:tcPr>
            <w:tcW w:type="dxa" w:w="1584"/>
            <w:tcMar>
              <w:top w:w="100" w:type="dxa"/>
              <w:bottom w:w="100" w:type="dxa"/>
              <w:left w:w="140" w:type="dxa"/>
              <w:right w:w="140" w:type="dxa"/>
            </w:tcMar>
            <w:tcBorders/>
          </w:tcPr>
          <w:p>
            <w:pPr>
              <w:spacing w:line="276" w:lineRule="auto"/>
              <w:ind w:firstLine="0"/>
              <w:jc w:val="left"/>
            </w:pPr>
            <w:r>
              <w:t>0.881 (±0.041)</w:t>
            </w:r>
          </w:p>
        </w:tc>
        <w:tc>
          <w:tcPr>
            <w:tcW w:type="dxa" w:w="1728"/>
            <w:tcMar>
              <w:top w:w="100" w:type="dxa"/>
              <w:bottom w:w="100" w:type="dxa"/>
              <w:left w:w="140" w:type="dxa"/>
              <w:right w:w="140" w:type="dxa"/>
            </w:tcMar>
            <w:tcBorders/>
          </w:tcPr>
          <w:p>
            <w:pPr>
              <w:spacing w:line="276" w:lineRule="auto"/>
              <w:ind w:firstLine="0"/>
              <w:jc w:val="left"/>
            </w:pPr>
            <w:r>
              <w:t>68.4% (±3.0%)</w:t>
            </w:r>
          </w:p>
        </w:tc>
        <w:tc>
          <w:tcPr>
            <w:tcW w:type="dxa" w:w="1584"/>
            <w:tcMar>
              <w:top w:w="100" w:type="dxa"/>
              <w:bottom w:w="100" w:type="dxa"/>
              <w:left w:w="140" w:type="dxa"/>
              <w:right w:w="140" w:type="dxa"/>
            </w:tcMar>
            <w:tcBorders/>
          </w:tcPr>
          <w:p>
            <w:pPr>
              <w:spacing w:line="276" w:lineRule="auto"/>
              <w:ind w:firstLine="0"/>
              <w:jc w:val="left"/>
            </w:pPr>
            <w:r>
              <w:t>14.2%</w:t>
            </w:r>
          </w:p>
        </w:tc>
        <w:tc>
          <w:tcPr>
            <w:tcW w:type="dxa" w:w="2160"/>
            <w:tcMar>
              <w:top w:w="100" w:type="dxa"/>
              <w:bottom w:w="100" w:type="dxa"/>
              <w:left w:w="140" w:type="dxa"/>
              <w:right w:w="140" w:type="dxa"/>
            </w:tcMar>
            <w:tcBorders/>
          </w:tcPr>
          <w:p>
            <w:pPr>
              <w:spacing w:line="276" w:lineRule="auto"/>
              <w:ind w:firstLine="0"/>
              <w:jc w:val="left"/>
            </w:pPr>
            <w:r>
              <w:t>Aggressive style adaptation induces factual leakage &amp; policy drift.</w:t>
            </w:r>
          </w:p>
        </w:tc>
      </w:tr>
      <w:tr>
        <w:trPr>
          <w:cantSplit/>
        </w:trPr>
        <w:tc>
          <w:tcPr>
            <w:tcW w:type="dxa" w:w="2592"/>
            <w:tcMar>
              <w:top w:w="100" w:type="dxa"/>
              <w:bottom w:w="100" w:type="dxa"/>
              <w:left w:w="140" w:type="dxa"/>
              <w:right w:w="140" w:type="dxa"/>
            </w:tcMar>
            <w:tcBorders/>
          </w:tcPr>
          <w:p>
            <w:pPr>
              <w:spacing w:line="276" w:lineRule="auto"/>
              <w:ind w:firstLine="0"/>
              <w:jc w:val="left"/>
            </w:pPr>
            <w:r>
              <w:t>Rules ACTIVE x Zero-Shot</w:t>
            </w:r>
          </w:p>
        </w:tc>
        <w:tc>
          <w:tcPr>
            <w:tcW w:type="dxa" w:w="1152"/>
            <w:tcMar>
              <w:top w:w="100" w:type="dxa"/>
              <w:bottom w:w="100" w:type="dxa"/>
              <w:left w:w="140" w:type="dxa"/>
              <w:right w:w="140" w:type="dxa"/>
            </w:tcMar>
            <w:tcBorders/>
          </w:tcPr>
          <w:p>
            <w:pPr>
              <w:spacing w:line="276" w:lineRule="auto"/>
              <w:ind w:firstLine="0"/>
              <w:jc w:val="left"/>
            </w:pPr>
            <w:r>
              <w:t>45</w:t>
            </w:r>
          </w:p>
        </w:tc>
        <w:tc>
          <w:tcPr>
            <w:tcW w:type="dxa" w:w="1584"/>
            <w:tcMar>
              <w:top w:w="100" w:type="dxa"/>
              <w:bottom w:w="100" w:type="dxa"/>
              <w:left w:w="140" w:type="dxa"/>
              <w:right w:w="140" w:type="dxa"/>
            </w:tcMar>
            <w:tcBorders/>
          </w:tcPr>
          <w:p>
            <w:pPr>
              <w:spacing w:line="276" w:lineRule="auto"/>
              <w:ind w:firstLine="0"/>
              <w:jc w:val="left"/>
            </w:pPr>
            <w:r>
              <w:t>0.842 (±0.039)</w:t>
            </w:r>
          </w:p>
        </w:tc>
        <w:tc>
          <w:tcPr>
            <w:tcW w:type="dxa" w:w="1728"/>
            <w:tcMar>
              <w:top w:w="100" w:type="dxa"/>
              <w:bottom w:w="100" w:type="dxa"/>
              <w:left w:w="140" w:type="dxa"/>
              <w:right w:w="140" w:type="dxa"/>
            </w:tcMar>
            <w:tcBorders/>
          </w:tcPr>
          <w:p>
            <w:pPr>
              <w:spacing w:line="276" w:lineRule="auto"/>
              <w:ind w:firstLine="0"/>
              <w:jc w:val="left"/>
            </w:pPr>
            <w:r>
              <w:t>97.3% (±2.3%)</w:t>
            </w:r>
          </w:p>
        </w:tc>
        <w:tc>
          <w:tcPr>
            <w:tcW w:type="dxa" w:w="1584"/>
            <w:tcMar>
              <w:top w:w="100" w:type="dxa"/>
              <w:bottom w:w="100" w:type="dxa"/>
              <w:left w:w="140" w:type="dxa"/>
              <w:right w:w="140" w:type="dxa"/>
            </w:tcMar>
            <w:tcBorders/>
          </w:tcPr>
          <w:p>
            <w:pPr>
              <w:spacing w:line="276" w:lineRule="auto"/>
              <w:ind w:firstLine="0"/>
              <w:jc w:val="left"/>
            </w:pPr>
            <w:r>
              <w:t>0.9%</w:t>
            </w:r>
          </w:p>
        </w:tc>
        <w:tc>
          <w:tcPr>
            <w:tcW w:type="dxa" w:w="2160"/>
            <w:tcMar>
              <w:top w:w="100" w:type="dxa"/>
              <w:bottom w:w="100" w:type="dxa"/>
              <w:left w:w="140" w:type="dxa"/>
              <w:right w:w="140" w:type="dxa"/>
            </w:tcMar>
            <w:tcBorders/>
          </w:tcPr>
          <w:p>
            <w:pPr>
              <w:spacing w:line="276" w:lineRule="auto"/>
              <w:ind w:firstLine="0"/>
              <w:jc w:val="left"/>
            </w:pPr>
            <w:r>
              <w:t>High policy compliance but rigid conversational pacing.</w:t>
            </w:r>
          </w:p>
        </w:tc>
      </w:tr>
      <w:tr>
        <w:trPr>
          <w:cantSplit/>
        </w:trPr>
        <w:tc>
          <w:tcPr>
            <w:tcW w:type="dxa" w:w="2592"/>
            <w:tcMar>
              <w:top w:w="100" w:type="dxa"/>
              <w:bottom w:w="100" w:type="dxa"/>
              <w:left w:w="140" w:type="dxa"/>
              <w:right w:w="140" w:type="dxa"/>
            </w:tcMar>
            <w:tcBorders>
              <w:bottom w:val="single" w:sz="12" w:space="0" w:color="000000"/>
            </w:tcBorders>
          </w:tcPr>
          <w:p>
            <w:pPr>
              <w:spacing w:line="276" w:lineRule="auto"/>
              <w:ind w:firstLine="0"/>
              <w:jc w:val="left"/>
            </w:pPr>
            <w:r>
              <w:t>Rules ACTIVE x Cluster Few-Shot</w:t>
            </w:r>
          </w:p>
        </w:tc>
        <w:tc>
          <w:tcPr>
            <w:tcW w:type="dxa" w:w="1152"/>
            <w:tcMar>
              <w:top w:w="100" w:type="dxa"/>
              <w:bottom w:w="100" w:type="dxa"/>
              <w:left w:w="140" w:type="dxa"/>
              <w:right w:w="140" w:type="dxa"/>
            </w:tcMar>
            <w:tcBorders>
              <w:bottom w:val="single" w:sz="12" w:space="0" w:color="000000"/>
            </w:tcBorders>
          </w:tcPr>
          <w:p>
            <w:pPr>
              <w:spacing w:line="276" w:lineRule="auto"/>
              <w:ind w:firstLine="0"/>
              <w:jc w:val="left"/>
            </w:pPr>
            <w:r>
              <w:t>45</w:t>
            </w:r>
          </w:p>
        </w:tc>
        <w:tc>
          <w:tcPr>
            <w:tcW w:type="dxa" w:w="1584"/>
            <w:tcMar>
              <w:top w:w="100" w:type="dxa"/>
              <w:bottom w:w="100" w:type="dxa"/>
              <w:left w:w="140" w:type="dxa"/>
              <w:right w:w="140" w:type="dxa"/>
            </w:tcMar>
            <w:tcBorders>
              <w:bottom w:val="single" w:sz="12" w:space="0" w:color="000000"/>
            </w:tcBorders>
          </w:tcPr>
          <w:p>
            <w:pPr>
              <w:spacing w:line="276" w:lineRule="auto"/>
              <w:ind w:firstLine="0"/>
              <w:jc w:val="left"/>
            </w:pPr>
            <w:r>
              <w:t>0.932 (±0.036)</w:t>
            </w:r>
          </w:p>
        </w:tc>
        <w:tc>
          <w:tcPr>
            <w:tcW w:type="dxa" w:w="1728"/>
            <w:tcMar>
              <w:top w:w="100" w:type="dxa"/>
              <w:bottom w:w="100" w:type="dxa"/>
              <w:left w:w="140" w:type="dxa"/>
              <w:right w:w="140" w:type="dxa"/>
            </w:tcMar>
            <w:tcBorders>
              <w:bottom w:val="single" w:sz="12" w:space="0" w:color="000000"/>
            </w:tcBorders>
          </w:tcPr>
          <w:p>
            <w:pPr>
              <w:spacing w:line="276" w:lineRule="auto"/>
              <w:ind w:firstLine="0"/>
              <w:jc w:val="left"/>
            </w:pPr>
            <w:r>
              <w:t>97.7% (±2.2%)</w:t>
            </w:r>
          </w:p>
        </w:tc>
        <w:tc>
          <w:tcPr>
            <w:tcW w:type="dxa" w:w="1584"/>
            <w:tcMar>
              <w:top w:w="100" w:type="dxa"/>
              <w:bottom w:w="100" w:type="dxa"/>
              <w:left w:w="140" w:type="dxa"/>
              <w:right w:w="140" w:type="dxa"/>
            </w:tcMar>
            <w:tcBorders>
              <w:bottom w:val="single" w:sz="12" w:space="0" w:color="000000"/>
            </w:tcBorders>
          </w:tcPr>
          <w:p>
            <w:pPr>
              <w:spacing w:line="276" w:lineRule="auto"/>
              <w:ind w:firstLine="0"/>
              <w:jc w:val="left"/>
            </w:pPr>
            <w:r>
              <w:t>1.5%</w:t>
            </w:r>
          </w:p>
        </w:tc>
        <w:tc>
          <w:tcPr>
            <w:tcW w:type="dxa" w:w="2160"/>
            <w:tcMar>
              <w:top w:w="100" w:type="dxa"/>
              <w:bottom w:w="100" w:type="dxa"/>
              <w:left w:w="140" w:type="dxa"/>
              <w:right w:w="140" w:type="dxa"/>
            </w:tcMar>
            <w:tcBorders>
              <w:bottom w:val="single" w:sz="12" w:space="0" w:color="000000"/>
            </w:tcBorders>
          </w:tcPr>
          <w:p>
            <w:pPr>
              <w:spacing w:line="276" w:lineRule="auto"/>
              <w:ind w:firstLine="0"/>
              <w:jc w:val="left"/>
            </w:pPr>
            <w:r>
              <w:t>Optimal performance: superior style, high F1, near-zero leakage.</w:t>
            </w:r>
          </w:p>
        </w:tc>
      </w:tr>
    </w:tbl>
    <w:p>
      <w:pPr>
        <w:spacing w:before="40" w:after="240"/>
        <w:ind w:firstLine="0"/>
      </w:pPr>
      <w:r>
        <w:rPr>
          <w:i/>
          <w:sz w:val="20"/>
        </w:rPr>
        <w:t xml:space="preserve">Note. </w:t>
      </w:r>
      <w:r>
        <w:rPr>
          <w:sz w:val="20"/>
        </w:rPr>
        <w:t>Declarative rules successfully decouple policy verification from prompt formatting.</w:t>
      </w:r>
    </w:p>
    <w:p>
      <w:pPr>
        <w:spacing w:before="240" w:after="80" w:line="480" w:lineRule="auto"/>
        <w:ind w:firstLine="0"/>
        <w:jc w:val="left"/>
      </w:pPr>
      <w:r>
        <w:rPr>
          <w:b/>
          <w:sz w:val="24"/>
        </w:rPr>
        <w:t>7.5 RQ4 Groundwork: Dialogue Turn Economy and Friction Analysis</w:t>
      </w:r>
    </w:p>
    <w:p>
      <w:pPr>
        <w:ind w:firstLine="720"/>
        <w:jc w:val="left"/>
      </w:pPr>
      <w:r>
        <w:rPr>
          <w:b w:val="0"/>
          <w:i w:val="0"/>
        </w:rPr>
        <w:t>To establish empirical groundwork for RQ4, dialogue turn economy was evaluated across N = 384 interactions (128 per archetype) comparing baseline monolithic pacing against cluster-adaptive pacing, as summarized in Table 13. Cluster-adaptive prompting achieves substantial conversational turn reductions: 24.4% turn reduction for Hesitant Explorers (from 21.4 turns down to 16.2 turns), 22.6% turn reduction for Budget Negotiators (from 15.8 turns down to 12.1 turns), and 19.3% turn reduction for Rapid Transactional users (from 7.2 turns down to 5.8 turns). Crucially, Redundant Elicitation Rate (RER) drops precipitously from 14–18% in the baseline down to 1.0–3.0% in the adaptive agent. This occurs because archetype-aligned exemplars demonstrate proactive slot elicitations tailored to user communication velocity.</w:t>
      </w:r>
    </w:p>
    <w:p>
      <w:pPr>
        <w:spacing w:before="200" w:after="0"/>
        <w:ind w:firstLine="0"/>
      </w:pPr>
      <w:r>
        <w:rPr>
          <w:b/>
        </w:rPr>
        <w:t>Table 13</w:t>
      </w:r>
    </w:p>
    <w:p>
      <w:pPr>
        <w:spacing w:before="0" w:after="80"/>
        <w:ind w:firstLine="0"/>
      </w:pPr>
      <w:r>
        <w:rPr>
          <w:i/>
        </w:rPr>
        <w:t>Preliminary Turn Economy and Redundant Elicitation Comparison (N = 384)</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rPr>
        <w:tc>
          <w:tcPr>
            <w:tcW w:type="dxa" w:w="259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Customer Archetype</w:t>
            </w:r>
          </w:p>
        </w:tc>
        <w:tc>
          <w:tcPr>
            <w:tcW w:type="dxa" w:w="864"/>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Sample Size (n)</w:t>
            </w:r>
          </w:p>
        </w:tc>
        <w:tc>
          <w:tcPr>
            <w:tcW w:type="dxa" w:w="1296"/>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Baseline TGC (SD)</w:t>
            </w:r>
          </w:p>
        </w:tc>
        <w:tc>
          <w:tcPr>
            <w:tcW w:type="dxa" w:w="1296"/>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Adaptive TGC (SD)</w:t>
            </w:r>
          </w:p>
        </w:tc>
        <w:tc>
          <w:tcPr>
            <w:tcW w:type="dxa" w:w="1296"/>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Turn Reduction (%)</w:t>
            </w:r>
          </w:p>
        </w:tc>
        <w:tc>
          <w:tcPr>
            <w:tcW w:type="dxa" w:w="1008"/>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Baseline RER</w:t>
            </w:r>
          </w:p>
        </w:tc>
        <w:tc>
          <w:tcPr>
            <w:tcW w:type="dxa" w:w="1008"/>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Adaptive RER</w:t>
            </w:r>
          </w:p>
        </w:tc>
        <w:tc>
          <w:tcPr>
            <w:tcW w:type="dxa" w:w="144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Friction Impact</w:t>
            </w:r>
          </w:p>
        </w:tc>
      </w:tr>
      <w:tr>
        <w:trPr>
          <w:cantSplit/>
        </w:trPr>
        <w:tc>
          <w:tcPr>
            <w:tcW w:type="dxa" w:w="2592"/>
            <w:tcMar>
              <w:top w:w="100" w:type="dxa"/>
              <w:bottom w:w="100" w:type="dxa"/>
              <w:left w:w="140" w:type="dxa"/>
              <w:right w:w="140" w:type="dxa"/>
            </w:tcMar>
            <w:tcBorders/>
          </w:tcPr>
          <w:p>
            <w:pPr>
              <w:spacing w:line="276" w:lineRule="auto"/>
              <w:ind w:firstLine="0"/>
              <w:jc w:val="left"/>
            </w:pPr>
            <w:r>
              <w:t>Hesitant Explorer / Consultative</w:t>
            </w:r>
          </w:p>
        </w:tc>
        <w:tc>
          <w:tcPr>
            <w:tcW w:type="dxa" w:w="864"/>
            <w:tcMar>
              <w:top w:w="100" w:type="dxa"/>
              <w:bottom w:w="100" w:type="dxa"/>
              <w:left w:w="140" w:type="dxa"/>
              <w:right w:w="140" w:type="dxa"/>
            </w:tcMar>
            <w:tcBorders/>
          </w:tcPr>
          <w:p>
            <w:pPr>
              <w:spacing w:line="276" w:lineRule="auto"/>
              <w:ind w:firstLine="0"/>
              <w:jc w:val="left"/>
            </w:pPr>
            <w:r>
              <w:t>128</w:t>
            </w:r>
          </w:p>
        </w:tc>
        <w:tc>
          <w:tcPr>
            <w:tcW w:type="dxa" w:w="1296"/>
            <w:tcMar>
              <w:top w:w="100" w:type="dxa"/>
              <w:bottom w:w="100" w:type="dxa"/>
              <w:left w:w="140" w:type="dxa"/>
              <w:right w:w="140" w:type="dxa"/>
            </w:tcMar>
            <w:tcBorders/>
          </w:tcPr>
          <w:p>
            <w:pPr>
              <w:spacing w:line="276" w:lineRule="auto"/>
              <w:ind w:firstLine="0"/>
              <w:jc w:val="left"/>
            </w:pPr>
            <w:r>
              <w:t>21.4 (±2.8)</w:t>
            </w:r>
          </w:p>
        </w:tc>
        <w:tc>
          <w:tcPr>
            <w:tcW w:type="dxa" w:w="1296"/>
            <w:tcMar>
              <w:top w:w="100" w:type="dxa"/>
              <w:bottom w:w="100" w:type="dxa"/>
              <w:left w:w="140" w:type="dxa"/>
              <w:right w:w="140" w:type="dxa"/>
            </w:tcMar>
            <w:tcBorders/>
          </w:tcPr>
          <w:p>
            <w:pPr>
              <w:spacing w:line="276" w:lineRule="auto"/>
              <w:ind w:firstLine="0"/>
              <w:jc w:val="left"/>
            </w:pPr>
            <w:r>
              <w:t>16.2 (±2.1)</w:t>
            </w:r>
          </w:p>
        </w:tc>
        <w:tc>
          <w:tcPr>
            <w:tcW w:type="dxa" w:w="1296"/>
            <w:tcMar>
              <w:top w:w="100" w:type="dxa"/>
              <w:bottom w:w="100" w:type="dxa"/>
              <w:left w:w="140" w:type="dxa"/>
              <w:right w:w="140" w:type="dxa"/>
            </w:tcMar>
            <w:tcBorders/>
          </w:tcPr>
          <w:p>
            <w:pPr>
              <w:spacing w:line="276" w:lineRule="auto"/>
              <w:ind w:firstLine="0"/>
              <w:jc w:val="left"/>
            </w:pPr>
            <w:r>
              <w:t>-24.4%</w:t>
            </w:r>
          </w:p>
        </w:tc>
        <w:tc>
          <w:tcPr>
            <w:tcW w:type="dxa" w:w="1008"/>
            <w:tcMar>
              <w:top w:w="100" w:type="dxa"/>
              <w:bottom w:w="100" w:type="dxa"/>
              <w:left w:w="140" w:type="dxa"/>
              <w:right w:w="140" w:type="dxa"/>
            </w:tcMar>
            <w:tcBorders/>
          </w:tcPr>
          <w:p>
            <w:pPr>
              <w:spacing w:line="276" w:lineRule="auto"/>
              <w:ind w:firstLine="0"/>
              <w:jc w:val="left"/>
            </w:pPr>
            <w:r>
              <w:t>18.0%</w:t>
            </w:r>
          </w:p>
        </w:tc>
        <w:tc>
          <w:tcPr>
            <w:tcW w:type="dxa" w:w="1008"/>
            <w:tcMar>
              <w:top w:w="100" w:type="dxa"/>
              <w:bottom w:w="100" w:type="dxa"/>
              <w:left w:w="140" w:type="dxa"/>
              <w:right w:w="140" w:type="dxa"/>
            </w:tcMar>
            <w:tcBorders/>
          </w:tcPr>
          <w:p>
            <w:pPr>
              <w:spacing w:line="276" w:lineRule="auto"/>
              <w:ind w:firstLine="0"/>
              <w:jc w:val="left"/>
            </w:pPr>
            <w:r>
              <w:t>3.0%</w:t>
            </w:r>
          </w:p>
        </w:tc>
        <w:tc>
          <w:tcPr>
            <w:tcW w:type="dxa" w:w="1440"/>
            <w:tcMar>
              <w:top w:w="100" w:type="dxa"/>
              <w:bottom w:w="100" w:type="dxa"/>
              <w:left w:w="140" w:type="dxa"/>
              <w:right w:w="140" w:type="dxa"/>
            </w:tcMar>
            <w:tcBorders/>
          </w:tcPr>
          <w:p>
            <w:pPr>
              <w:spacing w:line="276" w:lineRule="auto"/>
              <w:ind w:firstLine="0"/>
              <w:jc w:val="left"/>
            </w:pPr>
            <w:r>
              <w:t>Eliminates premature booking rushes; guides choices.</w:t>
            </w:r>
          </w:p>
        </w:tc>
      </w:tr>
      <w:tr>
        <w:trPr>
          <w:cantSplit/>
        </w:trPr>
        <w:tc>
          <w:tcPr>
            <w:tcW w:type="dxa" w:w="2592"/>
            <w:tcMar>
              <w:top w:w="100" w:type="dxa"/>
              <w:bottom w:w="100" w:type="dxa"/>
              <w:left w:w="140" w:type="dxa"/>
              <w:right w:w="140" w:type="dxa"/>
            </w:tcMar>
            <w:tcBorders/>
          </w:tcPr>
          <w:p>
            <w:pPr>
              <w:spacing w:line="276" w:lineRule="auto"/>
              <w:ind w:firstLine="0"/>
              <w:jc w:val="left"/>
            </w:pPr>
            <w:r>
              <w:t>Budget Negotiator / Value-Conscious</w:t>
            </w:r>
          </w:p>
        </w:tc>
        <w:tc>
          <w:tcPr>
            <w:tcW w:type="dxa" w:w="864"/>
            <w:tcMar>
              <w:top w:w="100" w:type="dxa"/>
              <w:bottom w:w="100" w:type="dxa"/>
              <w:left w:w="140" w:type="dxa"/>
              <w:right w:w="140" w:type="dxa"/>
            </w:tcMar>
            <w:tcBorders/>
          </w:tcPr>
          <w:p>
            <w:pPr>
              <w:spacing w:line="276" w:lineRule="auto"/>
              <w:ind w:firstLine="0"/>
              <w:jc w:val="left"/>
            </w:pPr>
            <w:r>
              <w:t>128</w:t>
            </w:r>
          </w:p>
        </w:tc>
        <w:tc>
          <w:tcPr>
            <w:tcW w:type="dxa" w:w="1296"/>
            <w:tcMar>
              <w:top w:w="100" w:type="dxa"/>
              <w:bottom w:w="100" w:type="dxa"/>
              <w:left w:w="140" w:type="dxa"/>
              <w:right w:w="140" w:type="dxa"/>
            </w:tcMar>
            <w:tcBorders/>
          </w:tcPr>
          <w:p>
            <w:pPr>
              <w:spacing w:line="276" w:lineRule="auto"/>
              <w:ind w:firstLine="0"/>
              <w:jc w:val="left"/>
            </w:pPr>
            <w:r>
              <w:t>15.8 (±2.7)</w:t>
            </w:r>
          </w:p>
        </w:tc>
        <w:tc>
          <w:tcPr>
            <w:tcW w:type="dxa" w:w="1296"/>
            <w:tcMar>
              <w:top w:w="100" w:type="dxa"/>
              <w:bottom w:w="100" w:type="dxa"/>
              <w:left w:w="140" w:type="dxa"/>
              <w:right w:w="140" w:type="dxa"/>
            </w:tcMar>
            <w:tcBorders/>
          </w:tcPr>
          <w:p>
            <w:pPr>
              <w:spacing w:line="276" w:lineRule="auto"/>
              <w:ind w:firstLine="0"/>
              <w:jc w:val="left"/>
            </w:pPr>
            <w:r>
              <w:t>12.1 (±2.0)</w:t>
            </w:r>
          </w:p>
        </w:tc>
        <w:tc>
          <w:tcPr>
            <w:tcW w:type="dxa" w:w="1296"/>
            <w:tcMar>
              <w:top w:w="100" w:type="dxa"/>
              <w:bottom w:w="100" w:type="dxa"/>
              <w:left w:w="140" w:type="dxa"/>
              <w:right w:w="140" w:type="dxa"/>
            </w:tcMar>
            <w:tcBorders/>
          </w:tcPr>
          <w:p>
            <w:pPr>
              <w:spacing w:line="276" w:lineRule="auto"/>
              <w:ind w:firstLine="0"/>
              <w:jc w:val="left"/>
            </w:pPr>
            <w:r>
              <w:t>-22.6%</w:t>
            </w:r>
          </w:p>
        </w:tc>
        <w:tc>
          <w:tcPr>
            <w:tcW w:type="dxa" w:w="1008"/>
            <w:tcMar>
              <w:top w:w="100" w:type="dxa"/>
              <w:bottom w:w="100" w:type="dxa"/>
              <w:left w:w="140" w:type="dxa"/>
              <w:right w:w="140" w:type="dxa"/>
            </w:tcMar>
            <w:tcBorders/>
          </w:tcPr>
          <w:p>
            <w:pPr>
              <w:spacing w:line="276" w:lineRule="auto"/>
              <w:ind w:firstLine="0"/>
              <w:jc w:val="left"/>
            </w:pPr>
            <w:r>
              <w:t>14.0%</w:t>
            </w:r>
          </w:p>
        </w:tc>
        <w:tc>
          <w:tcPr>
            <w:tcW w:type="dxa" w:w="1008"/>
            <w:tcMar>
              <w:top w:w="100" w:type="dxa"/>
              <w:bottom w:w="100" w:type="dxa"/>
              <w:left w:w="140" w:type="dxa"/>
              <w:right w:w="140" w:type="dxa"/>
            </w:tcMar>
            <w:tcBorders/>
          </w:tcPr>
          <w:p>
            <w:pPr>
              <w:spacing w:line="276" w:lineRule="auto"/>
              <w:ind w:firstLine="0"/>
              <w:jc w:val="left"/>
            </w:pPr>
            <w:r>
              <w:t>2.0%</w:t>
            </w:r>
          </w:p>
        </w:tc>
        <w:tc>
          <w:tcPr>
            <w:tcW w:type="dxa" w:w="1440"/>
            <w:tcMar>
              <w:top w:w="100" w:type="dxa"/>
              <w:bottom w:w="100" w:type="dxa"/>
              <w:left w:w="140" w:type="dxa"/>
              <w:right w:w="140" w:type="dxa"/>
            </w:tcMar>
            <w:tcBorders/>
          </w:tcPr>
          <w:p>
            <w:pPr>
              <w:spacing w:line="276" w:lineRule="auto"/>
              <w:ind w:firstLine="0"/>
              <w:jc w:val="left"/>
            </w:pPr>
            <w:r>
              <w:t>Proactively addresses price trade-offs without loops.</w:t>
            </w:r>
          </w:p>
        </w:tc>
      </w:tr>
      <w:tr>
        <w:trPr>
          <w:cantSplit/>
        </w:trPr>
        <w:tc>
          <w:tcPr>
            <w:tcW w:type="dxa" w:w="2592"/>
            <w:tcMar>
              <w:top w:w="100" w:type="dxa"/>
              <w:bottom w:w="100" w:type="dxa"/>
              <w:left w:w="140" w:type="dxa"/>
              <w:right w:w="140" w:type="dxa"/>
            </w:tcMar>
            <w:tcBorders>
              <w:bottom w:val="single" w:sz="12" w:space="0" w:color="000000"/>
            </w:tcBorders>
          </w:tcPr>
          <w:p>
            <w:pPr>
              <w:spacing w:line="276" w:lineRule="auto"/>
              <w:ind w:firstLine="0"/>
              <w:jc w:val="left"/>
            </w:pPr>
            <w:r>
              <w:t>Rapid Transactional / Corporate</w:t>
            </w:r>
          </w:p>
        </w:tc>
        <w:tc>
          <w:tcPr>
            <w:tcW w:type="dxa" w:w="864"/>
            <w:tcMar>
              <w:top w:w="100" w:type="dxa"/>
              <w:bottom w:w="100" w:type="dxa"/>
              <w:left w:w="140" w:type="dxa"/>
              <w:right w:w="140" w:type="dxa"/>
            </w:tcMar>
            <w:tcBorders>
              <w:bottom w:val="single" w:sz="12" w:space="0" w:color="000000"/>
            </w:tcBorders>
          </w:tcPr>
          <w:p>
            <w:pPr>
              <w:spacing w:line="276" w:lineRule="auto"/>
              <w:ind w:firstLine="0"/>
              <w:jc w:val="left"/>
            </w:pPr>
            <w:r>
              <w:t>128</w:t>
            </w:r>
          </w:p>
        </w:tc>
        <w:tc>
          <w:tcPr>
            <w:tcW w:type="dxa" w:w="1296"/>
            <w:tcMar>
              <w:top w:w="100" w:type="dxa"/>
              <w:bottom w:w="100" w:type="dxa"/>
              <w:left w:w="140" w:type="dxa"/>
              <w:right w:w="140" w:type="dxa"/>
            </w:tcMar>
            <w:tcBorders>
              <w:bottom w:val="single" w:sz="12" w:space="0" w:color="000000"/>
            </w:tcBorders>
          </w:tcPr>
          <w:p>
            <w:pPr>
              <w:spacing w:line="276" w:lineRule="auto"/>
              <w:ind w:firstLine="0"/>
              <w:jc w:val="left"/>
            </w:pPr>
            <w:r>
              <w:t>7.2 (±2.2)</w:t>
            </w:r>
          </w:p>
        </w:tc>
        <w:tc>
          <w:tcPr>
            <w:tcW w:type="dxa" w:w="1296"/>
            <w:tcMar>
              <w:top w:w="100" w:type="dxa"/>
              <w:bottom w:w="100" w:type="dxa"/>
              <w:left w:w="140" w:type="dxa"/>
              <w:right w:w="140" w:type="dxa"/>
            </w:tcMar>
            <w:tcBorders>
              <w:bottom w:val="single" w:sz="12" w:space="0" w:color="000000"/>
            </w:tcBorders>
          </w:tcPr>
          <w:p>
            <w:pPr>
              <w:spacing w:line="276" w:lineRule="auto"/>
              <w:ind w:firstLine="0"/>
              <w:jc w:val="left"/>
            </w:pPr>
            <w:r>
              <w:t>5.8 (±1.8)</w:t>
            </w:r>
          </w:p>
        </w:tc>
        <w:tc>
          <w:tcPr>
            <w:tcW w:type="dxa" w:w="1296"/>
            <w:tcMar>
              <w:top w:w="100" w:type="dxa"/>
              <w:bottom w:w="100" w:type="dxa"/>
              <w:left w:w="140" w:type="dxa"/>
              <w:right w:w="140" w:type="dxa"/>
            </w:tcMar>
            <w:tcBorders>
              <w:bottom w:val="single" w:sz="12" w:space="0" w:color="000000"/>
            </w:tcBorders>
          </w:tcPr>
          <w:p>
            <w:pPr>
              <w:spacing w:line="276" w:lineRule="auto"/>
              <w:ind w:firstLine="0"/>
              <w:jc w:val="left"/>
            </w:pPr>
            <w:r>
              <w:t>-19.3%</w:t>
            </w:r>
          </w:p>
        </w:tc>
        <w:tc>
          <w:tcPr>
            <w:tcW w:type="dxa" w:w="1008"/>
            <w:tcMar>
              <w:top w:w="100" w:type="dxa"/>
              <w:bottom w:w="100" w:type="dxa"/>
              <w:left w:w="140" w:type="dxa"/>
              <w:right w:w="140" w:type="dxa"/>
            </w:tcMar>
            <w:tcBorders>
              <w:bottom w:val="single" w:sz="12" w:space="0" w:color="000000"/>
            </w:tcBorders>
          </w:tcPr>
          <w:p>
            <w:pPr>
              <w:spacing w:line="276" w:lineRule="auto"/>
              <w:ind w:firstLine="0"/>
              <w:jc w:val="left"/>
            </w:pPr>
            <w:r>
              <w:t>8.0%</w:t>
            </w:r>
          </w:p>
        </w:tc>
        <w:tc>
          <w:tcPr>
            <w:tcW w:type="dxa" w:w="1008"/>
            <w:tcMar>
              <w:top w:w="100" w:type="dxa"/>
              <w:bottom w:w="100" w:type="dxa"/>
              <w:left w:w="140" w:type="dxa"/>
              <w:right w:w="140" w:type="dxa"/>
            </w:tcMar>
            <w:tcBorders>
              <w:bottom w:val="single" w:sz="12" w:space="0" w:color="000000"/>
            </w:tcBorders>
          </w:tcPr>
          <w:p>
            <w:pPr>
              <w:spacing w:line="276" w:lineRule="auto"/>
              <w:ind w:firstLine="0"/>
              <w:jc w:val="left"/>
            </w:pPr>
            <w:r>
              <w:t>1.0%</w:t>
            </w:r>
          </w:p>
        </w:tc>
        <w:tc>
          <w:tcPr>
            <w:tcW w:type="dxa" w:w="1440"/>
            <w:tcMar>
              <w:top w:w="100" w:type="dxa"/>
              <w:bottom w:w="100" w:type="dxa"/>
              <w:left w:w="140" w:type="dxa"/>
              <w:right w:w="140" w:type="dxa"/>
            </w:tcMar>
            <w:tcBorders>
              <w:bottom w:val="single" w:sz="12" w:space="0" w:color="000000"/>
            </w:tcBorders>
          </w:tcPr>
          <w:p>
            <w:pPr>
              <w:spacing w:line="276" w:lineRule="auto"/>
              <w:ind w:firstLine="0"/>
              <w:jc w:val="left"/>
            </w:pPr>
            <w:r>
              <w:t>Eliminates chit-chat; saturates slots immediately.</w:t>
            </w:r>
          </w:p>
        </w:tc>
      </w:tr>
    </w:tbl>
    <w:p>
      <w:pPr>
        <w:spacing w:before="40" w:after="240"/>
        <w:ind w:firstLine="0"/>
      </w:pPr>
      <w:r>
        <w:rPr>
          <w:i/>
          <w:sz w:val="20"/>
        </w:rPr>
        <w:t xml:space="preserve">Note. </w:t>
      </w:r>
      <w:r>
        <w:rPr>
          <w:sz w:val="20"/>
        </w:rPr>
        <w:t>Cluster-adaptive prompting achieves double-digit percentage turn reductions across all three archetypes.</w:t>
      </w:r>
    </w:p>
    <w:p>
      <w:pPr>
        <w:spacing w:before="240" w:after="80" w:line="480" w:lineRule="auto"/>
        <w:ind w:firstLine="0"/>
        <w:jc w:val="left"/>
      </w:pPr>
      <w:r>
        <w:rPr>
          <w:b/>
          <w:sz w:val="24"/>
        </w:rPr>
        <w:t>7.6 Cross-Domain Reference Centroid Alignment: Public vs. Enterprise Norms</w:t>
      </w:r>
    </w:p>
    <w:p>
      <w:pPr>
        <w:ind w:firstLine="720"/>
        <w:jc w:val="left"/>
      </w:pPr>
      <w:r>
        <w:rPr>
          <w:b w:val="0"/>
          <w:i w:val="0"/>
        </w:rPr>
        <w:t>A central inquiry from the Advisory Committee addressed whether conversational archetypes discovered in public academic research corpora (Microsoft Frames and MultiWOZ 2.2) represent universal goal-oriented negotiation structures that generalize to proprietary enterprise travel operations. To empirically test this hypothesis, the 102 PII-sanitized golden travel counseling dialogues from an Indian outbound leisure travel agency were projected into the 384-dimensional latent semantic trajectory space established by the public Frames corpus, using the identical S-BERT vectorizer and temporal decay pooling function without any parameter retraining.</w:t>
      </w:r>
    </w:p>
    <w:p>
      <w:pPr>
        <w:ind w:firstLine="720"/>
        <w:jc w:val="left"/>
      </w:pPr>
      <w:r>
        <w:rPr>
          <w:b w:val="0"/>
          <w:i w:val="0"/>
        </w:rPr>
        <w:t>Cosine similarity analysis revealed strong cross-domain geometric alignment: enterprise consultative inquiries exhibited a mean cosine similarity of 0.862 to the public Hesitant Explorer centroid; value-conscious family tour negotiations aligned with the Budget Negotiator centroid (mean cosine = 0.884); and direct corporate ticketing calls aligned with the Rapid Transactional centroid (mean cosine = 0.891). This confirms that public goal-oriented corpora capture universal human negotiation patterns, enabling enterprise conversational agents to leverage public archetype indices without leaking sensitive customer data or requiring proprietary embedding fine-tuning.</w:t>
      </w:r>
    </w:p>
    <w:p>
      <w:pPr>
        <w:spacing w:before="240" w:after="80" w:line="480" w:lineRule="auto"/>
        <w:ind w:firstLine="0"/>
        <w:jc w:val="left"/>
      </w:pPr>
      <w:r>
        <w:rPr>
          <w:b/>
          <w:sz w:val="24"/>
        </w:rPr>
        <w:t>7.7 Interim Limitations and Risk Mitigation</w:t>
      </w:r>
    </w:p>
    <w:p>
      <w:pPr>
        <w:ind w:firstLine="720"/>
        <w:jc w:val="left"/>
      </w:pPr>
      <w:r>
        <w:rPr>
          <w:b w:val="0"/>
          <w:i w:val="0"/>
        </w:rPr>
        <w:t>Three methodological limitations are acknowledged at this interim stage. First, while Microsoft Frames provides dense vacation booking trajectories, the corpus originates from Wizard-of-Oz human simulations collected in 2016. To mitigate historical or geographical bias, we validated cluster representations against the 102 contemporary enterprise counseling benchmark transcripts. Second, while S-BERT all-MiniLM-L6-v2 provides rapid dense vectorization, cosine similarity captures semantic proximity rather than conversational empathy. To mitigate this, human-in-the-loop qualitative evaluations are scheduled for the final report. Third, dynamic prompt injection expands LLM context window token counts, slightly increasing API latency. We mitigate this by capping retrieval to top-k = 2 exemplars.</w:t>
      </w:r>
    </w:p>
    <w:p>
      <w:pPr>
        <w:spacing w:before="240" w:after="80" w:line="480" w:lineRule="auto"/>
        <w:ind w:firstLine="0"/>
        <w:jc w:val="left"/>
      </w:pPr>
      <w:r>
        <w:rPr>
          <w:b/>
          <w:sz w:val="24"/>
        </w:rPr>
        <w:t>7.8 Next Steps Toward the Final Report</w:t>
      </w:r>
    </w:p>
    <w:p>
      <w:pPr>
        <w:ind w:firstLine="0"/>
        <w:jc w:val="left"/>
      </w:pPr>
      <w:r>
        <w:rPr>
          <w:b w:val="0"/>
          <w:i w:val="0"/>
        </w:rPr>
        <w:t>To complete the remaining capstone milestones by Week 8 as outlined in Appendix B, planned activities include:</w:t>
      </w:r>
    </w:p>
    <w:p>
      <w:pPr>
        <w:pStyle w:val="ListBullet"/>
      </w:pPr>
      <w:r>
        <w:t>• Complete full multi-turn conversational generations using live Gemini 1.5 Pro / Flash APIs across all 180 factorial ablation dialogue scenarios (RQ3).</w:t>
      </w:r>
    </w:p>
    <w:p>
      <w:pPr>
        <w:pStyle w:val="ListBullet"/>
      </w:pPr>
      <w:r>
        <w:t>• Perform formal Two-Way Factorial ANOVA on Factual Slot F1 and Rule Adherence Rate to test main and interaction effects (RQ3).</w:t>
      </w:r>
    </w:p>
    <w:p>
      <w:pPr>
        <w:pStyle w:val="ListBullet"/>
      </w:pPr>
      <w:r>
        <w:t>• Execute human qualitative rubric evaluation (5-point Likert scale) assessing naturalness, empathy, and tone alignment across archetypes (RQ4).</w:t>
      </w:r>
    </w:p>
    <w:p>
      <w:pPr>
        <w:pStyle w:val="ListBullet"/>
      </w:pPr>
      <w:r>
        <w:t>• Finalize capstone slide deck and prepare formal thesis defense presentation for committee review.</w:t>
      </w:r>
    </w:p>
    <w:p>
      <w:pPr>
        <w:spacing w:before="240" w:after="120" w:line="480" w:lineRule="auto"/>
        <w:ind w:firstLine="0"/>
        <w:jc w:val="center"/>
      </w:pPr>
      <w:r>
        <w:rPr>
          <w:b/>
          <w:sz w:val="24"/>
        </w:rPr>
        <w:t>References</w:t>
      </w:r>
    </w:p>
    <w:p>
      <w:pPr>
        <w:spacing w:line="480" w:lineRule="auto" w:after="0"/>
        <w:ind w:left="720" w:hanging="720"/>
      </w:pPr>
      <w:r>
        <w:t>Brown, T. B., Mann, B., Ryder, N., Subbiah, M., Kaplan, J., Dhariwal, P., Neelakantan, A., Shyam, P., Sastry, G., Askell, A., Agarwal, S., Herbert-Voss, A., Krueger, G., Henighan, T., Child, R., Ramesh, A., Ziegler, D. M., Wu, J., Winter, C., ... &amp; Amodei, D. (2020). Language models are few-shot learners. Advances in Neural Information Processing Systems, 33, 1877–1901. https://doi.org/10.48550/arXiv.2005.14165</w:t>
      </w:r>
    </w:p>
    <w:p>
      <w:pPr>
        <w:spacing w:line="480" w:lineRule="auto" w:after="0"/>
        <w:ind w:left="720" w:hanging="720"/>
      </w:pPr>
      <w:r>
        <w:t>Budzianowski, P., Wen, T. H., Tseng, B. H., Casanueva, I., Ultes, S., Ramadan, O., &amp; Gašić, M. (2018). MultiWOZ—A large-scale multi-domain Wizard-of-Oz dataset for task-oriented dialogue modelling. Proceedings of the 2018 Conference on Empirical Methods in Natural Language Processing (EMNLP 2018), 5016–5026. https://doi.org/10.18653/v1/D18-1547</w:t>
      </w:r>
    </w:p>
    <w:p>
      <w:pPr>
        <w:spacing w:line="480" w:lineRule="auto" w:after="0"/>
        <w:ind w:left="720" w:hanging="720"/>
      </w:pPr>
      <w:r>
        <w:t>El Asri, L., Schulz, H., Sharma, S., Zumer, J., Harris, J., Fine, E., Mehrotra, R., &amp; Suleman, K. (2017). Frames: A corpus for adding memory to goal-oriented dialogue systems. Proceedings of the 18th Annual SIGdial Meeting on Discourse and Dialogue, 207–219. https://doi.org/10.18653/v1/W17-5526</w:t>
      </w:r>
    </w:p>
    <w:p>
      <w:pPr>
        <w:spacing w:line="480" w:lineRule="auto" w:after="0"/>
        <w:ind w:left="720" w:hanging="720"/>
      </w:pPr>
      <w:r>
        <w:t>Es, S., James, J., Espinosa-Anke, L., &amp; Schockaert, S. (2024). RAGAS: Automated evaluation of retrieval augmented generation. Proceedings of the 18th Conference of the European Chapter of the Association for Computational Linguistics (EACL 2024), 150–158. https://doi.org/10.48550/arXiv.2309.15217</w:t>
      </w:r>
    </w:p>
    <w:p>
      <w:pPr>
        <w:spacing w:line="480" w:lineRule="auto" w:after="0"/>
        <w:ind w:left="720" w:hanging="720"/>
      </w:pPr>
      <w:r>
        <w:t>Inaba, M., Chiba, Y., Higashinaka, R., Komatani, K., Miyao, Y., &amp; Nagai, T. (2022). Collection and analysis of travel agency task dialogues with age-diverse speakers. Proceedings of the Thirteenth Language Resources and Evaluation Conference (LREC 2022), 6520–6528. https://aclanthology.org/2022.lrec-1.619/</w:t>
      </w:r>
    </w:p>
    <w:p>
      <w:pPr>
        <w:spacing w:line="480" w:lineRule="auto" w:after="0"/>
        <w:ind w:left="720" w:hanging="720"/>
      </w:pPr>
      <w:r>
        <w:t>Jannach, D., Manzoor, A., &amp; Riva, W. (2021). A survey on conversational recommender systems. ACM Computing Surveys, 54(5), 1–36. https://doi.org/10.1145/3460084</w:t>
      </w:r>
    </w:p>
    <w:p>
      <w:pPr>
        <w:spacing w:line="480" w:lineRule="auto" w:after="0"/>
        <w:ind w:left="720" w:hanging="720"/>
      </w:pPr>
      <w:r>
        <w:t>Liu, J., Shen, D., Zhang, Y., Dolan, B., Carin, L., &amp; Chen, W. (2022). What makes good in-context examples for GPT-3? Proceedings of Deep Learning Inside Out (DeeLIO 2022), 100–114. https://doi.org/10.18653/v1/2022.deelio-1.10</w:t>
      </w:r>
    </w:p>
    <w:p>
      <w:pPr>
        <w:spacing w:line="480" w:lineRule="auto" w:after="0"/>
        <w:ind w:left="720" w:hanging="720"/>
      </w:pPr>
      <w:r>
        <w:t>McInnes, L., Healy, J., &amp; Astels, S. (2017). hdbscan: Hierarchical density based clustering. The Journal of Open Source Software, 2(11), 205. https://doi.org/10.21105/joss.00205</w:t>
      </w:r>
    </w:p>
    <w:p>
      <w:pPr>
        <w:spacing w:line="480" w:lineRule="auto" w:after="0"/>
        <w:ind w:left="720" w:hanging="720"/>
      </w:pPr>
      <w:r>
        <w:t>Rebedea, T., Dinu, R., Svore, C., et al. (2023). NeMo Guardrails: A toolkit for controllable and safe LLM applications. Proceedings of the 2023 Conference on Empirical Methods in Natural Language Processing: System Demonstrations, 431–439. https://doi.org/10.48550/arXiv.2310.10501</w:t>
      </w:r>
    </w:p>
    <w:p>
      <w:pPr>
        <w:spacing w:line="480" w:lineRule="auto" w:after="0"/>
        <w:ind w:left="720" w:hanging="720"/>
      </w:pPr>
      <w:r>
        <w:t>Reimers, N., &amp; Gurevych, I. (2019). Sentence-BERT: Sentence embeddings using siamese BERT-networks. Proceedings of the 2019 Conference on Empirical Methods in Natural Language Processing and the 9th International Joint Conference on Natural Language Processing (EMNLP-IJCNLP), 3982–3992. https://doi.org/10.18653/v1/D19-1410</w:t>
      </w:r>
    </w:p>
    <w:p>
      <w:pPr>
        <w:spacing w:line="480" w:lineRule="auto" w:after="0"/>
        <w:ind w:left="720" w:hanging="720"/>
      </w:pPr>
      <w:r>
        <w:t>Rousseeuw, P. J. (1987). Silhouettes: A graphical aid to the interpretation and validation of cluster analysis. Journal of Computational and Applied Mathematics, 20, 53–65. https://doi.org/10.1016/0377-0427(87)90125-7</w:t>
      </w:r>
    </w:p>
    <w:p>
      <w:pPr>
        <w:spacing w:line="480" w:lineRule="auto" w:after="0"/>
        <w:ind w:left="720" w:hanging="720"/>
      </w:pPr>
      <w:r>
        <w:t>Zang, X., Rastogi, A., Sunkara, S., Gupta, R., Zhang, J., &amp; Chen, J. (2020). MultiWOZ 2.2: A dialogue dataset with additional annotation corrections and state tracking baselines. Proceedings of the 2nd Workshop on Natural Language Processing for Conversational AI (ACL 2020), 109–117. https://doi.org/10.18653/v1/2020.nlp4convai-1.13</w:t>
      </w:r>
    </w:p>
    <w:p>
      <w:pPr>
        <w:spacing w:line="480" w:lineRule="auto" w:after="0"/>
        <w:ind w:left="720" w:hanging="720"/>
      </w:pPr>
      <w:r>
        <w:t>Zhang, T., Kishore, V., Wu, F., Weinberger, K. Q., &amp; Artzi, Y. (2020). BERTScore: Evaluating text generation with BERT. International Conference on Learning Representations (ICLR 2020). https://doi.org/10.48550/arXiv.1904.09675</w:t>
      </w:r>
    </w:p>
    <w:p>
      <w:r>
        <w:br w:type="page"/>
      </w:r>
    </w:p>
    <w:p>
      <w:pPr>
        <w:spacing w:before="240" w:after="120" w:line="480" w:lineRule="auto"/>
        <w:ind w:firstLine="0"/>
        <w:jc w:val="center"/>
      </w:pPr>
      <w:r>
        <w:rPr>
          <w:b/>
          <w:sz w:val="24"/>
        </w:rPr>
        <w:t>Appendix A</w:t>
      </w:r>
    </w:p>
    <w:p>
      <w:pPr>
        <w:spacing w:before="240" w:after="80" w:line="480" w:lineRule="auto"/>
        <w:ind w:firstLine="0"/>
        <w:jc w:val="left"/>
      </w:pPr>
      <w:r>
        <w:rPr>
          <w:b/>
          <w:sz w:val="24"/>
        </w:rPr>
        <w:t>Project Repository Architecture and Replication Guide</w:t>
      </w:r>
    </w:p>
    <w:p>
      <w:pPr>
        <w:ind w:firstLine="720"/>
        <w:jc w:val="left"/>
      </w:pPr>
      <w:r>
        <w:rPr>
          <w:b w:val="0"/>
          <w:i w:val="0"/>
        </w:rPr>
        <w:t>To ensure complete scientific reproducibility, all source code, canonical data schemas, trained clustering pipelines, and evaluation scripts are maintained in a public GitHub repository at: https://github.com/surnella/QM640-Dialogue-Clustering-Capstone. The repository structure is organized as follows:</w:t>
      </w:r>
    </w:p>
    <w:p>
      <w:pPr>
        <w:ind w:left="288" w:firstLine="0"/>
      </w:pPr>
      <w:r>
        <w:rPr>
          <w:rFonts w:ascii="Courier New" w:hAnsi="Courier New"/>
          <w:sz w:val="19"/>
        </w:rPr>
        <w:t>QM640-Dialogue-Clustering-Capstone/</w:t>
        <w:br/>
        <w:t>├── data/</w:t>
        <w:br/>
        <w:t>│   ├── raw/                 # Microsoft Frames, MultiWOZ 2.2 corpora</w:t>
        <w:br/>
        <w:t>│   ├── canonical/           # Normalized 2-tier canonical dialogue trajectories (2,893 sessions)</w:t>
        <w:br/>
        <w:t>│   ├── embeddings/          # 384-dim S-BERT trajectory embeddings &amp; cluster metadata</w:t>
        <w:br/>
        <w:t>│   └── enterprise_sample/   # 102 PII-sanitized golden enterprise counseling sessions</w:t>
        <w:br/>
        <w:t>├── notebooks/</w:t>
        <w:br/>
        <w:t>│   ├── 01_eda_and_cleaning.ipynb          # Exploratory data analysis &amp; cleaning logs</w:t>
        <w:br/>
        <w:t>│   ├── 02_trajectory_clustering_rq1.ipynb # RQ1 K-Means, Agglomerative, HDBSCAN ANOVA</w:t>
        <w:br/>
        <w:t>│   ├── 03_fewshot_retrieval_rq2.ipynb     # RQ2 FAISS vector indexing &amp; style convergence</w:t>
        <w:br/>
        <w:t>│   ├── 04_factorial_ablation_rq3.ipynb    # RQ3 2x2 Factorial ANOVA (Rules vs. Drift)</w:t>
        <w:br/>
        <w:t>│   └── 05_turn_economy_rq4.ipynb          # RQ4 Turn economy &amp; friction statistics</w:t>
        <w:br/>
        <w:t>├── src/</w:t>
        <w:br/>
        <w:t>│   ├── canonical_schema.py  # Pydantic schemas for Tier-1 and Tier-2 slots</w:t>
        <w:br/>
        <w:t>│   ├── ingestion.py         # Microsoft Frames, MultiWOZ 2.2, and Enterprise parsers</w:t>
        <w:br/>
        <w:t>│   ├── vectorizer.py        # S-BERT embeddings with temporal decay pooling</w:t>
        <w:br/>
        <w:t>│   ├── clustering.py        # K-Means, Agglomerative, HDBSCAN pipelines &amp; ANOVA testing</w:t>
        <w:br/>
        <w:t>│   ├── faiss_index.py       # FAISS L2/Cosine vector indexing for exemplar retrieval</w:t>
        <w:br/>
        <w:t>│   ├── prompt_assembler.py  # Dynamic few-shot prompt construction with slot masking</w:t>
        <w:br/>
        <w:t>│   ├── rule_engine.py       # Decoupled declarative business rule validator</w:t>
        <w:br/>
        <w:t>│   └── evaluation.py        # Hypothesis testing &amp; evaluation harnesses (RQ2, RQ3, RQ4)</w:t>
        <w:br/>
        <w:t>├── rules/</w:t>
        <w:br/>
        <w:t>│   └── rules_enterprise.yaml # Declarative business constraints (visa, passport, pax, budget)</w:t>
        <w:br/>
        <w:t>├── outputs/</w:t>
        <w:br/>
        <w:t>│   ├── figures/             # UMAP projections, Silhouette plots, style convergence charts</w:t>
        <w:br/>
        <w:t>│   └── tables/              # Exported ANOVA summary tables and CSV evaluation logs</w:t>
        <w:br/>
        <w:t>├── requirements.txt         # Pinned Python package dependencies</w:t>
        <w:br/>
        <w:t>└── README.md                # Project documentation and replication guide</w:t>
      </w:r>
    </w:p>
    <w:p>
      <w:r>
        <w:br w:type="page"/>
      </w:r>
    </w:p>
    <w:p>
      <w:pPr>
        <w:spacing w:before="240" w:after="120" w:line="480" w:lineRule="auto"/>
        <w:ind w:firstLine="0"/>
        <w:jc w:val="center"/>
      </w:pPr>
      <w:r>
        <w:rPr>
          <w:b/>
          <w:sz w:val="24"/>
        </w:rPr>
        <w:t>Appendix B</w:t>
      </w:r>
    </w:p>
    <w:p>
      <w:pPr>
        <w:spacing w:before="240" w:after="80" w:line="480" w:lineRule="auto"/>
        <w:ind w:firstLine="0"/>
        <w:jc w:val="left"/>
      </w:pPr>
      <w:r>
        <w:rPr>
          <w:b/>
          <w:sz w:val="24"/>
        </w:rPr>
        <w:t>Ten-Week Phased Project Implementation Plan and QM640 Syllabus Milestone Alignment</w:t>
      </w:r>
    </w:p>
    <w:p>
      <w:pPr>
        <w:ind w:firstLine="720"/>
        <w:jc w:val="left"/>
      </w:pPr>
      <w:r>
        <w:rPr>
          <w:b w:val="0"/>
          <w:i w:val="0"/>
        </w:rPr>
        <w:t>To fulfill Walsh College QM640 requirements and align precisely with the official course schedule, the project is organized across a 10-week lifecycle. Computational analytics, modeling, and statistical testing are completed by Week 8 ('Data Analysis Assessment'), reserving Weeks 9–10 for report finalization and thesis defense. Table B1 maps syllabus topics directly to our deliverables.</w:t>
      </w:r>
    </w:p>
    <w:p>
      <w:pPr>
        <w:spacing w:before="200" w:after="0"/>
        <w:ind w:firstLine="0"/>
      </w:pPr>
      <w:r>
        <w:rPr>
          <w:b/>
        </w:rPr>
        <w:t>Table B1</w:t>
      </w:r>
    </w:p>
    <w:p>
      <w:pPr>
        <w:spacing w:before="0" w:after="80"/>
        <w:ind w:firstLine="0"/>
      </w:pPr>
      <w:r>
        <w:rPr>
          <w:i/>
        </w:rPr>
        <w:t>Ten-Week Phased Implementation Schedule and QM640 Syllabus Milestone Alignment</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15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Week</w:t>
            </w:r>
          </w:p>
        </w:tc>
        <w:tc>
          <w:tcPr>
            <w:tcW w:type="dxa" w:w="259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Official QM640 Syllabus Milestone</w:t>
            </w:r>
          </w:p>
        </w:tc>
        <w:tc>
          <w:tcPr>
            <w:tcW w:type="dxa" w:w="3168"/>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Capstone Analytical Tasks</w:t>
            </w:r>
          </w:p>
        </w:tc>
        <w:tc>
          <w:tcPr>
            <w:tcW w:type="dxa" w:w="2592"/>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Deliverables &amp; Artifacts</w:t>
            </w:r>
          </w:p>
        </w:tc>
        <w:tc>
          <w:tcPr>
            <w:tcW w:type="dxa" w:w="1440"/>
            <w:tcMar>
              <w:top w:w="100" w:type="dxa"/>
              <w:bottom w:w="100" w:type="dxa"/>
              <w:left w:w="140" w:type="dxa"/>
              <w:right w:w="140" w:type="dxa"/>
            </w:tcMar>
            <w:tcBorders>
              <w:top w:val="single" w:sz="12" w:space="0" w:color="000000"/>
              <w:bottom w:val="single" w:sz="8" w:space="0" w:color="000000"/>
            </w:tcBorders>
          </w:tcPr>
          <w:p>
            <w:pPr>
              <w:spacing w:line="276" w:lineRule="auto"/>
              <w:ind w:firstLine="0"/>
              <w:jc w:val="center"/>
            </w:pPr>
            <w:r>
              <w:rPr>
                <w:b/>
              </w:rPr>
              <w:t>Milestone Status</w:t>
            </w:r>
          </w:p>
        </w:tc>
      </w:tr>
      <w:tr>
        <w:trPr>
          <w:cantSplit/>
        </w:trPr>
        <w:tc>
          <w:tcPr>
            <w:tcW w:type="dxa" w:w="1152"/>
            <w:tcMar>
              <w:top w:w="100" w:type="dxa"/>
              <w:bottom w:w="100" w:type="dxa"/>
              <w:left w:w="140" w:type="dxa"/>
              <w:right w:w="140" w:type="dxa"/>
            </w:tcMar>
            <w:tcBorders/>
          </w:tcPr>
          <w:p>
            <w:pPr>
              <w:spacing w:line="276" w:lineRule="auto"/>
              <w:ind w:firstLine="0"/>
              <w:jc w:val="left"/>
            </w:pPr>
            <w:r>
              <w:t>W1–W2</w:t>
            </w:r>
          </w:p>
        </w:tc>
        <w:tc>
          <w:tcPr>
            <w:tcW w:type="dxa" w:w="2592"/>
            <w:tcMar>
              <w:top w:w="100" w:type="dxa"/>
              <w:bottom w:w="100" w:type="dxa"/>
              <w:left w:w="140" w:type="dxa"/>
              <w:right w:w="140" w:type="dxa"/>
            </w:tcMar>
            <w:tcBorders/>
          </w:tcPr>
          <w:p>
            <w:pPr>
              <w:spacing w:line="276" w:lineRule="auto"/>
              <w:ind w:firstLine="0"/>
              <w:jc w:val="left"/>
            </w:pPr>
            <w:r>
              <w:t>Topic Formulation &amp; Research Questions</w:t>
            </w:r>
          </w:p>
        </w:tc>
        <w:tc>
          <w:tcPr>
            <w:tcW w:type="dxa" w:w="3168"/>
            <w:tcMar>
              <w:top w:w="100" w:type="dxa"/>
              <w:bottom w:w="100" w:type="dxa"/>
              <w:left w:w="140" w:type="dxa"/>
              <w:right w:w="140" w:type="dxa"/>
            </w:tcMar>
            <w:tcBorders/>
          </w:tcPr>
          <w:p>
            <w:pPr>
              <w:spacing w:line="276" w:lineRule="auto"/>
              <w:ind w:firstLine="0"/>
              <w:jc w:val="left"/>
            </w:pPr>
            <w:r>
              <w:t>Problem domain formulation, theoretical baselines, RQ1–RQ4 definition.</w:t>
            </w:r>
          </w:p>
        </w:tc>
        <w:tc>
          <w:tcPr>
            <w:tcW w:type="dxa" w:w="2592"/>
            <w:tcMar>
              <w:top w:w="100" w:type="dxa"/>
              <w:bottom w:w="100" w:type="dxa"/>
              <w:left w:w="140" w:type="dxa"/>
              <w:right w:w="140" w:type="dxa"/>
            </w:tcMar>
            <w:tcBorders/>
          </w:tcPr>
          <w:p>
            <w:pPr>
              <w:spacing w:line="276" w:lineRule="auto"/>
              <w:ind w:firstLine="0"/>
              <w:jc w:val="left"/>
            </w:pPr>
            <w:r>
              <w:t>Capstone Topic Proposal &amp; Synopsis draft.</w:t>
            </w:r>
          </w:p>
        </w:tc>
        <w:tc>
          <w:tcPr>
            <w:tcW w:type="dxa" w:w="1440"/>
            <w:tcMar>
              <w:top w:w="100" w:type="dxa"/>
              <w:bottom w:w="100" w:type="dxa"/>
              <w:left w:w="140" w:type="dxa"/>
              <w:right w:w="140" w:type="dxa"/>
            </w:tcMar>
            <w:tcBorders/>
          </w:tcPr>
          <w:p>
            <w:pPr>
              <w:spacing w:line="276" w:lineRule="auto"/>
              <w:ind w:firstLine="0"/>
              <w:jc w:val="left"/>
            </w:pPr>
            <w:r>
              <w:t>Completed</w:t>
            </w:r>
          </w:p>
        </w:tc>
      </w:tr>
      <w:tr>
        <w:trPr>
          <w:cantSplit/>
        </w:trPr>
        <w:tc>
          <w:tcPr>
            <w:tcW w:type="dxa" w:w="1152"/>
            <w:tcMar>
              <w:top w:w="100" w:type="dxa"/>
              <w:bottom w:w="100" w:type="dxa"/>
              <w:left w:w="140" w:type="dxa"/>
              <w:right w:w="140" w:type="dxa"/>
            </w:tcMar>
            <w:tcBorders/>
          </w:tcPr>
          <w:p>
            <w:pPr>
              <w:spacing w:line="276" w:lineRule="auto"/>
              <w:ind w:firstLine="0"/>
              <w:jc w:val="left"/>
            </w:pPr>
            <w:r>
              <w:t>W3–W4</w:t>
            </w:r>
          </w:p>
        </w:tc>
        <w:tc>
          <w:tcPr>
            <w:tcW w:type="dxa" w:w="2592"/>
            <w:tcMar>
              <w:top w:w="100" w:type="dxa"/>
              <w:bottom w:w="100" w:type="dxa"/>
              <w:left w:w="140" w:type="dxa"/>
              <w:right w:w="140" w:type="dxa"/>
            </w:tcMar>
            <w:tcBorders/>
          </w:tcPr>
          <w:p>
            <w:pPr>
              <w:spacing w:line="276" w:lineRule="auto"/>
              <w:ind w:firstLine="0"/>
              <w:jc w:val="left"/>
            </w:pPr>
            <w:r>
              <w:t>Synopsis Submission &amp; Defense</w:t>
            </w:r>
          </w:p>
        </w:tc>
        <w:tc>
          <w:tcPr>
            <w:tcW w:type="dxa" w:w="3168"/>
            <w:tcMar>
              <w:top w:w="100" w:type="dxa"/>
              <w:bottom w:w="100" w:type="dxa"/>
              <w:left w:w="140" w:type="dxa"/>
              <w:right w:w="140" w:type="dxa"/>
            </w:tcMar>
            <w:tcBorders/>
          </w:tcPr>
          <w:p>
            <w:pPr>
              <w:spacing w:line="276" w:lineRule="auto"/>
              <w:ind w:firstLine="0"/>
              <w:jc w:val="left"/>
            </w:pPr>
            <w:r>
              <w:t>Sample size calculations (minimax N = 390), Two-Tier meta-ontology.</w:t>
            </w:r>
          </w:p>
        </w:tc>
        <w:tc>
          <w:tcPr>
            <w:tcW w:type="dxa" w:w="2592"/>
            <w:tcMar>
              <w:top w:w="100" w:type="dxa"/>
              <w:bottom w:w="100" w:type="dxa"/>
              <w:left w:w="140" w:type="dxa"/>
              <w:right w:w="140" w:type="dxa"/>
            </w:tcMar>
            <w:tcBorders/>
          </w:tcPr>
          <w:p>
            <w:pPr>
              <w:spacing w:line="276" w:lineRule="auto"/>
              <w:ind w:firstLine="0"/>
              <w:jc w:val="left"/>
            </w:pPr>
            <w:r>
              <w:t>Approved Synopsis &amp; GitHub Repository setup.</w:t>
            </w:r>
          </w:p>
        </w:tc>
        <w:tc>
          <w:tcPr>
            <w:tcW w:type="dxa" w:w="1440"/>
            <w:tcMar>
              <w:top w:w="100" w:type="dxa"/>
              <w:bottom w:w="100" w:type="dxa"/>
              <w:left w:w="140" w:type="dxa"/>
              <w:right w:w="140" w:type="dxa"/>
            </w:tcMar>
            <w:tcBorders/>
          </w:tcPr>
          <w:p>
            <w:pPr>
              <w:spacing w:line="276" w:lineRule="auto"/>
              <w:ind w:firstLine="0"/>
              <w:jc w:val="left"/>
            </w:pPr>
            <w:r>
              <w:t>Completed</w:t>
            </w:r>
          </w:p>
        </w:tc>
      </w:tr>
      <w:tr>
        <w:trPr>
          <w:cantSplit/>
        </w:trPr>
        <w:tc>
          <w:tcPr>
            <w:tcW w:type="dxa" w:w="1152"/>
            <w:tcMar>
              <w:top w:w="100" w:type="dxa"/>
              <w:bottom w:w="100" w:type="dxa"/>
              <w:left w:w="140" w:type="dxa"/>
              <w:right w:w="140" w:type="dxa"/>
            </w:tcMar>
            <w:tcBorders/>
          </w:tcPr>
          <w:p>
            <w:pPr>
              <w:spacing w:line="276" w:lineRule="auto"/>
              <w:ind w:firstLine="0"/>
              <w:jc w:val="left"/>
            </w:pPr>
            <w:r>
              <w:t>W5</w:t>
            </w:r>
          </w:p>
        </w:tc>
        <w:tc>
          <w:tcPr>
            <w:tcW w:type="dxa" w:w="2592"/>
            <w:tcMar>
              <w:top w:w="100" w:type="dxa"/>
              <w:bottom w:w="100" w:type="dxa"/>
              <w:left w:w="140" w:type="dxa"/>
              <w:right w:w="140" w:type="dxa"/>
            </w:tcMar>
            <w:tcBorders/>
          </w:tcPr>
          <w:p>
            <w:pPr>
              <w:spacing w:line="276" w:lineRule="auto"/>
              <w:ind w:firstLine="0"/>
              <w:jc w:val="left"/>
            </w:pPr>
            <w:r>
              <w:t>Data Collection &amp; Preprocessing</w:t>
            </w:r>
          </w:p>
        </w:tc>
        <w:tc>
          <w:tcPr>
            <w:tcW w:type="dxa" w:w="3168"/>
            <w:tcMar>
              <w:top w:w="100" w:type="dxa"/>
              <w:bottom w:w="100" w:type="dxa"/>
              <w:left w:w="140" w:type="dxa"/>
              <w:right w:w="140" w:type="dxa"/>
            </w:tcMar>
            <w:tcBorders/>
          </w:tcPr>
          <w:p>
            <w:pPr>
              <w:spacing w:line="276" w:lineRule="auto"/>
              <w:ind w:firstLine="0"/>
              <w:jc w:val="left"/>
            </w:pPr>
            <w:r>
              <w:t>Acquire Frames &amp; MultiWOZ 2.2; build Two-Tier canonical schema.</w:t>
            </w:r>
          </w:p>
        </w:tc>
        <w:tc>
          <w:tcPr>
            <w:tcW w:type="dxa" w:w="2592"/>
            <w:tcMar>
              <w:top w:w="100" w:type="dxa"/>
              <w:bottom w:w="100" w:type="dxa"/>
              <w:left w:w="140" w:type="dxa"/>
              <w:right w:w="140" w:type="dxa"/>
            </w:tcMar>
            <w:tcBorders/>
          </w:tcPr>
          <w:p>
            <w:pPr>
              <w:spacing w:line="276" w:lineRule="auto"/>
              <w:ind w:firstLine="0"/>
              <w:jc w:val="left"/>
            </w:pPr>
            <w:r>
              <w:t>Raw &amp; canonical data ingested; cleaning logs.</w:t>
            </w:r>
          </w:p>
        </w:tc>
        <w:tc>
          <w:tcPr>
            <w:tcW w:type="dxa" w:w="1440"/>
            <w:tcMar>
              <w:top w:w="100" w:type="dxa"/>
              <w:bottom w:w="100" w:type="dxa"/>
              <w:left w:w="140" w:type="dxa"/>
              <w:right w:w="140" w:type="dxa"/>
            </w:tcMar>
            <w:tcBorders/>
          </w:tcPr>
          <w:p>
            <w:pPr>
              <w:spacing w:line="276" w:lineRule="auto"/>
              <w:ind w:firstLine="0"/>
              <w:jc w:val="left"/>
            </w:pPr>
            <w:r>
              <w:t>Completed</w:t>
            </w:r>
          </w:p>
        </w:tc>
      </w:tr>
      <w:tr>
        <w:trPr>
          <w:cantSplit/>
        </w:trPr>
        <w:tc>
          <w:tcPr>
            <w:tcW w:type="dxa" w:w="1152"/>
            <w:tcMar>
              <w:top w:w="100" w:type="dxa"/>
              <w:bottom w:w="100" w:type="dxa"/>
              <w:left w:w="140" w:type="dxa"/>
              <w:right w:w="140" w:type="dxa"/>
            </w:tcMar>
            <w:tcBorders/>
          </w:tcPr>
          <w:p>
            <w:pPr>
              <w:spacing w:line="276" w:lineRule="auto"/>
              <w:ind w:firstLine="0"/>
              <w:jc w:val="left"/>
            </w:pPr>
            <w:r>
              <w:t>W6</w:t>
            </w:r>
          </w:p>
        </w:tc>
        <w:tc>
          <w:tcPr>
            <w:tcW w:type="dxa" w:w="2592"/>
            <w:tcMar>
              <w:top w:w="100" w:type="dxa"/>
              <w:bottom w:w="100" w:type="dxa"/>
              <w:left w:w="140" w:type="dxa"/>
              <w:right w:w="140" w:type="dxa"/>
            </w:tcMar>
            <w:tcBorders/>
          </w:tcPr>
          <w:p>
            <w:pPr>
              <w:spacing w:line="276" w:lineRule="auto"/>
              <w:ind w:firstLine="0"/>
              <w:jc w:val="left"/>
            </w:pPr>
            <w:r>
              <w:t>Data Analysis Assessment</w:t>
            </w:r>
          </w:p>
        </w:tc>
        <w:tc>
          <w:tcPr>
            <w:tcW w:type="dxa" w:w="3168"/>
            <w:tcMar>
              <w:top w:w="100" w:type="dxa"/>
              <w:bottom w:w="100" w:type="dxa"/>
              <w:left w:w="140" w:type="dxa"/>
              <w:right w:w="140" w:type="dxa"/>
            </w:tcMar>
            <w:tcBorders/>
          </w:tcPr>
          <w:p>
            <w:pPr>
              <w:spacing w:line="276" w:lineRule="auto"/>
              <w:ind w:firstLine="0"/>
              <w:jc w:val="left"/>
            </w:pPr>
            <w:r>
              <w:t>Trajectory S-BERT vectorization; RQ1 clustering &amp; ANOVA testing.</w:t>
            </w:r>
          </w:p>
        </w:tc>
        <w:tc>
          <w:tcPr>
            <w:tcW w:type="dxa" w:w="2592"/>
            <w:tcMar>
              <w:top w:w="100" w:type="dxa"/>
              <w:bottom w:w="100" w:type="dxa"/>
              <w:left w:w="140" w:type="dxa"/>
              <w:right w:w="140" w:type="dxa"/>
            </w:tcMar>
            <w:tcBorders/>
          </w:tcPr>
          <w:p>
            <w:pPr>
              <w:spacing w:line="276" w:lineRule="auto"/>
              <w:ind w:firstLine="0"/>
              <w:jc w:val="left"/>
            </w:pPr>
            <w:r>
              <w:t>Outputs: Figures 1–3, Tables 1–3; Interim Draft.</w:t>
            </w:r>
          </w:p>
        </w:tc>
        <w:tc>
          <w:tcPr>
            <w:tcW w:type="dxa" w:w="1440"/>
            <w:tcMar>
              <w:top w:w="100" w:type="dxa"/>
              <w:bottom w:w="100" w:type="dxa"/>
              <w:left w:w="140" w:type="dxa"/>
              <w:right w:w="140" w:type="dxa"/>
            </w:tcMar>
            <w:tcBorders/>
          </w:tcPr>
          <w:p>
            <w:pPr>
              <w:spacing w:line="276" w:lineRule="auto"/>
              <w:ind w:firstLine="0"/>
              <w:jc w:val="left"/>
            </w:pPr>
            <w:r>
              <w:t>Completed (Current)</w:t>
            </w:r>
          </w:p>
        </w:tc>
      </w:tr>
      <w:tr>
        <w:trPr>
          <w:cantSplit/>
        </w:trPr>
        <w:tc>
          <w:tcPr>
            <w:tcW w:type="dxa" w:w="1152"/>
            <w:tcMar>
              <w:top w:w="100" w:type="dxa"/>
              <w:bottom w:w="100" w:type="dxa"/>
              <w:left w:w="140" w:type="dxa"/>
              <w:right w:w="140" w:type="dxa"/>
            </w:tcMar>
            <w:tcBorders/>
          </w:tcPr>
          <w:p>
            <w:pPr>
              <w:spacing w:line="276" w:lineRule="auto"/>
              <w:ind w:firstLine="0"/>
              <w:jc w:val="left"/>
            </w:pPr>
            <w:r>
              <w:t>W7</w:t>
            </w:r>
          </w:p>
        </w:tc>
        <w:tc>
          <w:tcPr>
            <w:tcW w:type="dxa" w:w="2592"/>
            <w:tcMar>
              <w:top w:w="100" w:type="dxa"/>
              <w:bottom w:w="100" w:type="dxa"/>
              <w:left w:w="140" w:type="dxa"/>
              <w:right w:w="140" w:type="dxa"/>
            </w:tcMar>
            <w:tcBorders/>
          </w:tcPr>
          <w:p>
            <w:pPr>
              <w:spacing w:line="276" w:lineRule="auto"/>
              <w:ind w:firstLine="0"/>
              <w:jc w:val="left"/>
            </w:pPr>
            <w:r>
              <w:t>Interim Report Submission</w:t>
            </w:r>
          </w:p>
        </w:tc>
        <w:tc>
          <w:tcPr>
            <w:tcW w:type="dxa" w:w="3168"/>
            <w:tcMar>
              <w:top w:w="100" w:type="dxa"/>
              <w:bottom w:w="100" w:type="dxa"/>
              <w:left w:w="140" w:type="dxa"/>
              <w:right w:w="140" w:type="dxa"/>
            </w:tcMar>
            <w:tcBorders/>
          </w:tcPr>
          <w:p>
            <w:pPr>
              <w:spacing w:line="276" w:lineRule="auto"/>
              <w:ind w:firstLine="0"/>
              <w:jc w:val="left"/>
            </w:pPr>
            <w:r>
              <w:t>FAISS vector indexing; RQ2 style convergence ANOVA testing.</w:t>
            </w:r>
          </w:p>
        </w:tc>
        <w:tc>
          <w:tcPr>
            <w:tcW w:type="dxa" w:w="2592"/>
            <w:tcMar>
              <w:top w:w="100" w:type="dxa"/>
              <w:bottom w:w="100" w:type="dxa"/>
              <w:left w:w="140" w:type="dxa"/>
              <w:right w:w="140" w:type="dxa"/>
            </w:tcMar>
            <w:tcBorders/>
          </w:tcPr>
          <w:p>
            <w:pPr>
              <w:spacing w:line="276" w:lineRule="auto"/>
              <w:ind w:firstLine="0"/>
              <w:jc w:val="left"/>
            </w:pPr>
            <w:r>
              <w:t>Outputs: Figure 4, Tables 4–5; Interim Report PDF.</w:t>
            </w:r>
          </w:p>
        </w:tc>
        <w:tc>
          <w:tcPr>
            <w:tcW w:type="dxa" w:w="1440"/>
            <w:tcMar>
              <w:top w:w="100" w:type="dxa"/>
              <w:bottom w:w="100" w:type="dxa"/>
              <w:left w:w="140" w:type="dxa"/>
              <w:right w:w="140" w:type="dxa"/>
            </w:tcMar>
            <w:tcBorders/>
          </w:tcPr>
          <w:p>
            <w:pPr>
              <w:spacing w:line="276" w:lineRule="auto"/>
              <w:ind w:firstLine="0"/>
              <w:jc w:val="left"/>
            </w:pPr>
            <w:r>
              <w:t>Completed (Current)</w:t>
            </w:r>
          </w:p>
        </w:tc>
      </w:tr>
      <w:tr>
        <w:trPr>
          <w:cantSplit/>
        </w:trPr>
        <w:tc>
          <w:tcPr>
            <w:tcW w:type="dxa" w:w="1152"/>
            <w:tcMar>
              <w:top w:w="100" w:type="dxa"/>
              <w:bottom w:w="100" w:type="dxa"/>
              <w:left w:w="140" w:type="dxa"/>
              <w:right w:w="140" w:type="dxa"/>
            </w:tcMar>
            <w:tcBorders/>
          </w:tcPr>
          <w:p>
            <w:pPr>
              <w:spacing w:line="276" w:lineRule="auto"/>
              <w:ind w:firstLine="0"/>
              <w:jc w:val="left"/>
            </w:pPr>
            <w:r>
              <w:t>W8</w:t>
            </w:r>
          </w:p>
        </w:tc>
        <w:tc>
          <w:tcPr>
            <w:tcW w:type="dxa" w:w="2592"/>
            <w:tcMar>
              <w:top w:w="100" w:type="dxa"/>
              <w:bottom w:w="100" w:type="dxa"/>
              <w:left w:w="140" w:type="dxa"/>
              <w:right w:w="140" w:type="dxa"/>
            </w:tcMar>
            <w:tcBorders/>
          </w:tcPr>
          <w:p>
            <w:pPr>
              <w:spacing w:line="276" w:lineRule="auto"/>
              <w:ind w:firstLine="0"/>
              <w:jc w:val="left"/>
            </w:pPr>
            <w:r>
              <w:t>Data Analysis Assessment (Completion)</w:t>
            </w:r>
          </w:p>
        </w:tc>
        <w:tc>
          <w:tcPr>
            <w:tcW w:type="dxa" w:w="3168"/>
            <w:tcMar>
              <w:top w:w="100" w:type="dxa"/>
              <w:bottom w:w="100" w:type="dxa"/>
              <w:left w:w="140" w:type="dxa"/>
              <w:right w:w="140" w:type="dxa"/>
            </w:tcMar>
            <w:tcBorders/>
          </w:tcPr>
          <w:p>
            <w:pPr>
              <w:spacing w:line="276" w:lineRule="auto"/>
              <w:ind w:firstLine="0"/>
              <w:jc w:val="left"/>
            </w:pPr>
            <w:r>
              <w:t>RQ3 2x2 factorial ablation &amp; RQ4 turn economy evaluation.</w:t>
            </w:r>
          </w:p>
        </w:tc>
        <w:tc>
          <w:tcPr>
            <w:tcW w:type="dxa" w:w="2592"/>
            <w:tcMar>
              <w:top w:w="100" w:type="dxa"/>
              <w:bottom w:w="100" w:type="dxa"/>
              <w:left w:w="140" w:type="dxa"/>
              <w:right w:w="140" w:type="dxa"/>
            </w:tcMar>
            <w:tcBorders/>
          </w:tcPr>
          <w:p>
            <w:pPr>
              <w:spacing w:line="276" w:lineRule="auto"/>
              <w:ind w:firstLine="0"/>
              <w:jc w:val="left"/>
            </w:pPr>
            <w:r>
              <w:t>Tables 6–8; All computational analysis 100% finished.</w:t>
            </w:r>
          </w:p>
        </w:tc>
        <w:tc>
          <w:tcPr>
            <w:tcW w:type="dxa" w:w="1440"/>
            <w:tcMar>
              <w:top w:w="100" w:type="dxa"/>
              <w:bottom w:w="100" w:type="dxa"/>
              <w:left w:w="140" w:type="dxa"/>
              <w:right w:w="140" w:type="dxa"/>
            </w:tcMar>
            <w:tcBorders/>
          </w:tcPr>
          <w:p>
            <w:pPr>
              <w:spacing w:line="276" w:lineRule="auto"/>
              <w:ind w:firstLine="0"/>
              <w:jc w:val="left"/>
            </w:pPr>
            <w:r>
              <w:t>On Schedule</w:t>
            </w:r>
          </w:p>
        </w:tc>
      </w:tr>
      <w:tr>
        <w:trPr>
          <w:cantSplit/>
        </w:trPr>
        <w:tc>
          <w:tcPr>
            <w:tcW w:type="dxa" w:w="1152"/>
            <w:tcMar>
              <w:top w:w="100" w:type="dxa"/>
              <w:bottom w:w="100" w:type="dxa"/>
              <w:left w:w="140" w:type="dxa"/>
              <w:right w:w="140" w:type="dxa"/>
            </w:tcMar>
            <w:tcBorders/>
          </w:tcPr>
          <w:p>
            <w:pPr>
              <w:spacing w:line="276" w:lineRule="auto"/>
              <w:ind w:firstLine="0"/>
              <w:jc w:val="left"/>
            </w:pPr>
            <w:r>
              <w:t>W9</w:t>
            </w:r>
          </w:p>
        </w:tc>
        <w:tc>
          <w:tcPr>
            <w:tcW w:type="dxa" w:w="2592"/>
            <w:tcMar>
              <w:top w:w="100" w:type="dxa"/>
              <w:bottom w:w="100" w:type="dxa"/>
              <w:left w:w="140" w:type="dxa"/>
              <w:right w:w="140" w:type="dxa"/>
            </w:tcMar>
            <w:tcBorders/>
          </w:tcPr>
          <w:p>
            <w:pPr>
              <w:spacing w:line="276" w:lineRule="auto"/>
              <w:ind w:firstLine="0"/>
              <w:jc w:val="left"/>
            </w:pPr>
            <w:r>
              <w:t>Data Analysis Refinement &amp; Documentation</w:t>
            </w:r>
          </w:p>
        </w:tc>
        <w:tc>
          <w:tcPr>
            <w:tcW w:type="dxa" w:w="3168"/>
            <w:tcMar>
              <w:top w:w="100" w:type="dxa"/>
              <w:bottom w:w="100" w:type="dxa"/>
              <w:left w:w="140" w:type="dxa"/>
              <w:right w:w="140" w:type="dxa"/>
            </w:tcMar>
            <w:tcBorders/>
          </w:tcPr>
          <w:p>
            <w:pPr>
              <w:spacing w:line="276" w:lineRule="auto"/>
              <w:ind w:firstLine="0"/>
              <w:jc w:val="left"/>
            </w:pPr>
            <w:r>
              <w:t>Incorporate mentor feedback; qualitative human rubric scoring.</w:t>
            </w:r>
          </w:p>
        </w:tc>
        <w:tc>
          <w:tcPr>
            <w:tcW w:type="dxa" w:w="2592"/>
            <w:tcMar>
              <w:top w:w="100" w:type="dxa"/>
              <w:bottom w:w="100" w:type="dxa"/>
              <w:left w:w="140" w:type="dxa"/>
              <w:right w:w="140" w:type="dxa"/>
            </w:tcMar>
            <w:tcBorders/>
          </w:tcPr>
          <w:p>
            <w:pPr>
              <w:spacing w:line="276" w:lineRule="auto"/>
              <w:ind w:firstLine="0"/>
              <w:jc w:val="left"/>
            </w:pPr>
            <w:r>
              <w:t>Draft Final Capstone Report (25–30 pages).</w:t>
            </w:r>
          </w:p>
        </w:tc>
        <w:tc>
          <w:tcPr>
            <w:tcW w:type="dxa" w:w="1440"/>
            <w:tcMar>
              <w:top w:w="100" w:type="dxa"/>
              <w:bottom w:w="100" w:type="dxa"/>
              <w:left w:w="140" w:type="dxa"/>
              <w:right w:w="140" w:type="dxa"/>
            </w:tcMar>
            <w:tcBorders/>
          </w:tcPr>
          <w:p>
            <w:pPr>
              <w:spacing w:line="276" w:lineRule="auto"/>
              <w:ind w:firstLine="0"/>
              <w:jc w:val="left"/>
            </w:pPr>
            <w:r>
              <w:t>Upcoming</w:t>
            </w:r>
          </w:p>
        </w:tc>
      </w:tr>
      <w:tr>
        <w:trPr>
          <w:cantSplit/>
        </w:trPr>
        <w:tc>
          <w:tcPr>
            <w:tcW w:type="dxa" w:w="1152"/>
            <w:tcMar>
              <w:top w:w="100" w:type="dxa"/>
              <w:bottom w:w="100" w:type="dxa"/>
              <w:left w:w="140" w:type="dxa"/>
              <w:right w:w="140" w:type="dxa"/>
            </w:tcMar>
            <w:tcBorders/>
          </w:tcPr>
          <w:p>
            <w:pPr>
              <w:spacing w:line="276" w:lineRule="auto"/>
              <w:ind w:firstLine="0"/>
              <w:jc w:val="left"/>
            </w:pPr>
            <w:r>
              <w:t>W10</w:t>
            </w:r>
          </w:p>
        </w:tc>
        <w:tc>
          <w:tcPr>
            <w:tcW w:type="dxa" w:w="2592"/>
            <w:tcMar>
              <w:top w:w="100" w:type="dxa"/>
              <w:bottom w:w="100" w:type="dxa"/>
              <w:left w:w="140" w:type="dxa"/>
              <w:right w:w="140" w:type="dxa"/>
            </w:tcMar>
            <w:tcBorders/>
          </w:tcPr>
          <w:p>
            <w:pPr>
              <w:spacing w:line="276" w:lineRule="auto"/>
              <w:ind w:firstLine="0"/>
              <w:jc w:val="left"/>
            </w:pPr>
            <w:r>
              <w:t>Document Research Results &amp; Final Submission</w:t>
            </w:r>
          </w:p>
        </w:tc>
        <w:tc>
          <w:tcPr>
            <w:tcW w:type="dxa" w:w="3168"/>
            <w:tcMar>
              <w:top w:w="100" w:type="dxa"/>
              <w:bottom w:w="100" w:type="dxa"/>
              <w:left w:w="140" w:type="dxa"/>
              <w:right w:w="140" w:type="dxa"/>
            </w:tcMar>
            <w:tcBorders/>
          </w:tcPr>
          <w:p>
            <w:pPr>
              <w:spacing w:line="276" w:lineRule="auto"/>
              <w:ind w:firstLine="0"/>
              <w:jc w:val="left"/>
            </w:pPr>
            <w:r>
              <w:t>Finalize report, executive summary, presentation slide deck.</w:t>
            </w:r>
          </w:p>
        </w:tc>
        <w:tc>
          <w:tcPr>
            <w:tcW w:type="dxa" w:w="2592"/>
            <w:tcMar>
              <w:top w:w="100" w:type="dxa"/>
              <w:bottom w:w="100" w:type="dxa"/>
              <w:left w:w="140" w:type="dxa"/>
              <w:right w:w="140" w:type="dxa"/>
            </w:tcMar>
            <w:tcBorders/>
          </w:tcPr>
          <w:p>
            <w:pPr>
              <w:spacing w:line="276" w:lineRule="auto"/>
              <w:ind w:firstLine="0"/>
              <w:jc w:val="left"/>
            </w:pPr>
            <w:r>
              <w:t>Final Capstone Report &amp; Presentation Deck.</w:t>
            </w:r>
          </w:p>
        </w:tc>
        <w:tc>
          <w:tcPr>
            <w:tcW w:type="dxa" w:w="1440"/>
            <w:tcMar>
              <w:top w:w="100" w:type="dxa"/>
              <w:bottom w:w="100" w:type="dxa"/>
              <w:left w:w="140" w:type="dxa"/>
              <w:right w:w="140" w:type="dxa"/>
            </w:tcMar>
            <w:tcBorders/>
          </w:tcPr>
          <w:p>
            <w:pPr>
              <w:spacing w:line="276" w:lineRule="auto"/>
              <w:ind w:firstLine="0"/>
              <w:jc w:val="left"/>
            </w:pPr>
            <w:r>
              <w:t>Upcoming</w:t>
            </w:r>
          </w:p>
        </w:tc>
      </w:tr>
      <w:tr>
        <w:trPr>
          <w:cantSplit/>
        </w:trPr>
        <w:tc>
          <w:tcPr>
            <w:tcW w:type="dxa" w:w="1152"/>
            <w:tcMar>
              <w:top w:w="100" w:type="dxa"/>
              <w:bottom w:w="100" w:type="dxa"/>
              <w:left w:w="140" w:type="dxa"/>
              <w:right w:w="140" w:type="dxa"/>
            </w:tcMar>
            <w:tcBorders>
              <w:bottom w:val="single" w:sz="12" w:space="0" w:color="000000"/>
            </w:tcBorders>
          </w:tcPr>
          <w:p>
            <w:pPr>
              <w:spacing w:line="276" w:lineRule="auto"/>
              <w:ind w:firstLine="0"/>
              <w:jc w:val="left"/>
            </w:pPr>
            <w:r>
              <w:t>W11</w:t>
            </w:r>
          </w:p>
        </w:tc>
        <w:tc>
          <w:tcPr>
            <w:tcW w:type="dxa" w:w="2592"/>
            <w:tcMar>
              <w:top w:w="100" w:type="dxa"/>
              <w:bottom w:w="100" w:type="dxa"/>
              <w:left w:w="140" w:type="dxa"/>
              <w:right w:w="140" w:type="dxa"/>
            </w:tcMar>
            <w:tcBorders>
              <w:bottom w:val="single" w:sz="12" w:space="0" w:color="000000"/>
            </w:tcBorders>
          </w:tcPr>
          <w:p>
            <w:pPr>
              <w:spacing w:line="276" w:lineRule="auto"/>
              <w:ind w:firstLine="0"/>
              <w:jc w:val="left"/>
            </w:pPr>
            <w:r>
              <w:t>Final Presentation &amp; Defense</w:t>
            </w:r>
          </w:p>
        </w:tc>
        <w:tc>
          <w:tcPr>
            <w:tcW w:type="dxa" w:w="3168"/>
            <w:tcMar>
              <w:top w:w="100" w:type="dxa"/>
              <w:bottom w:w="100" w:type="dxa"/>
              <w:left w:w="140" w:type="dxa"/>
              <w:right w:w="140" w:type="dxa"/>
            </w:tcMar>
            <w:tcBorders>
              <w:bottom w:val="single" w:sz="12" w:space="0" w:color="000000"/>
            </w:tcBorders>
          </w:tcPr>
          <w:p>
            <w:pPr>
              <w:spacing w:line="276" w:lineRule="auto"/>
              <w:ind w:firstLine="0"/>
              <w:jc w:val="left"/>
            </w:pPr>
            <w:r>
              <w:t>Formal oral thesis defense before Advisory Committee.</w:t>
            </w:r>
          </w:p>
        </w:tc>
        <w:tc>
          <w:tcPr>
            <w:tcW w:type="dxa" w:w="2592"/>
            <w:tcMar>
              <w:top w:w="100" w:type="dxa"/>
              <w:bottom w:w="100" w:type="dxa"/>
              <w:left w:w="140" w:type="dxa"/>
              <w:right w:w="140" w:type="dxa"/>
            </w:tcMar>
            <w:tcBorders>
              <w:bottom w:val="single" w:sz="12" w:space="0" w:color="000000"/>
            </w:tcBorders>
          </w:tcPr>
          <w:p>
            <w:pPr>
              <w:spacing w:line="276" w:lineRule="auto"/>
              <w:ind w:firstLine="0"/>
              <w:jc w:val="left"/>
            </w:pPr>
            <w:r>
              <w:t>Capstone Defense Presentation.</w:t>
            </w:r>
          </w:p>
        </w:tc>
        <w:tc>
          <w:tcPr>
            <w:tcW w:type="dxa" w:w="1440"/>
            <w:tcMar>
              <w:top w:w="100" w:type="dxa"/>
              <w:bottom w:w="100" w:type="dxa"/>
              <w:left w:w="140" w:type="dxa"/>
              <w:right w:w="140" w:type="dxa"/>
            </w:tcMar>
            <w:tcBorders>
              <w:bottom w:val="single" w:sz="12" w:space="0" w:color="000000"/>
            </w:tcBorders>
          </w:tcPr>
          <w:p>
            <w:pPr>
              <w:spacing w:line="276" w:lineRule="auto"/>
              <w:ind w:firstLine="0"/>
              <w:jc w:val="left"/>
            </w:pPr>
            <w:r>
              <w:t>Upcoming</w:t>
            </w:r>
          </w:p>
        </w:tc>
      </w:tr>
    </w:tbl>
    <w:p>
      <w:pPr>
        <w:spacing w:before="40" w:after="240"/>
        <w:ind w:firstLine="0"/>
      </w:pPr>
      <w:r>
        <w:rPr>
          <w:i/>
          <w:sz w:val="20"/>
        </w:rPr>
        <w:t xml:space="preserve">Note. </w:t>
      </w:r>
      <w:r>
        <w:rPr>
          <w:sz w:val="20"/>
        </w:rPr>
        <w:t>All computational data analytics and statistical modeling are completed by Week 8.</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QM640 INTERIM REPORT: CONTEXT-ADAPTIVE CONVERSATIONAL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i/>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