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line="480" w:lineRule="auto" w:before="0" w:after="0"/>
        <w:ind w:firstLine="0" w:left="0"/>
        <w:jc w:val="left"/>
      </w:pPr>
    </w:p>
    <w:p>
      <w:pPr>
        <w:keepNext w:val="0"/>
        <w:widowControl/>
        <w:spacing w:line="480" w:lineRule="auto" w:before="0" w:after="0"/>
        <w:ind w:firstLine="0" w:left="0"/>
        <w:jc w:val="left"/>
      </w:pPr>
    </w:p>
    <w:p>
      <w:pPr>
        <w:keepNext w:val="0"/>
        <w:widowControl/>
        <w:spacing w:line="480" w:lineRule="auto" w:before="0" w:after="0"/>
        <w:ind w:firstLine="0" w:left="0"/>
        <w:jc w:val="left"/>
      </w:pPr>
    </w:p>
    <w:p>
      <w:pPr>
        <w:keepNext w:val="0"/>
        <w:widowControl/>
        <w:spacing w:line="480" w:lineRule="auto" w:before="0" w:after="0"/>
        <w:ind w:firstLine="0" w:left="0"/>
        <w:jc w:val="center"/>
      </w:pPr>
      <w:r>
        <w:rPr>
          <w:rFonts w:ascii="Times New Roman" w:hAnsi="Times New Roman" w:cs="Times New Roman" w:eastAsia="Times New Roman"/>
          <w:b/>
          <w:i w:val="0"/>
          <w:color w:val="000000"/>
          <w:sz w:val="24"/>
        </w:rPr>
        <w:t>Cluster-Adaptive Prompting for Multi-Turn Travel and Tourism Conversational Systems</w:t>
      </w:r>
    </w:p>
    <w:p>
      <w:pPr>
        <w:keepNext w:val="0"/>
        <w:widowControl/>
        <w:spacing w:line="480" w:lineRule="auto" w:before="0" w:after="0"/>
        <w:ind w:firstLine="0" w:left="0"/>
        <w:jc w:val="center"/>
      </w:pPr>
      <w:r>
        <w:rPr>
          <w:rFonts w:ascii="Times New Roman" w:hAnsi="Times New Roman" w:cs="Times New Roman" w:eastAsia="Times New Roman"/>
          <w:b/>
          <w:i w:val="0"/>
          <w:color w:val="000000"/>
          <w:sz w:val="24"/>
        </w:rPr>
        <w:t>Final Report</w:t>
      </w:r>
    </w:p>
    <w:p>
      <w:pPr>
        <w:keepNext w:val="0"/>
        <w:widowControl/>
        <w:spacing w:line="480" w:lineRule="auto" w:before="0" w:after="0"/>
        <w:ind w:firstLine="0" w:left="0"/>
        <w:jc w:val="left"/>
      </w:pPr>
    </w:p>
    <w:p>
      <w:pPr>
        <w:keepNext w:val="0"/>
        <w:widowControl/>
        <w:spacing w:line="480" w:lineRule="auto" w:before="0" w:after="0"/>
        <w:ind w:firstLine="0" w:left="0"/>
        <w:jc w:val="center"/>
      </w:pPr>
      <w:r>
        <w:rPr>
          <w:rFonts w:ascii="Times New Roman" w:hAnsi="Times New Roman" w:cs="Times New Roman" w:eastAsia="Times New Roman"/>
          <w:b w:val="0"/>
          <w:i w:val="0"/>
          <w:color w:val="000000"/>
          <w:sz w:val="24"/>
        </w:rPr>
        <w:t>Surnella Sandeep</w:t>
      </w:r>
    </w:p>
    <w:p>
      <w:pPr>
        <w:keepNext w:val="0"/>
        <w:widowControl/>
        <w:spacing w:line="480" w:lineRule="auto" w:before="0" w:after="0"/>
        <w:ind w:firstLine="0" w:left="0"/>
        <w:jc w:val="center"/>
      </w:pPr>
      <w:r>
        <w:rPr>
          <w:rFonts w:ascii="Times New Roman" w:hAnsi="Times New Roman" w:cs="Times New Roman" w:eastAsia="Times New Roman"/>
          <w:b w:val="0"/>
          <w:i w:val="0"/>
          <w:color w:val="000000"/>
          <w:sz w:val="24"/>
        </w:rPr>
        <w:t>Department of Data Analytics, Walsh College</w:t>
      </w:r>
    </w:p>
    <w:p>
      <w:pPr>
        <w:keepNext w:val="0"/>
        <w:widowControl/>
        <w:spacing w:line="480" w:lineRule="auto" w:before="0" w:after="0"/>
        <w:ind w:firstLine="0" w:left="0"/>
        <w:jc w:val="center"/>
      </w:pPr>
      <w:r>
        <w:rPr>
          <w:rFonts w:ascii="Times New Roman" w:hAnsi="Times New Roman" w:cs="Times New Roman" w:eastAsia="Times New Roman"/>
          <w:b w:val="0"/>
          <w:i w:val="0"/>
          <w:color w:val="000000"/>
          <w:sz w:val="24"/>
        </w:rPr>
        <w:t>QM640: Data Analytics Capstone</w:t>
      </w:r>
    </w:p>
    <w:p>
      <w:pPr>
        <w:keepNext w:val="0"/>
        <w:widowControl/>
        <w:spacing w:line="480" w:lineRule="auto" w:before="0" w:after="0"/>
        <w:ind w:firstLine="0" w:left="0"/>
        <w:jc w:val="center"/>
      </w:pPr>
      <w:r>
        <w:rPr>
          <w:rFonts w:ascii="Times New Roman" w:hAnsi="Times New Roman" w:cs="Times New Roman" w:eastAsia="Times New Roman"/>
          <w:b w:val="0"/>
          <w:i w:val="0"/>
          <w:color w:val="000000"/>
          <w:sz w:val="24"/>
        </w:rPr>
        <w:t>Mr. Smitraj Raut</w:t>
      </w:r>
    </w:p>
    <w:p>
      <w:pPr>
        <w:keepNext w:val="0"/>
        <w:widowControl/>
        <w:spacing w:line="480" w:lineRule="auto" w:before="0" w:after="0"/>
        <w:ind w:firstLine="0" w:left="0"/>
        <w:jc w:val="center"/>
      </w:pPr>
      <w:r>
        <w:rPr>
          <w:rFonts w:ascii="Times New Roman" w:hAnsi="Times New Roman" w:cs="Times New Roman" w:eastAsia="Times New Roman"/>
          <w:b w:val="0"/>
          <w:i w:val="0"/>
          <w:color w:val="000000"/>
          <w:sz w:val="24"/>
        </w:rPr>
        <w:t>October 28, 2026</w:t>
      </w:r>
    </w:p>
    <w:p>
      <w:pPr>
        <w:keepNext w:val="0"/>
        <w:widowControl/>
        <w:spacing w:line="240" w:lineRule="auto" w:before="0" w:after="0"/>
        <w:ind w:firstLine="0" w:left="0"/>
        <w:jc w:val="left"/>
      </w:pPr>
      <w:r>
        <w:br w:type="page"/>
      </w:r>
    </w:p>
    <w:p>
      <w:pPr>
        <w:keepNext w:val="0"/>
        <w:widowControl/>
        <w:spacing w:line="480" w:lineRule="auto" w:before="0" w:after="0"/>
        <w:ind w:firstLine="0" w:left="0"/>
        <w:jc w:val="left"/>
      </w:pPr>
      <w:r>
        <w:rPr>
          <w:rFonts w:ascii="Times New Roman" w:hAnsi="Times New Roman" w:cs="Times New Roman" w:eastAsia="Times New Roman"/>
          <w:b/>
          <w:i w:val="0"/>
          <w:color w:val="000000"/>
          <w:sz w:val="24"/>
        </w:rPr>
        <w:t>GitHub repository:</w:t>
      </w:r>
      <w:r>
        <w:rPr>
          <w:rFonts w:ascii="Times New Roman" w:hAnsi="Times New Roman" w:cs="Times New Roman" w:eastAsia="Times New Roman"/>
          <w:b w:val="0"/>
          <w:i w:val="0"/>
          <w:color w:val="000000"/>
          <w:sz w:val="24"/>
        </w:rPr>
        <w:t xml:space="preserve"> </w:t>
      </w:r>
      <w:hyperlink r:id="rId10" w:history="1">
        <w:r>
          <w:rPr>
            <w:rFonts w:ascii="Times New Roman" w:hAnsi="Times New Roman" w:cs="Times New Roman" w:eastAsia="Times New Roman"/>
            <w:b w:val="0"/>
            <w:i w:val="0"/>
            <w:color w:val="000000"/>
            <w:sz w:val="24"/>
          </w:rPr>
          <w:t>https://github.com/surnella/QM640-Dialogue-Clustering-Capstone</w:t>
        </w:r>
      </w:hyperlink>
    </w:p>
    <w:p>
      <w:pPr>
        <w:keepNext w:val="0"/>
        <w:widowControl/>
        <w:spacing w:line="480" w:lineRule="auto" w:before="0" w:after="0"/>
        <w:ind w:firstLine="0" w:left="0"/>
        <w:jc w:val="center"/>
      </w:pPr>
      <w:r>
        <w:rPr>
          <w:rFonts w:ascii="Times New Roman" w:hAnsi="Times New Roman" w:cs="Times New Roman" w:eastAsia="Times New Roman"/>
          <w:b/>
          <w:i w:val="0"/>
          <w:color w:val="000000"/>
          <w:sz w:val="24"/>
        </w:rPr>
        <w:t>Contents</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Abstract</w:t>
        <w:tab/>
        <w:t>4</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Introduction</w:t>
        <w:tab/>
        <w:t>5</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Background and Context</w:t>
        <w:tab/>
        <w:t>5</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Problem Statement</w:t>
        <w:tab/>
        <w:t>6</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Purpose of the Study and Research Questions</w:t>
        <w:tab/>
        <w:t>7</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Contributions and Expected Value</w:t>
        <w:tab/>
        <w:t>8</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Literature Review</w:t>
        <w:tab/>
        <w:t>8</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Literature Review Approach and Relevance Matrix</w:t>
        <w:tab/>
        <w:t>8</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Thematic Synthesis and Research Gaps</w:t>
        <w:tab/>
        <w:t>9</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Materials and Methods</w:t>
        <w:tab/>
        <w:t>11</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Data Sources, Access, and Ethical Governance</w:t>
        <w:tab/>
        <w:t>11</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Data Dictionary and Data Cleaning</w:t>
        <w:tab/>
        <w:t>11</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Exploratory Data Analysis (Univariate, Bivariate, and Multivariate)</w:t>
        <w:tab/>
        <w:t>13</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Research Design, Hypotheses, and Statistical Power Analysis</w:t>
        <w:tab/>
        <w:t>16</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Model Selection, Mathematical Formulation, and Evaluation Metrics</w:t>
        <w:tab/>
        <w:t>17</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Architecture and Workflow</w:t>
        <w:tab/>
        <w:t>19</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System Architecture and Algorithmic Workflows</w:t>
        <w:tab/>
        <w:t>19</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Pipeline Component Specifications and Technology Stack</w:t>
        <w:tab/>
        <w:t>20</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Results, Analysis, and Synthesis</w:t>
        <w:tab/>
        <w:t>21</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Consolidated Model Performance and Hypothesis Testing Summary</w:t>
        <w:tab/>
        <w:t>21</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RQ1 Results: Trajectory Clustering, Refined Archetypes, and Prefix Routing</w:t>
        <w:tab/>
        <w:t>22</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RQ2 Results: Cluster-Adaptive Few-Shot Prompting on Primary Versus Refined Archetypes</w:t>
        <w:tab/>
        <w:t>25</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RQ3 Results: 2 × 2 Factorial Evaluation of Declarative Rules and Adaptive Prompting</w:t>
        <w:tab/>
        <w:t>27</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RQ4 Results: 2 × 3 Multi-Turn Simulation of Turn Economy Across Archetypes</w:t>
        <w:tab/>
        <w:t>29</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Technical Interpretation, Business Significance, and Synthesis of Conclusions</w:t>
        <w:tab/>
        <w:t>31</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Implementation, Limitations, and Future Scope</w:t>
        <w:tab/>
        <w:t>32</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Deployment Architecture, System Integration, and Real-World Use Case</w:t>
        <w:tab/>
        <w:t>32</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Computational Reproducibility and Operational Requirements</w:t>
        <w:tab/>
        <w:t>33</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Study Limitations and Threats to Validity</w:t>
        <w:tab/>
        <w:t>33</w:t>
      </w:r>
    </w:p>
    <w:p>
      <w:pPr>
        <w:keepNext w:val="0"/>
        <w:widowControl/>
        <w:tabs>
          <w:tab w:pos="9360" w:val="right" w:leader="dot"/>
        </w:tabs>
        <w:spacing w:line="480" w:lineRule="auto" w:before="0" w:after="0"/>
        <w:ind w:firstLine="0" w:left="720"/>
        <w:jc w:val="left"/>
      </w:pPr>
      <w:r>
        <w:rPr>
          <w:rFonts w:ascii="Times New Roman" w:hAnsi="Times New Roman" w:cs="Times New Roman" w:eastAsia="Times New Roman"/>
          <w:b w:val="0"/>
          <w:i w:val="0"/>
          <w:color w:val="000000"/>
          <w:sz w:val="24"/>
        </w:rPr>
        <w:t>Future Scope and Research Extensions</w:t>
        <w:tab/>
        <w:t>33</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References</w:t>
        <w:tab/>
        <w:t>35</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Appendix A</w:t>
        <w:tab/>
        <w:t>40</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Appendix B</w:t>
        <w:tab/>
        <w:t>43</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Appendix C</w:t>
        <w:tab/>
        <w:t>44</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Appendix D</w:t>
        <w:tab/>
        <w:t>47</w:t>
      </w:r>
    </w:p>
    <w:p>
      <w:pPr>
        <w:keepNext w:val="0"/>
        <w:widowControl/>
        <w:tabs>
          <w:tab w:pos="9360" w:val="right" w:leader="dot"/>
        </w:tabs>
        <w:spacing w:line="480" w:lineRule="auto" w:before="0" w:after="0"/>
        <w:ind w:firstLine="0" w:left="0"/>
        <w:jc w:val="left"/>
      </w:pPr>
      <w:r>
        <w:rPr>
          <w:rFonts w:ascii="Times New Roman" w:hAnsi="Times New Roman" w:cs="Times New Roman" w:eastAsia="Times New Roman"/>
          <w:b w:val="0"/>
          <w:i w:val="0"/>
          <w:color w:val="000000"/>
          <w:sz w:val="24"/>
        </w:rPr>
        <w:t>Appendix E</w:t>
        <w:tab/>
        <w:t>51</w:t>
      </w:r>
    </w:p>
    <w:p>
      <w:pPr>
        <w:keepNext w:val="0"/>
        <w:widowControl/>
        <w:spacing w:line="240" w:lineRule="auto" w:before="0" w:after="0"/>
        <w:ind w:firstLine="0" w:left="0"/>
        <w:jc w:val="left"/>
      </w:pPr>
      <w:r>
        <w:br w:type="page"/>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Abstract</w:t>
      </w:r>
    </w:p>
    <w:p>
      <w:pPr>
        <w:keepNext w:val="0"/>
        <w:widowControl/>
        <w:spacing w:line="480" w:lineRule="auto" w:before="0" w:after="0"/>
        <w:ind w:firstLine="0" w:left="0"/>
        <w:jc w:val="left"/>
      </w:pPr>
      <w:r>
        <w:rPr>
          <w:rFonts w:ascii="Times New Roman" w:hAnsi="Times New Roman" w:cs="Times New Roman" w:eastAsia="Times New Roman"/>
          <w:b w:val="0"/>
          <w:i w:val="0"/>
          <w:color w:val="000000"/>
          <w:sz w:val="24"/>
        </w:rPr>
        <w:t xml:space="preserve">Online travel agencies increasingly deploy large language model (LLM) assistants for package booking, yet static prompts ignore traveler decision-making heterogeneity, while naive few-shot prompting leaks stale entities and violates booking policies. This study evaluates a neuro-symbolic, cluster-adaptive framework coupling early-turn behavioral-semantic archetype routing and slot-masked FAISS retrieval with a declarative rule engine. Using 1,369 Microsoft Frames dialogues (1,334 analytic: golden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933, test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401) and 1,499 MultiWOZ 2.2 dialogues, four hypotheses were tested with Sentence-BERT, Gemini 3,072-d embeddings, Gemini 2.5 Flash, and Gemini 2.5 Pro. For RQ1, clustering algorithms differed across 159 runs,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(2, 156) = 91.33,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η</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.54, and combining Gemini prefix embeddings with a 16-field behavioral profile on the first nine user messages yielded three stable refined archetypes—</w:t>
      </w:r>
      <w:r>
        <w:rPr>
          <w:rFonts w:ascii="Times New Roman" w:hAnsi="Times New Roman" w:cs="Times New Roman" w:eastAsia="Times New Roman"/>
          <w:b w:val="0"/>
          <w:i/>
          <w:color w:val="000000"/>
          <w:sz w:val="24"/>
        </w:rPr>
        <w:t>Decisive Booker</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Open Explorer</w:t>
      </w:r>
      <w:r>
        <w:rPr>
          <w:rFonts w:ascii="Times New Roman" w:hAnsi="Times New Roman" w:cs="Times New Roman" w:eastAsia="Times New Roman"/>
          <w:b w:val="0"/>
          <w:i w:val="0"/>
          <w:color w:val="000000"/>
          <w:sz w:val="24"/>
        </w:rPr>
        <w:t xml:space="preserve">, and </w:t>
      </w:r>
      <w:r>
        <w:rPr>
          <w:rFonts w:ascii="Times New Roman" w:hAnsi="Times New Roman" w:cs="Times New Roman" w:eastAsia="Times New Roman"/>
          <w:b w:val="0"/>
          <w:i/>
          <w:color w:val="000000"/>
          <w:sz w:val="24"/>
        </w:rPr>
        <w:t>Rigid-Constraint Seeker</w:t>
      </w:r>
      <w:r>
        <w:rPr>
          <w:rFonts w:ascii="Times New Roman" w:hAnsi="Times New Roman" w:cs="Times New Roman" w:eastAsia="Times New Roman"/>
          <w:b w:val="0"/>
          <w:i w:val="0"/>
          <w:color w:val="000000"/>
          <w:sz w:val="24"/>
        </w:rPr>
        <w:t xml:space="preserve"> (ARI = .76; held-out routing κ = .535 at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5 to .958 at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9). For RQ2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33 repeated-measures), cluster-adaptive prompting increased style convergence,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(1.88, 60.29) = 9.79,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η</w:t>
      </w:r>
      <w:r>
        <w:rPr>
          <w:rFonts w:ascii="Times New Roman" w:hAnsi="Times New Roman" w:cs="Times New Roman" w:eastAsia="Times New Roman"/>
          <w:b w:val="0"/>
          <w:i/>
          <w:color w:val="000000"/>
          <w:sz w:val="24"/>
          <w:vertAlign w:val="subscript"/>
        </w:rPr>
        <w:t>p</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.23, and cut pacing error to 3.87 words,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7.10,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.007. For RQ3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144 2 × 2 factorial; dual-judge κ = .917), active rules raised violation enforcement from 5.6% to 98.6%,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(1, 140) = 43.92,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eliminated 35.9% entity leakage to 0.0%, interaction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(1, 140) = 34.82,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and raised slot F</w:t>
      </w:r>
      <w:r>
        <w:rPr>
          <w:rFonts w:ascii="Times New Roman" w:hAnsi="Times New Roman" w:cs="Times New Roman" w:eastAsia="Times New Roman"/>
          <w:b w:val="0"/>
          <w:i w:val="0"/>
          <w:color w:val="000000"/>
          <w:sz w:val="24"/>
          <w:vertAlign w:val="subscript"/>
        </w:rPr>
        <w:t>1</w:t>
      </w:r>
      <w:r>
        <w:rPr>
          <w:rFonts w:ascii="Times New Roman" w:hAnsi="Times New Roman" w:cs="Times New Roman" w:eastAsia="Times New Roman"/>
          <w:b w:val="0"/>
          <w:i w:val="0"/>
          <w:color w:val="000000"/>
          <w:sz w:val="24"/>
        </w:rPr>
        <w:t xml:space="preserve"> to .952,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(1, 140) = 489.52,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For RQ4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180 2 × 3 simulation; persona κ = .933), cluster-adaptive prompting cut turns by 29.5%–42.7%,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(1, 174) = 664.43,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interaction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(2, 174) = 10.89,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and eliminated redundant slot elicitation,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(1, 174) = 63.02,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Keywords:</w:t>
      </w:r>
      <w:r>
        <w:rPr>
          <w:rFonts w:ascii="Times New Roman" w:hAnsi="Times New Roman" w:cs="Times New Roman" w:eastAsia="Times New Roman"/>
          <w:b w:val="0"/>
          <w:i w:val="0"/>
          <w:color w:val="000000"/>
          <w:sz w:val="24"/>
        </w:rPr>
        <w:t xml:space="preserve"> conversational AI, travel chatbots, trajectory clustering, few-shot learning, guardrails</w:t>
      </w:r>
    </w:p>
    <w:p>
      <w:pPr>
        <w:pStyle w:val="Heading1"/>
        <w:keepNext/>
        <w:pageBreakBefore/>
        <w:widowControl/>
        <w:spacing w:line="480" w:lineRule="auto" w:before="0" w:after="0"/>
        <w:ind w:firstLine="0" w:left="0"/>
        <w:jc w:val="center"/>
      </w:pPr>
      <w:r>
        <w:rPr>
          <w:rFonts w:ascii="Times New Roman" w:hAnsi="Times New Roman" w:cs="Times New Roman" w:eastAsia="Times New Roman"/>
          <w:b/>
          <w:i w:val="0"/>
          <w:color w:val="000000"/>
          <w:sz w:val="24"/>
        </w:rPr>
        <w:t>Introduction</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Background and Context</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Conversational artificial intelligence (AI) assistants have become a core digital channel in travel, tourism, and hospitality, supporting destination discovery, package comparison, and itinerary booking (Buhalis &amp; Sinarta, 2019; Ivanov &amp; Webster, 2019; Jannach et al., 2021). Unlike single-turn question answering, vacation package booking is a consultative, multi-turn negotiation in which travelers balance competing constraints across origin, destination, dates, duration, hotel tier, and budget (El Asri et al., 2017). Empirical analyses of human travel dialogues demonstrate that travelers converse in distinct behavioral styles: some state fixed parameters up front and seek immediate confirmation, others explore multiple destinations and hotel tiers side by side, and others insist on rigid date and luxury constraints that require proactive trade-off resolution when preferred inventory exceeds their budget ceiling (Inaba et al., 2022; Melián-González et al., 2021).</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Despite this behavioral diversity, commercial large language model (LLM) travel assistants typically use one static system prompt and a uniform sequential intake script. Asking clarifying questions one slot at a time or offering a single hotel option per turn creates repetitive turns and session abandonment. Conversely, adapting an LLM's style purely through in-context few-shot examples introduces two severe reliability hazards (Liu et al., 2022; Rebedea et al., 2023): first, unmasked retrieved examples cause factual entity leakage, where the model copies stale hotel names, airfares, or promo codes from the examples into the active session; second, stylistic prompt instructions compete with business rules, causing the assistant to overlook mandatory visa windows, passport validity thresholds, party-size limits, or discount caps (Yao et al., 2024). Resolving both personalization and compliance requires a neuro-symbolic architecture that decouples behavioral style adaptation from deterministic policy verification.</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Problem Statement</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Business problem statement.</w:t>
      </w:r>
      <w:r>
        <w:rPr>
          <w:rFonts w:ascii="Times New Roman" w:hAnsi="Times New Roman" w:cs="Times New Roman" w:eastAsia="Times New Roman"/>
          <w:b w:val="0"/>
          <w:i w:val="0"/>
          <w:color w:val="000000"/>
          <w:sz w:val="24"/>
        </w:rPr>
        <w:t xml:space="preserve"> Online travel agencies (OTAs), tour operators, and hospitality contact centers suffer from low self-service conversion and elevated session abandonment because static conversational assistants fail to adapt their information density and recommendation strategy to distinct customer decision-making styles, while unverified generative responses expose enterprises to financial and regulatory liability from booking policy violations and hallucinated package terms (Buhalis &amp; Sinarta, 2019; Ivanov &amp; Webster, 2019; Melián-González et al., 2021).</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Technical problem statement.</w:t>
      </w:r>
      <w:r>
        <w:rPr>
          <w:rFonts w:ascii="Times New Roman" w:hAnsi="Times New Roman" w:cs="Times New Roman" w:eastAsia="Times New Roman"/>
          <w:b w:val="0"/>
          <w:i w:val="0"/>
          <w:color w:val="000000"/>
          <w:sz w:val="24"/>
        </w:rPr>
        <w:t xml:space="preserve"> Existing LLM dialogue systems lack (a) an empirically validated representation for clustering multi-turn user behavior into stable archetypes that can be routed accurately from early dialogue prefixes without end-of-dialogue outcome leakage, (b) a slot-masked exemplar retrieval mechanism that achieves target archetype style convergence without inducing entity leakage, and (c) formal factorial evidence quantifying the main and interaction effects of external declarative rule verification and cluster-adaptive prompting on slot fidelity, policy adherence, and multi-turn turn economy (Acikgoz et al., 2025; Liu et al., 2022; Rebedea et al., 2023).</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Measurable research formulation.</w:t>
      </w:r>
      <w:r>
        <w:rPr>
          <w:rFonts w:ascii="Times New Roman" w:hAnsi="Times New Roman" w:cs="Times New Roman" w:eastAsia="Times New Roman"/>
          <w:b w:val="0"/>
          <w:i w:val="0"/>
          <w:color w:val="000000"/>
          <w:sz w:val="24"/>
        </w:rPr>
        <w:t xml:space="preserve"> This study models six quantitative dependent variables (</w:t>
      </w:r>
      <w:r>
        <w:rPr>
          <w:rFonts w:ascii="Times New Roman" w:hAnsi="Times New Roman" w:cs="Times New Roman" w:eastAsia="Times New Roman"/>
          <w:b w:val="0"/>
          <w:i/>
          <w:color w:val="000000"/>
          <w:sz w:val="24"/>
        </w:rPr>
        <w:t>Y</w:t>
      </w:r>
      <w:r>
        <w:rPr>
          <w:rFonts w:ascii="Times New Roman" w:hAnsi="Times New Roman" w:cs="Times New Roman" w:eastAsia="Times New Roman"/>
          <w:b w:val="0"/>
          <w:i w:val="0"/>
          <w:color w:val="000000"/>
          <w:sz w:val="24"/>
        </w:rPr>
        <w:t>)—cluster separation Silhouette (</w:t>
      </w:r>
      <w:r>
        <w:rPr>
          <w:rFonts w:ascii="Times New Roman" w:hAnsi="Times New Roman" w:cs="Times New Roman" w:eastAsia="Times New Roman"/>
          <w:b w:val="0"/>
          <w:i/>
          <w:color w:val="000000"/>
          <w:sz w:val="24"/>
        </w:rPr>
        <w:t>Y</w:t>
      </w:r>
      <w:r>
        <w:rPr>
          <w:rFonts w:ascii="Times New Roman" w:hAnsi="Times New Roman" w:cs="Times New Roman" w:eastAsia="Times New Roman"/>
          <w:b w:val="0"/>
          <w:i w:val="0"/>
          <w:color w:val="000000"/>
          <w:sz w:val="24"/>
          <w:vertAlign w:val="subscript"/>
        </w:rPr>
        <w:t>1</w:t>
      </w:r>
      <w:r>
        <w:rPr>
          <w:rFonts w:ascii="Times New Roman" w:hAnsi="Times New Roman" w:cs="Times New Roman" w:eastAsia="Times New Roman"/>
          <w:b w:val="0"/>
          <w:i w:val="0"/>
          <w:color w:val="000000"/>
          <w:sz w:val="24"/>
        </w:rPr>
        <w:t>), style convergence cosine and pacing error (</w:t>
      </w:r>
      <w:r>
        <w:rPr>
          <w:rFonts w:ascii="Times New Roman" w:hAnsi="Times New Roman" w:cs="Times New Roman" w:eastAsia="Times New Roman"/>
          <w:b w:val="0"/>
          <w:i/>
          <w:color w:val="000000"/>
          <w:sz w:val="24"/>
        </w:rPr>
        <w:t>Y</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 policy rule adherence rate (</w:t>
      </w:r>
      <w:r>
        <w:rPr>
          <w:rFonts w:ascii="Times New Roman" w:hAnsi="Times New Roman" w:cs="Times New Roman" w:eastAsia="Times New Roman"/>
          <w:b w:val="0"/>
          <w:i/>
          <w:color w:val="000000"/>
          <w:sz w:val="24"/>
        </w:rPr>
        <w:t>Y</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 exemplar entity leakage rate (</w:t>
      </w:r>
      <w:r>
        <w:rPr>
          <w:rFonts w:ascii="Times New Roman" w:hAnsi="Times New Roman" w:cs="Times New Roman" w:eastAsia="Times New Roman"/>
          <w:b w:val="0"/>
          <w:i/>
          <w:color w:val="000000"/>
          <w:sz w:val="24"/>
        </w:rPr>
        <w:t>Y</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factual slot F</w:t>
      </w:r>
      <w:r>
        <w:rPr>
          <w:rFonts w:ascii="Times New Roman" w:hAnsi="Times New Roman" w:cs="Times New Roman" w:eastAsia="Times New Roman"/>
          <w:b w:val="0"/>
          <w:i w:val="0"/>
          <w:color w:val="000000"/>
          <w:sz w:val="24"/>
          <w:vertAlign w:val="subscript"/>
        </w:rPr>
        <w:t>1</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Y</w:t>
      </w:r>
      <w:r>
        <w:rPr>
          <w:rFonts w:ascii="Times New Roman" w:hAnsi="Times New Roman" w:cs="Times New Roman" w:eastAsia="Times New Roman"/>
          <w:b w:val="0"/>
          <w:i w:val="0"/>
          <w:color w:val="000000"/>
          <w:sz w:val="24"/>
          <w:vertAlign w:val="subscript"/>
        </w:rPr>
        <w:t>5</w:t>
      </w:r>
      <w:r>
        <w:rPr>
          <w:rFonts w:ascii="Times New Roman" w:hAnsi="Times New Roman" w:cs="Times New Roman" w:eastAsia="Times New Roman"/>
          <w:b w:val="0"/>
          <w:i w:val="0"/>
          <w:color w:val="000000"/>
          <w:sz w:val="24"/>
        </w:rPr>
        <w:t>), and log-transformed turns to goal completion and redundant elicitation rate (</w:t>
      </w:r>
      <w:r>
        <w:rPr>
          <w:rFonts w:ascii="Times New Roman" w:hAnsi="Times New Roman" w:cs="Times New Roman" w:eastAsia="Times New Roman"/>
          <w:b w:val="0"/>
          <w:i/>
          <w:color w:val="000000"/>
          <w:sz w:val="24"/>
        </w:rPr>
        <w:t>Y</w:t>
      </w:r>
      <w:r>
        <w:rPr>
          <w:rFonts w:ascii="Times New Roman" w:hAnsi="Times New Roman" w:cs="Times New Roman" w:eastAsia="Times New Roman"/>
          <w:b w:val="0"/>
          <w:i w:val="0"/>
          <w:color w:val="000000"/>
          <w:sz w:val="24"/>
          <w:vertAlign w:val="subscript"/>
        </w:rPr>
        <w:t>6</w:t>
      </w:r>
      <w:r>
        <w:rPr>
          <w:rFonts w:ascii="Times New Roman" w:hAnsi="Times New Roman" w:cs="Times New Roman" w:eastAsia="Times New Roman"/>
          <w:b w:val="0"/>
          <w:i w:val="0"/>
          <w:color w:val="000000"/>
          <w:sz w:val="24"/>
        </w:rPr>
        <w:t>)—as functions of four manipulated independent variables (</w:t>
      </w:r>
      <w:r>
        <w:rPr>
          <w:rFonts w:ascii="Times New Roman" w:hAnsi="Times New Roman" w:cs="Times New Roman" w:eastAsia="Times New Roman"/>
          <w:b w:val="0"/>
          <w:i/>
          <w:color w:val="000000"/>
          <w:sz w:val="24"/>
        </w:rPr>
        <w:t>X</w:t>
      </w:r>
      <w:r>
        <w:rPr>
          <w:rFonts w:ascii="Times New Roman" w:hAnsi="Times New Roman" w:cs="Times New Roman" w:eastAsia="Times New Roman"/>
          <w:b w:val="0"/>
          <w:i w:val="0"/>
          <w:color w:val="000000"/>
          <w:sz w:val="24"/>
        </w:rPr>
        <w:t>): clustering algorithm and trajectory representation (</w:t>
      </w:r>
      <w:r>
        <w:rPr>
          <w:rFonts w:ascii="Times New Roman" w:hAnsi="Times New Roman" w:cs="Times New Roman" w:eastAsia="Times New Roman"/>
          <w:b w:val="0"/>
          <w:i/>
          <w:color w:val="000000"/>
          <w:sz w:val="24"/>
        </w:rPr>
        <w:t>X</w:t>
      </w:r>
      <w:r>
        <w:rPr>
          <w:rFonts w:ascii="Times New Roman" w:hAnsi="Times New Roman" w:cs="Times New Roman" w:eastAsia="Times New Roman"/>
          <w:b w:val="0"/>
          <w:i w:val="0"/>
          <w:color w:val="000000"/>
          <w:sz w:val="24"/>
          <w:vertAlign w:val="subscript"/>
        </w:rPr>
        <w:t>1</w:t>
      </w:r>
      <w:r>
        <w:rPr>
          <w:rFonts w:ascii="Times New Roman" w:hAnsi="Times New Roman" w:cs="Times New Roman" w:eastAsia="Times New Roman"/>
          <w:b w:val="0"/>
          <w:i w:val="0"/>
          <w:color w:val="000000"/>
          <w:sz w:val="24"/>
        </w:rPr>
        <w:t>, RQ1), in-context conditioning strategy (</w:t>
      </w:r>
      <w:r>
        <w:rPr>
          <w:rFonts w:ascii="Times New Roman" w:hAnsi="Times New Roman" w:cs="Times New Roman" w:eastAsia="Times New Roman"/>
          <w:b w:val="0"/>
          <w:i/>
          <w:color w:val="000000"/>
          <w:sz w:val="24"/>
        </w:rPr>
        <w:t>X</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 RQ2), rule-engine mode crossed with prompting strategy (</w:t>
      </w:r>
      <w:r>
        <w:rPr>
          <w:rFonts w:ascii="Times New Roman" w:hAnsi="Times New Roman" w:cs="Times New Roman" w:eastAsia="Times New Roman"/>
          <w:b w:val="0"/>
          <w:i/>
          <w:color w:val="000000"/>
          <w:sz w:val="24"/>
        </w:rPr>
        <w:t>X</w:t>
      </w:r>
      <w:r>
        <w:rPr>
          <w:rFonts w:ascii="Times New Roman" w:hAnsi="Times New Roman" w:cs="Times New Roman" w:eastAsia="Times New Roman"/>
          <w:b w:val="0"/>
          <w:i w:val="0"/>
          <w:color w:val="000000"/>
          <w:sz w:val="24"/>
          <w:vertAlign w:val="subscript"/>
        </w:rPr>
        <w:t>3</w:t>
      </w:r>
      <w:r>
        <w:rPr>
          <w:rFonts w:ascii="Times New Roman" w:hAnsi="Times New Roman" w:cs="Times New Roman" w:eastAsia="Times New Roman"/>
          <w:b w:val="0"/>
          <w:i w:val="0"/>
          <w:color w:val="000000"/>
          <w:sz w:val="24"/>
        </w:rPr>
        <w:t>, RQ3), and prompting strategy crossed with refined user archetype (</w:t>
      </w:r>
      <w:r>
        <w:rPr>
          <w:rFonts w:ascii="Times New Roman" w:hAnsi="Times New Roman" w:cs="Times New Roman" w:eastAsia="Times New Roman"/>
          <w:b w:val="0"/>
          <w:i/>
          <w:color w:val="000000"/>
          <w:sz w:val="24"/>
        </w:rPr>
        <w:t>X</w:t>
      </w:r>
      <w:r>
        <w:rPr>
          <w:rFonts w:ascii="Times New Roman" w:hAnsi="Times New Roman" w:cs="Times New Roman" w:eastAsia="Times New Roman"/>
          <w:b w:val="0"/>
          <w:i w:val="0"/>
          <w:color w:val="000000"/>
          <w:sz w:val="24"/>
          <w:vertAlign w:val="subscript"/>
        </w:rPr>
        <w:t>4</w:t>
      </w:r>
      <w:r>
        <w:rPr>
          <w:rFonts w:ascii="Times New Roman" w:hAnsi="Times New Roman" w:cs="Times New Roman" w:eastAsia="Times New Roman"/>
          <w:b w:val="0"/>
          <w:i w:val="0"/>
          <w:color w:val="000000"/>
          <w:sz w:val="24"/>
        </w:rPr>
        <w:t>, RQ4).</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Purpose of the Study and Research Questions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The purpose of this quantitative study is to develop and evaluate an end-to-end neuro-symbolic, cluster-adaptive conversational framework on public human travel dialogues across four linked research questions (</w:t>
      </w:r>
      <w:r>
        <w:fldChar w:fldCharType="begin"/>
      </w:r>
      <w:r>
        <w:instrText xml:space="preserve"> REF _RefTab1 \h \* MERGEFORMAT </w:instrText>
      </w:r>
      <w:r>
        <w:fldChar w:fldCharType="separate"/>
      </w:r>
      <w:r>
        <w:rPr>
          <w:rFonts w:ascii="Times New Roman" w:hAnsi="Times New Roman" w:cs="Times New Roman" w:eastAsia="Times New Roman"/>
          <w:b w:val="0"/>
          <w:i w:val="0"/>
          <w:color w:val="000000"/>
          <w:sz w:val="24"/>
        </w:rPr>
        <w:t>Table 1</w:t>
      </w:r>
      <w:r>
        <w:fldChar w:fldCharType="end"/>
      </w:r>
      <w:r>
        <w:rPr>
          <w:rFonts w:ascii="Times New Roman" w:hAnsi="Times New Roman" w:cs="Times New Roman" w:eastAsia="Times New Roman"/>
          <w:b w:val="0"/>
          <w:i w:val="0"/>
          <w:color w:val="000000"/>
          <w:sz w:val="24"/>
        </w:rPr>
        <w:t>).</w:t>
      </w:r>
    </w:p>
    <w:p>
      <w:pPr>
        <w:keepNext/>
        <w:widowControl/>
        <w:spacing w:line="480" w:lineRule="auto" w:before="120" w:after="0"/>
        <w:ind w:firstLine="0" w:left="0"/>
        <w:jc w:val="left"/>
      </w:pPr>
      <w:bookmarkStart w:name="_RefTab1" w:id="197"/>
      <w:r>
        <w:rPr>
          <w:rFonts w:ascii="Times New Roman" w:hAnsi="Times New Roman" w:cs="Times New Roman" w:eastAsia="Times New Roman"/>
          <w:b/>
          <w:color w:val="000000"/>
          <w:sz w:val="24"/>
        </w:rPr>
        <w:t xml:space="preserve">Table </w:t>
      </w:r>
      <w:bookmarkStart w:name="_RefTabN1" w:id="198"/>
      <w:r>
        <w:rPr>
          <w:rFonts w:ascii="Times New Roman" w:hAnsi="Times New Roman" w:cs="Times New Roman" w:eastAsia="Times New Roman"/>
          <w:b/>
          <w:color w:val="000000"/>
          <w:sz w:val="24"/>
        </w:rPr>
        <w:t>1</w:t>
      </w:r>
      <w:bookmarkEnd w:id="198"/>
      <w:bookmarkEnd w:id="197"/>
    </w:p>
    <w:p>
      <w:pPr>
        <w:keepNext/>
        <w:widowControl/>
        <w:spacing w:line="480" w:lineRule="auto" w:before="0" w:after="0"/>
        <w:ind w:firstLine="0" w:left="0"/>
        <w:jc w:val="left"/>
      </w:pPr>
      <w:r>
        <w:rPr>
          <w:rFonts w:ascii="Times New Roman" w:hAnsi="Times New Roman" w:cs="Times New Roman" w:eastAsia="Times New Roman"/>
          <w:b w:val="0"/>
          <w:i/>
          <w:color w:val="000000"/>
          <w:sz w:val="24"/>
        </w:rPr>
        <w:t>Research Questions, Hypotheses, and Analytical Framework</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64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RQ</w:t>
            </w:r>
          </w:p>
        </w:tc>
        <w:tc>
          <w:tcPr>
            <w:tcW w:type="dxa" w:w="280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Research question</w:t>
            </w:r>
          </w:p>
        </w:tc>
        <w:tc>
          <w:tcPr>
            <w:tcW w:type="dxa" w:w="295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Null and alternative hypotheses</w:t>
            </w:r>
          </w:p>
        </w:tc>
        <w:tc>
          <w:tcPr>
            <w:tcW w:type="dxa" w:w="295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Experimental design and statistical test</w:t>
            </w:r>
          </w:p>
        </w:tc>
      </w:tr>
      <w:tr>
        <w:trPr>
          <w:cantSplit/>
        </w:trPr>
        <w:tc>
          <w:tcPr>
            <w:tcW w:type="dxa" w:w="64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RQ1</w:t>
            </w:r>
          </w:p>
        </w:tc>
        <w:tc>
          <w:tcPr>
            <w:tcW w:type="dxa" w:w="280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Which clustering algorithm (K-Means, Ward agglomerative, HDBSCAN) best separates dialogue embeddings, and which stable, early-routable user archetypes emerge?</w:t>
            </w:r>
          </w:p>
        </w:tc>
        <w:tc>
          <w:tcPr>
            <w:tcW w:type="dxa" w:w="2952"/>
          </w:tcPr>
          <w:p>
            <w:pPr>
              <w:keepNext/>
              <w:widowControl/>
              <w:spacing w:line="240" w:lineRule="auto" w:before="30" w:after="30"/>
              <w:ind w:firstLine="0" w:left="0"/>
              <w:jc w:val="left"/>
            </w:pPr>
            <w:r>
              <w:rPr>
                <w:rFonts w:ascii="Times New Roman" w:hAnsi="Times New Roman" w:cs="Times New Roman" w:eastAsia="Times New Roman"/>
                <w:b w:val="0"/>
                <w:i/>
                <w:color w:val="000000"/>
                <w:sz w:val="20"/>
              </w:rPr>
              <w:t>H</w:t>
            </w:r>
            <w:r>
              <w:rPr>
                <w:rFonts w:ascii="Times New Roman" w:hAnsi="Times New Roman" w:cs="Times New Roman" w:eastAsia="Times New Roman"/>
                <w:b w:val="0"/>
                <w:i w:val="0"/>
                <w:color w:val="000000"/>
                <w:sz w:val="20"/>
                <w:vertAlign w:val="subscript"/>
              </w:rPr>
              <w:t>01</w:t>
            </w:r>
            <w:r>
              <w:rPr>
                <w:rFonts w:ascii="Times New Roman" w:hAnsi="Times New Roman" w:cs="Times New Roman" w:eastAsia="Times New Roman"/>
                <w:b w:val="0"/>
                <w:i w:val="0"/>
                <w:color w:val="000000"/>
                <w:sz w:val="20"/>
              </w:rPr>
              <w:t xml:space="preserve">: Equal mean Silhouette across algorithms. </w:t>
            </w:r>
            <w:r>
              <w:rPr>
                <w:rFonts w:ascii="Times New Roman" w:hAnsi="Times New Roman" w:cs="Times New Roman" w:eastAsia="Times New Roman"/>
                <w:b w:val="0"/>
                <w:i/>
                <w:color w:val="000000"/>
                <w:sz w:val="20"/>
              </w:rPr>
              <w:t>H</w:t>
            </w:r>
            <w:r>
              <w:rPr>
                <w:rFonts w:ascii="Times New Roman" w:hAnsi="Times New Roman" w:cs="Times New Roman" w:eastAsia="Times New Roman"/>
                <w:b w:val="0"/>
                <w:i w:val="0"/>
                <w:color w:val="000000"/>
                <w:sz w:val="20"/>
                <w:vertAlign w:val="subscript"/>
              </w:rPr>
              <w:t>a1</w:t>
            </w:r>
            <w:r>
              <w:rPr>
                <w:rFonts w:ascii="Times New Roman" w:hAnsi="Times New Roman" w:cs="Times New Roman" w:eastAsia="Times New Roman"/>
                <w:b w:val="0"/>
                <w:i w:val="0"/>
                <w:color w:val="000000"/>
                <w:sz w:val="20"/>
              </w:rPr>
              <w:t>: At least one differs, and truncated behavioral-semantic prefixes yield stable (ARI ≥ .60), routable archetypes.</w:t>
            </w:r>
          </w:p>
        </w:tc>
        <w:tc>
          <w:tcPr>
            <w:tcW w:type="dxa" w:w="295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One-way ANOVA across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159 runs (Welch &amp; Kruskal–Wallis checks; Tukey &amp; Games–Howell post hoc) + representation × truncation grid</w:t>
            </w:r>
          </w:p>
        </w:tc>
      </w:tr>
      <w:tr>
        <w:trPr>
          <w:cantSplit/>
        </w:trPr>
        <w:tc>
          <w:tcPr>
            <w:tcW w:type="dxa" w:w="64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RQ2</w:t>
            </w:r>
          </w:p>
        </w:tc>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Does cluster-adaptive few-shot prompting increase style convergence and pacing calibration relative to zero-shot and static few-shot prompting?</w:t>
            </w:r>
          </w:p>
        </w:tc>
        <w:tc>
          <w:tcPr>
            <w:tcW w:type="dxa" w:w="2952"/>
          </w:tcPr>
          <w:p>
            <w:pPr>
              <w:keepNext w:val="0"/>
              <w:widowControl/>
              <w:spacing w:line="240" w:lineRule="auto" w:before="30" w:after="30"/>
              <w:ind w:firstLine="0" w:left="0"/>
              <w:jc w:val="left"/>
            </w:pPr>
            <w:r>
              <w:rPr>
                <w:rFonts w:ascii="Times New Roman" w:hAnsi="Times New Roman" w:cs="Times New Roman" w:eastAsia="Times New Roman"/>
                <w:b w:val="0"/>
                <w:i/>
                <w:color w:val="000000"/>
                <w:sz w:val="20"/>
              </w:rPr>
              <w:t>H</w:t>
            </w:r>
            <w:r>
              <w:rPr>
                <w:rFonts w:ascii="Times New Roman" w:hAnsi="Times New Roman" w:cs="Times New Roman" w:eastAsia="Times New Roman"/>
                <w:b w:val="0"/>
                <w:i w:val="0"/>
                <w:color w:val="000000"/>
                <w:sz w:val="20"/>
                <w:vertAlign w:val="subscript"/>
              </w:rPr>
              <w:t>02</w:t>
            </w:r>
            <w:r>
              <w:rPr>
                <w:rFonts w:ascii="Times New Roman" w:hAnsi="Times New Roman" w:cs="Times New Roman" w:eastAsia="Times New Roman"/>
                <w:b w:val="0"/>
                <w:i w:val="0"/>
                <w:color w:val="000000"/>
                <w:sz w:val="20"/>
              </w:rPr>
              <w:t xml:space="preserve">: Equal mean style cosine across conditions. </w:t>
            </w:r>
            <w:r>
              <w:rPr>
                <w:rFonts w:ascii="Times New Roman" w:hAnsi="Times New Roman" w:cs="Times New Roman" w:eastAsia="Times New Roman"/>
                <w:b w:val="0"/>
                <w:i/>
                <w:color w:val="000000"/>
                <w:sz w:val="20"/>
              </w:rPr>
              <w:t>H</w:t>
            </w:r>
            <w:r>
              <w:rPr>
                <w:rFonts w:ascii="Times New Roman" w:hAnsi="Times New Roman" w:cs="Times New Roman" w:eastAsia="Times New Roman"/>
                <w:b w:val="0"/>
                <w:i w:val="0"/>
                <w:color w:val="000000"/>
                <w:sz w:val="20"/>
                <w:vertAlign w:val="subscript"/>
              </w:rPr>
              <w:t>a2</w:t>
            </w:r>
            <w:r>
              <w:rPr>
                <w:rFonts w:ascii="Times New Roman" w:hAnsi="Times New Roman" w:cs="Times New Roman" w:eastAsia="Times New Roman"/>
                <w:b w:val="0"/>
                <w:i w:val="0"/>
                <w:color w:val="000000"/>
                <w:sz w:val="20"/>
              </w:rPr>
              <w:t>: Cluster-adaptive &gt; static and zero-shot on refined user archetypes.</w:t>
            </w:r>
          </w:p>
        </w:tc>
        <w:tc>
          <w:tcPr>
            <w:tcW w:type="dxa" w:w="295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One-way repeated-measures ANOVA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33 dialogues × 3 conditions = 99 calls; Greenhouse–Geisser, Friedman, Holm contrasts)</w:t>
            </w:r>
          </w:p>
        </w:tc>
      </w:tr>
      <w:tr>
        <w:trPr>
          <w:cantSplit/>
        </w:trPr>
        <w:tc>
          <w:tcPr>
            <w:tcW w:type="dxa" w:w="64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RQ3</w:t>
            </w:r>
          </w:p>
        </w:tc>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How do a declarative rule engine and cluster-adaptive prompting interact to govern rule adherence, exemplar leakage, slot F</w:t>
            </w:r>
            <w:r>
              <w:rPr>
                <w:rFonts w:ascii="Times New Roman" w:hAnsi="Times New Roman" w:cs="Times New Roman" w:eastAsia="Times New Roman"/>
                <w:b w:val="0"/>
                <w:i w:val="0"/>
                <w:color w:val="000000"/>
                <w:sz w:val="20"/>
                <w:vertAlign w:val="subscript"/>
              </w:rPr>
              <w:t>1</w:t>
            </w:r>
            <w:r>
              <w:rPr>
                <w:rFonts w:ascii="Times New Roman" w:hAnsi="Times New Roman" w:cs="Times New Roman" w:eastAsia="Times New Roman"/>
                <w:b w:val="0"/>
                <w:i w:val="0"/>
                <w:color w:val="000000"/>
                <w:sz w:val="20"/>
              </w:rPr>
              <w:t>, and style alignment?</w:t>
            </w:r>
          </w:p>
        </w:tc>
        <w:tc>
          <w:tcPr>
            <w:tcW w:type="dxa" w:w="2952"/>
          </w:tcPr>
          <w:p>
            <w:pPr>
              <w:keepNext w:val="0"/>
              <w:widowControl/>
              <w:spacing w:line="240" w:lineRule="auto" w:before="30" w:after="30"/>
              <w:ind w:firstLine="0" w:left="0"/>
              <w:jc w:val="left"/>
            </w:pPr>
            <w:r>
              <w:rPr>
                <w:rFonts w:ascii="Times New Roman" w:hAnsi="Times New Roman" w:cs="Times New Roman" w:eastAsia="Times New Roman"/>
                <w:b w:val="0"/>
                <w:i/>
                <w:color w:val="000000"/>
                <w:sz w:val="20"/>
              </w:rPr>
              <w:t>H</w:t>
            </w:r>
            <w:r>
              <w:rPr>
                <w:rFonts w:ascii="Times New Roman" w:hAnsi="Times New Roman" w:cs="Times New Roman" w:eastAsia="Times New Roman"/>
                <w:b w:val="0"/>
                <w:i w:val="0"/>
                <w:color w:val="000000"/>
                <w:sz w:val="20"/>
                <w:vertAlign w:val="subscript"/>
              </w:rPr>
              <w:t>03</w:t>
            </w:r>
            <w:r>
              <w:rPr>
                <w:rFonts w:ascii="Times New Roman" w:hAnsi="Times New Roman" w:cs="Times New Roman" w:eastAsia="Times New Roman"/>
                <w:b w:val="0"/>
                <w:i w:val="0"/>
                <w:color w:val="000000"/>
                <w:sz w:val="20"/>
              </w:rPr>
              <w:t xml:space="preserve">: No main or interaction effects. </w:t>
            </w:r>
            <w:r>
              <w:rPr>
                <w:rFonts w:ascii="Times New Roman" w:hAnsi="Times New Roman" w:cs="Times New Roman" w:eastAsia="Times New Roman"/>
                <w:b w:val="0"/>
                <w:i/>
                <w:color w:val="000000"/>
                <w:sz w:val="20"/>
              </w:rPr>
              <w:t>H</w:t>
            </w:r>
            <w:r>
              <w:rPr>
                <w:rFonts w:ascii="Times New Roman" w:hAnsi="Times New Roman" w:cs="Times New Roman" w:eastAsia="Times New Roman"/>
                <w:b w:val="0"/>
                <w:i w:val="0"/>
                <w:color w:val="000000"/>
                <w:sz w:val="20"/>
                <w:vertAlign w:val="subscript"/>
              </w:rPr>
              <w:t>a3</w:t>
            </w:r>
            <w:r>
              <w:rPr>
                <w:rFonts w:ascii="Times New Roman" w:hAnsi="Times New Roman" w:cs="Times New Roman" w:eastAsia="Times New Roman"/>
                <w:b w:val="0"/>
                <w:i w:val="0"/>
                <w:color w:val="000000"/>
                <w:sz w:val="20"/>
              </w:rPr>
              <w:t>: Active rules raise adherence and slot F</w:t>
            </w:r>
            <w:r>
              <w:rPr>
                <w:rFonts w:ascii="Times New Roman" w:hAnsi="Times New Roman" w:cs="Times New Roman" w:eastAsia="Times New Roman"/>
                <w:b w:val="0"/>
                <w:i w:val="0"/>
                <w:color w:val="000000"/>
                <w:sz w:val="20"/>
                <w:vertAlign w:val="subscript"/>
              </w:rPr>
              <w:t>1</w:t>
            </w:r>
            <w:r>
              <w:rPr>
                <w:rFonts w:ascii="Times New Roman" w:hAnsi="Times New Roman" w:cs="Times New Roman" w:eastAsia="Times New Roman"/>
                <w:b w:val="0"/>
                <w:i w:val="0"/>
                <w:color w:val="000000"/>
                <w:sz w:val="20"/>
              </w:rPr>
              <w:t xml:space="preserve"> and eliminate few-shot entity leakage.</w:t>
            </w:r>
          </w:p>
        </w:tc>
        <w:tc>
          <w:tcPr>
            <w:tcW w:type="dxa" w:w="295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2 × 2 factorial ANOVA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144,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36/cell; OLS, HC3, and ART checks; dual-LLM judge κ)</w:t>
            </w:r>
          </w:p>
        </w:tc>
      </w:tr>
      <w:tr>
        <w:trPr>
          <w:cantSplit/>
        </w:trPr>
        <w:tc>
          <w:tcPr>
            <w:tcW w:type="dxa" w:w="64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RQ4</w:t>
            </w:r>
          </w:p>
        </w:tc>
        <w:tc>
          <w:tcPr>
            <w:tcW w:type="dxa" w:w="280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Does cluster-adaptive prompting with an informed-slot ledger reduce turns to goal completion and redundant elicitation differently across user archetypes?</w:t>
            </w:r>
          </w:p>
        </w:tc>
        <w:tc>
          <w:tcPr>
            <w:tcW w:type="dxa" w:w="2952"/>
          </w:tcPr>
          <w:p>
            <w:pPr>
              <w:keepNext/>
              <w:widowControl/>
              <w:spacing w:line="240" w:lineRule="auto" w:before="30" w:after="30"/>
              <w:ind w:firstLine="0" w:left="0"/>
              <w:jc w:val="left"/>
            </w:pPr>
            <w:r>
              <w:rPr>
                <w:rFonts w:ascii="Times New Roman" w:hAnsi="Times New Roman" w:cs="Times New Roman" w:eastAsia="Times New Roman"/>
                <w:b w:val="0"/>
                <w:i/>
                <w:color w:val="000000"/>
                <w:sz w:val="20"/>
              </w:rPr>
              <w:t>H</w:t>
            </w:r>
            <w:r>
              <w:rPr>
                <w:rFonts w:ascii="Times New Roman" w:hAnsi="Times New Roman" w:cs="Times New Roman" w:eastAsia="Times New Roman"/>
                <w:b w:val="0"/>
                <w:i w:val="0"/>
                <w:color w:val="000000"/>
                <w:sz w:val="20"/>
                <w:vertAlign w:val="subscript"/>
              </w:rPr>
              <w:t>04</w:t>
            </w:r>
            <w:r>
              <w:rPr>
                <w:rFonts w:ascii="Times New Roman" w:hAnsi="Times New Roman" w:cs="Times New Roman" w:eastAsia="Times New Roman"/>
                <w:b w:val="0"/>
                <w:i w:val="0"/>
                <w:color w:val="000000"/>
                <w:sz w:val="20"/>
              </w:rPr>
              <w:t xml:space="preserve">: No prompting or prompting × archetype interaction effects. </w:t>
            </w:r>
            <w:r>
              <w:rPr>
                <w:rFonts w:ascii="Times New Roman" w:hAnsi="Times New Roman" w:cs="Times New Roman" w:eastAsia="Times New Roman"/>
                <w:b w:val="0"/>
                <w:i/>
                <w:color w:val="000000"/>
                <w:sz w:val="20"/>
              </w:rPr>
              <w:t>H</w:t>
            </w:r>
            <w:r>
              <w:rPr>
                <w:rFonts w:ascii="Times New Roman" w:hAnsi="Times New Roman" w:cs="Times New Roman" w:eastAsia="Times New Roman"/>
                <w:b w:val="0"/>
                <w:i w:val="0"/>
                <w:color w:val="000000"/>
                <w:sz w:val="20"/>
                <w:vertAlign w:val="subscript"/>
              </w:rPr>
              <w:t>a4</w:t>
            </w:r>
            <w:r>
              <w:rPr>
                <w:rFonts w:ascii="Times New Roman" w:hAnsi="Times New Roman" w:cs="Times New Roman" w:eastAsia="Times New Roman"/>
                <w:b w:val="0"/>
                <w:i w:val="0"/>
                <w:color w:val="000000"/>
                <w:sz w:val="20"/>
              </w:rPr>
              <w:t>: Cluster-adaptive prompting reduces log turns and RER with an archetype interaction.</w:t>
            </w:r>
          </w:p>
        </w:tc>
        <w:tc>
          <w:tcPr>
            <w:tcW w:type="dxa" w:w="295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2 × 3 factorial ANOVA on log turns and RER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180,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30/cell; OLS, HC3, ART, Welch </w:t>
            </w:r>
            <w:r>
              <w:rPr>
                <w:rFonts w:ascii="Times New Roman" w:hAnsi="Times New Roman" w:cs="Times New Roman" w:eastAsia="Times New Roman"/>
                <w:b w:val="0"/>
                <w:i/>
                <w:color w:val="000000"/>
                <w:sz w:val="20"/>
              </w:rPr>
              <w:t>t</w:t>
            </w:r>
            <w:r>
              <w:rPr>
                <w:rFonts w:ascii="Times New Roman" w:hAnsi="Times New Roman" w:cs="Times New Roman" w:eastAsia="Times New Roman"/>
                <w:b w:val="0"/>
                <w:i w:val="0"/>
                <w:color w:val="000000"/>
                <w:sz w:val="20"/>
              </w:rPr>
              <w:t xml:space="preserve">, Mann–Whitney </w:t>
            </w:r>
            <w:r>
              <w:rPr>
                <w:rFonts w:ascii="Times New Roman" w:hAnsi="Times New Roman" w:cs="Times New Roman" w:eastAsia="Times New Roman"/>
                <w:b w:val="0"/>
                <w:i/>
                <w:color w:val="000000"/>
                <w:sz w:val="20"/>
              </w:rPr>
              <w:t>U</w:t>
            </w:r>
            <w:r>
              <w:rPr>
                <w:rFonts w:ascii="Times New Roman" w:hAnsi="Times New Roman" w:cs="Times New Roman" w:eastAsia="Times New Roman"/>
                <w:b w:val="0"/>
                <w:i w:val="0"/>
                <w:color w:val="000000"/>
                <w:sz w:val="20"/>
              </w:rPr>
              <w:t>; persona κ)</w:t>
            </w:r>
          </w:p>
        </w:tc>
      </w:tr>
    </w:tbl>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RQ = research question; ARI = adjusted Rand index; HC3 = heteroscedasticity-consistent SE; ART = aligned rank transform; RER = redundant elicitation rate. All tests use α = .05.</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Contributions and Expected Value</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This study delivers four contributions: (1) proving that truncating dialogues to the first nine user messages and combining Gemini prefix embeddings with structured LLM behavioral ratings yields stable user archetypes (ARI = .76) with high held-out prefix routing agreement (κ = .535 at five messages to .958 at nine messages); (2) contrasting primary versus refined archetypes in RQ2 to demonstrate that cluster-adaptive prompting succeeds significantly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once upstream routing is coherent; (3) demonstrating in RQ3 that external declarative verification eliminates the 35.9% entity leakage of unguarded few-shot prompting while raising policy violation enforcement from 5.6% to 98.6%; and (4) showing in RQ4 that archetype-adaptive turn-economy policies cut turns to booking completion by 29.5% to 42.7% and eliminate redundant slot questions.</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Literature Review</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Literature Review Approach and Relevance Matrix</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Peer-reviewed studies were retrieved from the ACL Anthology, ACM Digital Library, IEEE Xplore, ScienceDirect, Google Scholar, and arXiv using Boolean combinations of </w:t>
      </w:r>
      <w:r>
        <w:rPr>
          <w:rFonts w:ascii="Times New Roman" w:hAnsi="Times New Roman" w:cs="Times New Roman" w:eastAsia="Times New Roman"/>
          <w:b w:val="0"/>
          <w:i/>
          <w:color w:val="000000"/>
          <w:sz w:val="24"/>
        </w:rPr>
        <w:t>travel and hospitality chatbots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conversational recommender systems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task-oriented dialogue corpora</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trajectory clustering</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in-context exemplar retrieval</w:t>
      </w:r>
      <w:r>
        <w:rPr>
          <w:rFonts w:ascii="Times New Roman" w:hAnsi="Times New Roman" w:cs="Times New Roman" w:eastAsia="Times New Roman"/>
          <w:b w:val="0"/>
          <w:i w:val="0"/>
          <w:color w:val="000000"/>
          <w:sz w:val="24"/>
        </w:rPr>
        <w:t xml:space="preserve">, and </w:t>
      </w:r>
      <w:r>
        <w:rPr>
          <w:rFonts w:ascii="Times New Roman" w:hAnsi="Times New Roman" w:cs="Times New Roman" w:eastAsia="Times New Roman"/>
          <w:b w:val="0"/>
          <w:i/>
          <w:color w:val="000000"/>
          <w:sz w:val="24"/>
        </w:rPr>
        <w:t>LLM guardrails</w:t>
      </w:r>
      <w:r>
        <w:rPr>
          <w:rFonts w:ascii="Times New Roman" w:hAnsi="Times New Roman" w:cs="Times New Roman" w:eastAsia="Times New Roman"/>
          <w:b w:val="0"/>
          <w:i w:val="0"/>
          <w:color w:val="000000"/>
          <w:sz w:val="24"/>
        </w:rPr>
        <w:t xml:space="preserve">. Twenty-six sources spanning business adoption, dialogue datasets, unsupervised clustering, retrieval-augmented prompting, and statistical methodology were synthesized. </w:t>
      </w:r>
      <w:r>
        <w:fldChar w:fldCharType="begin"/>
      </w:r>
      <w:r>
        <w:instrText xml:space="preserve"> REF _RefTab2 \h \* MERGEFORMAT </w:instrText>
      </w:r>
      <w:r>
        <w:fldChar w:fldCharType="separate"/>
      </w:r>
      <w:r>
        <w:rPr>
          <w:rFonts w:ascii="Times New Roman" w:hAnsi="Times New Roman" w:cs="Times New Roman" w:eastAsia="Times New Roman"/>
          <w:b w:val="0"/>
          <w:i w:val="0"/>
          <w:color w:val="000000"/>
          <w:sz w:val="24"/>
        </w:rPr>
        <w:t>Table 2</w:t>
      </w:r>
      <w:r>
        <w:fldChar w:fldCharType="end"/>
      </w:r>
      <w:r>
        <w:rPr>
          <w:rFonts w:ascii="Times New Roman" w:hAnsi="Times New Roman" w:cs="Times New Roman" w:eastAsia="Times New Roman"/>
          <w:b w:val="0"/>
          <w:i w:val="0"/>
          <w:color w:val="000000"/>
          <w:sz w:val="24"/>
        </w:rPr>
        <w:t xml:space="preserve"> maps the core literature streams to the gaps addressed in RQ1–RQ4.</w:t>
      </w:r>
    </w:p>
    <w:p>
      <w:pPr>
        <w:keepNext/>
        <w:widowControl/>
        <w:spacing w:line="480" w:lineRule="auto" w:before="120" w:after="0"/>
        <w:ind w:firstLine="0" w:left="0"/>
        <w:jc w:val="left"/>
      </w:pPr>
      <w:bookmarkStart w:name="_RefTab2" w:id="199"/>
      <w:r>
        <w:rPr>
          <w:rFonts w:ascii="Times New Roman" w:hAnsi="Times New Roman" w:cs="Times New Roman" w:eastAsia="Times New Roman"/>
          <w:b/>
          <w:color w:val="000000"/>
          <w:sz w:val="24"/>
        </w:rPr>
        <w:t xml:space="preserve">Table </w:t>
      </w:r>
      <w:bookmarkStart w:name="_RefTabN2" w:id="200"/>
      <w:r>
        <w:rPr>
          <w:rFonts w:ascii="Times New Roman" w:hAnsi="Times New Roman" w:cs="Times New Roman" w:eastAsia="Times New Roman"/>
          <w:b/>
          <w:color w:val="000000"/>
          <w:sz w:val="24"/>
        </w:rPr>
        <w:t>2</w:t>
      </w:r>
      <w:bookmarkEnd w:id="200"/>
      <w:bookmarkEnd w:id="199"/>
    </w:p>
    <w:p>
      <w:pPr>
        <w:keepNext/>
        <w:widowControl/>
        <w:spacing w:line="480" w:lineRule="auto" w:before="0" w:after="0"/>
        <w:ind w:firstLine="0" w:left="0"/>
        <w:jc w:val="left"/>
      </w:pPr>
      <w:r>
        <w:rPr>
          <w:rFonts w:ascii="Times New Roman" w:hAnsi="Times New Roman" w:cs="Times New Roman" w:eastAsia="Times New Roman"/>
          <w:b w:val="0"/>
          <w:i/>
          <w:color w:val="000000"/>
          <w:sz w:val="24"/>
        </w:rPr>
        <w:t>Literature Relevance Matrix Across Business and Technical Domains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208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Study and stream</w:t>
            </w:r>
          </w:p>
        </w:tc>
        <w:tc>
          <w:tcPr>
            <w:tcW w:type="dxa" w:w="223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Methodology and dataset</w:t>
            </w:r>
          </w:p>
        </w:tc>
        <w:tc>
          <w:tcPr>
            <w:tcW w:type="dxa" w:w="237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Key findings</w:t>
            </w:r>
          </w:p>
        </w:tc>
        <w:tc>
          <w:tcPr>
            <w:tcW w:type="dxa" w:w="266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Gap addressed in this study</w:t>
            </w:r>
          </w:p>
        </w:tc>
      </w:tr>
      <w:tr>
        <w:trPr>
          <w:cantSplit/>
        </w:trPr>
        <w:tc>
          <w:tcPr>
            <w:tcW w:type="dxa" w:w="208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Buhalis &amp; Sinarta (2019); Ivanov &amp; Webster (2019); Melián-González et al. (2021) — Travel AI business value</w:t>
            </w:r>
          </w:p>
        </w:tc>
        <w:tc>
          <w:tcPr>
            <w:tcW w:type="dxa" w:w="223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Service-automation frameworks and consumer adoption modeling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1,476) in tourism and hospitality</w:t>
            </w:r>
          </w:p>
        </w:tc>
        <w:tc>
          <w:tcPr>
            <w:tcW w:type="dxa" w:w="2376"/>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Real-time personalization and low interaction effort drive chatbot booking conversion and ROI</w:t>
            </w:r>
          </w:p>
        </w:tc>
        <w:tc>
          <w:tcPr>
            <w:tcW w:type="dxa" w:w="266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Measures perceptions via surveys rather than instrumenting turn economy, slot redundancy, or policy compliance in LLM dialogues (RQ3, RQ4)</w:t>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Jannach et al. (2021); Inaba et al. (2022) — Conversational recommenders &amp; traveler styles</w:t>
            </w:r>
          </w:p>
        </w:tc>
        <w:tc>
          <w:tcPr>
            <w:tcW w:type="dxa" w:w="223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CRS architectural taxonomy; collection and analysis of multi-turn travel agency dialogues</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Travelers differ in initiative, exploration breadth, and constraint rigidity; static policies cause repetitive turns</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Describes traveler diversity qualitatively without unsupervised archetype clustering or prefix routing (RQ1, RQ2)</w:t>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El Asri et al. (2017); Budzianowski et al. (2018); Zang et al. (2020) — Dialogue corpora</w:t>
            </w:r>
          </w:p>
        </w:tc>
        <w:tc>
          <w:tcPr>
            <w:tcW w:type="dxa" w:w="223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Microsoft Frames (1,369 package negotiations) and MultiWOZ 2.2 (10,438 multi-domain dialogues)</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Frames captures nonlinear frame-switching and budget trade-offs; MultiWOZ standardizes slot tracking</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Built for supervised state tracking; neither clusters user archetypes nor evaluates few-shot leakage or policy rules (RQ1–RQ4)</w:t>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Reimers &amp; Gurevych (2019); Lee et al. (2025); McInnes et al. (2017, 2018); Hennig (2007) — Embeddings &amp; clustering</w:t>
            </w:r>
          </w:p>
        </w:tc>
        <w:tc>
          <w:tcPr>
            <w:tcW w:type="dxa" w:w="223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Sentence-BERT (384-d), Gemini embeddings (3,072-d), HDBSCAN, UMAP, and bootstrap ARI stability</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Cosine geometry supports semantic clustering; bootstrap ARI and Silhouette quantify partition stability</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Clusters static texts rather than prefix-truncated user trajectories paired with LLM behavioral ratings (RQ1)</w:t>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Brown et al. (2020); Liu et al. (2022); Johnson et al. (2021) — In-context learning &amp; FAISS</w:t>
            </w:r>
          </w:p>
        </w:tc>
        <w:tc>
          <w:tcPr>
            <w:tcW w:type="dxa" w:w="223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Few-shot prompting; </w:t>
            </w:r>
            <w:r>
              <w:rPr>
                <w:rFonts w:ascii="Times New Roman" w:hAnsi="Times New Roman" w:cs="Times New Roman" w:eastAsia="Times New Roman"/>
                <w:b w:val="0"/>
                <w:i/>
                <w:color w:val="000000"/>
                <w:sz w:val="20"/>
              </w:rPr>
              <w:t>k</w:t>
            </w:r>
            <w:r>
              <w:rPr>
                <w:rFonts w:ascii="Times New Roman" w:hAnsi="Times New Roman" w:cs="Times New Roman" w:eastAsia="Times New Roman"/>
                <w:b w:val="0"/>
                <w:i w:val="0"/>
                <w:color w:val="000000"/>
                <w:sz w:val="20"/>
              </w:rPr>
              <w:t>-NN exemplar selection (KATE); FAISS vector indexing</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Nearest-neighbor in-context examples outperform random static examples on single-turn NLP tasks</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Retrieves from one global pool without archetype partitioning, slot masking, or style/leakage evaluation (RQ2, RQ3)</w:t>
            </w:r>
          </w:p>
        </w:tc>
      </w:tr>
      <w:tr>
        <w:trPr>
          <w:cantSplit/>
        </w:trPr>
        <w:tc>
          <w:tcPr>
            <w:tcW w:type="dxa" w:w="208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Rebedea et al. (2023); Yao et al. (2024); Acikgoz et al. (2025); Gilardi et al. (2023) — Guardrails &amp; evaluation</w:t>
            </w:r>
          </w:p>
        </w:tc>
        <w:tc>
          <w:tcPr>
            <w:tcW w:type="dxa" w:w="223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NeMo Guardrails; τ-bench policy benchmark; TD-EVAL metrics; LLM annotation reliability</w:t>
            </w:r>
          </w:p>
        </w:tc>
        <w:tc>
          <w:tcPr>
            <w:tcW w:type="dxa" w:w="2376"/>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Prompt-only LLMs violate domain rules; programmable rails and turn-level factual audits are essential</w:t>
            </w:r>
          </w:p>
        </w:tc>
        <w:tc>
          <w:tcPr>
            <w:tcW w:type="dxa" w:w="266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Does not test the 2 × 2 factorial interaction between declarative rules and cluster-adaptive style prompting (RQ3)</w:t>
            </w:r>
          </w:p>
        </w:tc>
      </w:tr>
    </w:tbl>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CRS = conversational recommender system; ARI = adjusted Rand index; FAISS = Facebook AI Similarity Search.</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Thematic Synthesis and Research Gaps</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Business context: Hospitality service automation and conversational friction.</w:t>
      </w:r>
      <w:r>
        <w:rPr>
          <w:rFonts w:ascii="Times New Roman" w:hAnsi="Times New Roman" w:cs="Times New Roman" w:eastAsia="Times New Roman"/>
          <w:b w:val="0"/>
          <w:i w:val="0"/>
          <w:color w:val="000000"/>
          <w:sz w:val="24"/>
        </w:rPr>
        <w:t xml:space="preserve"> In digital travel and hospitality commerce, competitive differentiation depends on real-time itinerary co-creation ('nowness' service; Buhalis &amp; Sinarta, 2019). Ivanov and Webster (2019) showed that automated service agents generate financial value only when they resolve consultative inquiries without human escalation, while Melián-González et al. (2021) demonstrated that consumer intention to use travel chatbots depends on interaction efficiency and task fit. Empirical studies of travel agency dialogues confirm that human consultants adapt their pacing—confirming bookings rapidly for decisive buyers while presenting side-by-side comparisons for exploratory shoppers (Inaba et al., 2022; Jannach et al., 2021).</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Task-oriented corpora and unsupervised trajectory clustering.</w:t>
      </w:r>
      <w:r>
        <w:rPr>
          <w:rFonts w:ascii="Times New Roman" w:hAnsi="Times New Roman" w:cs="Times New Roman" w:eastAsia="Times New Roman"/>
          <w:b w:val="0"/>
          <w:i w:val="0"/>
          <w:color w:val="000000"/>
          <w:sz w:val="24"/>
        </w:rPr>
        <w:t xml:space="preserve"> While MultiWOZ (Budzianowski et al., 2018) and MultiWOZ 2.2 (Zang et al., 2020) benchmark slot tracking across local services, they lack flight routing and multi-package price negotiation. Microsoft Frames (El Asri et al., 2017) directly captures multi-turn flight-and-hotel negotiation under budget constraints, making it the ideal primary corpus and MultiWOZ 2.2 an external structural comparison. Representing dialogues with Sentence-BERT (Reimers &amp; Gurevych, 2019) and Gemini embeddings (Lee et al., 2025) enables rigorous comparison of K-Means, Ward agglomerative clustering, and HDBSCAN (McInnes et al., 2017) using Silhouette (Rousseeuw, 1987), Davies–Bouldin (Davies &amp; Bouldin, 1979), bootstrap ARI stability (Hennig, 2007; Hubert &amp; Arabie, 1985), and UMAP (McInnes et al., 2018; Pedregosa et al., 2011), augmented by reliable zero-temperature LLM behavioral ratings (Gilardi et al., 2023).</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Dynamic in-context learning, neuro-symbolic guardrails, and research gaps.</w:t>
      </w:r>
      <w:r>
        <w:rPr>
          <w:rFonts w:ascii="Times New Roman" w:hAnsi="Times New Roman" w:cs="Times New Roman" w:eastAsia="Times New Roman"/>
          <w:b w:val="0"/>
          <w:i w:val="0"/>
          <w:color w:val="000000"/>
          <w:sz w:val="24"/>
        </w:rPr>
        <w:t xml:space="preserve"> Few-shot prompting (Brown et al., 2020) and similarity-based FAISS retrieval (Johnson et al., 2021; Liu et al., 2022) improve single-turn task accuracy but risk entity contamination and policy drift in multi-turn dialogues. Programmable guardrails (Rebedea et al., 2023), policy benchmarks (τ-bench; Yao et al., 2024), and turn-level evaluation frameworks (TD-EVAL and BERTScore; Acikgoz et al., 2025; Zhang et al., 2020) motivate decoupling style from policy verification. Four research gaps follow: (1) discovering early-routable travel user archetypes free of outcome confounding (RQ1); (2) testing archetype-matched, slot-masked exemplar retrieval for style convergence (RQ2); (3) isolating the 2 × 2 factorial interaction between declarative rule verification and adaptive prompting (RQ3); and (4) quantifying multi-turn turn economy and redundant elicitation reductions across traveler personas (RQ4).</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Materials and Methods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Data Sources, Access, and Ethical Governance</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This study uses two public English dialogue corpora (</w:t>
      </w:r>
      <w:r>
        <w:fldChar w:fldCharType="begin"/>
      </w:r>
      <w:r>
        <w:instrText xml:space="preserve"> REF _RefTab3 \h \* MERGEFORMAT </w:instrText>
      </w:r>
      <w:r>
        <w:fldChar w:fldCharType="separate"/>
      </w:r>
      <w:r>
        <w:rPr>
          <w:rFonts w:ascii="Times New Roman" w:hAnsi="Times New Roman" w:cs="Times New Roman" w:eastAsia="Times New Roman"/>
          <w:b w:val="0"/>
          <w:i w:val="0"/>
          <w:color w:val="000000"/>
          <w:sz w:val="24"/>
        </w:rPr>
        <w:t>Table 3</w:t>
      </w:r>
      <w:r>
        <w:fldChar w:fldCharType="end"/>
      </w:r>
      <w:r>
        <w:rPr>
          <w:rFonts w:ascii="Times New Roman" w:hAnsi="Times New Roman" w:cs="Times New Roman" w:eastAsia="Times New Roman"/>
          <w:b w:val="0"/>
          <w:i w:val="0"/>
          <w:color w:val="000000"/>
          <w:sz w:val="24"/>
        </w:rPr>
        <w:t>): Microsoft Frames (El Asri et al., 2017; 1,369 raw dialogues, 1,334 analytic) and MultiWOZ 2.2 (Zang et al., 2020; seeded sample of 1,500 travel dialogues, 1,499 analytic). Both datasets were collected with research consent, use anonymized role-player IDs, and contain no personally identifiable information.</w:t>
      </w:r>
    </w:p>
    <w:p>
      <w:pPr>
        <w:keepNext/>
        <w:widowControl/>
        <w:spacing w:line="480" w:lineRule="auto" w:before="120" w:after="0"/>
        <w:ind w:firstLine="0" w:left="0"/>
        <w:jc w:val="left"/>
      </w:pPr>
      <w:bookmarkStart w:name="_RefTab3" w:id="201"/>
      <w:r>
        <w:rPr>
          <w:rFonts w:ascii="Times New Roman" w:hAnsi="Times New Roman" w:cs="Times New Roman" w:eastAsia="Times New Roman"/>
          <w:b/>
          <w:color w:val="000000"/>
          <w:sz w:val="24"/>
        </w:rPr>
        <w:t xml:space="preserve">Table </w:t>
      </w:r>
      <w:bookmarkStart w:name="_RefTabN3" w:id="202"/>
      <w:r>
        <w:rPr>
          <w:rFonts w:ascii="Times New Roman" w:hAnsi="Times New Roman" w:cs="Times New Roman" w:eastAsia="Times New Roman"/>
          <w:b/>
          <w:color w:val="000000"/>
          <w:sz w:val="24"/>
        </w:rPr>
        <w:t>3</w:t>
      </w:r>
      <w:bookmarkEnd w:id="202"/>
      <w:bookmarkEnd w:id="201"/>
    </w:p>
    <w:p>
      <w:pPr>
        <w:keepNext/>
        <w:widowControl/>
        <w:spacing w:line="480" w:lineRule="auto" w:before="0" w:after="0"/>
        <w:ind w:firstLine="0" w:left="0"/>
        <w:jc w:val="left"/>
      </w:pPr>
      <w:r>
        <w:rPr>
          <w:rFonts w:ascii="Times New Roman" w:hAnsi="Times New Roman" w:cs="Times New Roman" w:eastAsia="Times New Roman"/>
          <w:b w:val="0"/>
          <w:i/>
          <w:color w:val="000000"/>
          <w:sz w:val="24"/>
        </w:rPr>
        <w:t>Dataset Overview</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3120"/>
        <w:gridCol w:w="3120"/>
        <w:gridCol w:w="3120"/>
      </w:tblGrid>
      <w:tr>
        <w:trPr>
          <w:cantSplit/>
          <w:tblHeader/>
        </w:trPr>
        <w:tc>
          <w:tcPr>
            <w:tcW w:type="dxa" w:w="187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Attribute</w:t>
            </w:r>
          </w:p>
        </w:tc>
        <w:tc>
          <w:tcPr>
            <w:tcW w:type="dxa" w:w="396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Microsoft Frames (primary corpus)</w:t>
            </w:r>
          </w:p>
        </w:tc>
        <w:tc>
          <w:tcPr>
            <w:tcW w:type="dxa" w:w="352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MultiWOZ 2.2 (comparison corpus)</w:t>
            </w:r>
          </w:p>
        </w:tc>
      </w:tr>
      <w:tr>
        <w:trPr>
          <w:cantSplit/>
        </w:trPr>
        <w:tc>
          <w:tcPr>
            <w:tcW w:type="dxa" w:w="187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Records</w:t>
            </w:r>
          </w:p>
        </w:tc>
        <w:tc>
          <w:tcPr>
            <w:tcW w:type="dxa" w:w="396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1,369 raw; 1,334 analytic (golden </w:t>
            </w:r>
            <w:r>
              <w:rPr>
                <w:rFonts w:ascii="Times New Roman" w:hAnsi="Times New Roman" w:cs="Times New Roman" w:eastAsia="Times New Roman"/>
                <w:b w:val="0"/>
                <w:i/>
                <w:color w:val="000000"/>
                <w:sz w:val="20"/>
              </w:rPr>
              <w:t>D</w:t>
            </w:r>
            <w:r>
              <w:rPr>
                <w:rFonts w:ascii="Times New Roman" w:hAnsi="Times New Roman" w:cs="Times New Roman" w:eastAsia="Times New Roman"/>
                <w:b w:val="0"/>
                <w:i w:val="0"/>
                <w:color w:val="000000"/>
                <w:sz w:val="20"/>
                <w:vertAlign w:val="subscript"/>
              </w:rPr>
              <w:t>gold</w:t>
            </w:r>
            <w:r>
              <w:rPr>
                <w:rFonts w:ascii="Times New Roman" w:hAnsi="Times New Roman" w:cs="Times New Roman" w:eastAsia="Times New Roman"/>
                <w:b w:val="0"/>
                <w:i w:val="0"/>
                <w:color w:val="000000"/>
                <w:sz w:val="20"/>
              </w:rPr>
              <w:t xml:space="preserve"> = 933, held-out </w:t>
            </w:r>
            <w:r>
              <w:rPr>
                <w:rFonts w:ascii="Times New Roman" w:hAnsi="Times New Roman" w:cs="Times New Roman" w:eastAsia="Times New Roman"/>
                <w:b w:val="0"/>
                <w:i/>
                <w:color w:val="000000"/>
                <w:sz w:val="20"/>
              </w:rPr>
              <w:t>D</w:t>
            </w:r>
            <w:r>
              <w:rPr>
                <w:rFonts w:ascii="Times New Roman" w:hAnsi="Times New Roman" w:cs="Times New Roman" w:eastAsia="Times New Roman"/>
                <w:b w:val="0"/>
                <w:i w:val="0"/>
                <w:color w:val="000000"/>
                <w:sz w:val="20"/>
                <w:vertAlign w:val="subscript"/>
              </w:rPr>
              <w:t>test</w:t>
            </w:r>
            <w:r>
              <w:rPr>
                <w:rFonts w:ascii="Times New Roman" w:hAnsi="Times New Roman" w:cs="Times New Roman" w:eastAsia="Times New Roman"/>
                <w:b w:val="0"/>
                <w:i w:val="0"/>
                <w:color w:val="000000"/>
                <w:sz w:val="20"/>
              </w:rPr>
              <w:t xml:space="preserve"> = 401)</w:t>
            </w:r>
          </w:p>
        </w:tc>
        <w:tc>
          <w:tcPr>
            <w:tcW w:type="dxa" w:w="352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10,438 raw; travel sample of 1,500; 1,499 analytic</w:t>
            </w:r>
          </w:p>
        </w:tc>
      </w:tr>
      <w:tr>
        <w:trPr>
          <w:cantSplit/>
        </w:trPr>
        <w:tc>
          <w:tcPr>
            <w:tcW w:type="dxa" w:w="18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Domain setting</w:t>
            </w:r>
          </w:p>
        </w:tc>
        <w:tc>
          <w:tcPr>
            <w:tcW w:type="dxa" w:w="396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Multi-turn flight + hotel package negotiation under budget and date constraints</w:t>
            </w:r>
          </w:p>
        </w:tc>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Multi-domain city services (hotel, train, taxi, attraction) without flights</w:t>
            </w:r>
          </w:p>
        </w:tc>
      </w:tr>
      <w:tr>
        <w:trPr>
          <w:cantSplit/>
        </w:trPr>
        <w:tc>
          <w:tcPr>
            <w:tcW w:type="dxa" w:w="18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Annotations used</w:t>
            </w:r>
          </w:p>
        </w:tc>
        <w:tc>
          <w:tcPr>
            <w:tcW w:type="dxa" w:w="396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Utterance text, speaker, dialogue acts, slot–value arguments, wizard task success, user rating</w:t>
            </w:r>
          </w:p>
        </w:tc>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Utterance text, speaker, active services, turn-level slot state dictionaries</w:t>
            </w:r>
          </w:p>
        </w:tc>
      </w:tr>
      <w:tr>
        <w:trPr>
          <w:cantSplit/>
        </w:trPr>
        <w:tc>
          <w:tcPr>
            <w:tcW w:type="dxa" w:w="18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Analytical role</w:t>
            </w:r>
          </w:p>
        </w:tc>
        <w:tc>
          <w:tcPr>
            <w:tcW w:type="dxa" w:w="396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RQ1 clustering &amp; refined archetypes, RQ2 prompting, RQ3 2×2 experiment, RQ4 2×3 simulation</w:t>
            </w:r>
          </w:p>
        </w:tc>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External descriptive comparison in EDA and cross-corpus projection check in RQ1</w:t>
            </w:r>
          </w:p>
        </w:tc>
      </w:tr>
    </w:tbl>
    <w:p>
      <w:pPr>
        <w:keepNext w:val="0"/>
        <w:widowControl/>
        <w:spacing w:line="240" w:lineRule="auto" w:before="0" w:after="80"/>
        <w:ind w:firstLine="0" w:left="0"/>
        <w:jc w:val="left"/>
      </w:pP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Data Dictionary and Data Cleaning</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Both corpora were normalized into a two-tier Pydantic schema (</w:t>
      </w:r>
      <w:r>
        <w:rPr>
          <w:rFonts w:ascii="Times New Roman" w:hAnsi="Times New Roman" w:cs="Times New Roman" w:eastAsia="Times New Roman"/>
          <w:b w:val="0"/>
          <w:i/>
          <w:color w:val="000000"/>
          <w:sz w:val="24"/>
        </w:rPr>
        <w:t>src/canonical_schema.py</w:t>
      </w:r>
      <w:r>
        <w:rPr>
          <w:rFonts w:ascii="Times New Roman" w:hAnsi="Times New Roman" w:cs="Times New Roman" w:eastAsia="Times New Roman"/>
          <w:b w:val="0"/>
          <w:i w:val="0"/>
          <w:color w:val="000000"/>
          <w:sz w:val="24"/>
        </w:rPr>
        <w:t xml:space="preserve">): Tier 1 stores nine universal travel slots (origin, destination, departure/return dates, duration in nights, adults, children, budget in USD, and hotel tier), and Tier 2 stores five policy slots evaluated by the rule engine (visa window in days, passport validity in months, package type, room sharing, and discount percentage). </w:t>
      </w:r>
      <w:r>
        <w:fldChar w:fldCharType="begin"/>
      </w:r>
      <w:r>
        <w:instrText xml:space="preserve"> REF _RefTab4 \h \* MERGEFORMAT </w:instrText>
      </w:r>
      <w:r>
        <w:fldChar w:fldCharType="separate"/>
      </w:r>
      <w:r>
        <w:rPr>
          <w:rFonts w:ascii="Times New Roman" w:hAnsi="Times New Roman" w:cs="Times New Roman" w:eastAsia="Times New Roman"/>
          <w:b w:val="0"/>
          <w:i w:val="0"/>
          <w:color w:val="000000"/>
          <w:sz w:val="24"/>
        </w:rPr>
        <w:t>Table 4</w:t>
      </w:r>
      <w:r>
        <w:fldChar w:fldCharType="end"/>
      </w:r>
      <w:r>
        <w:rPr>
          <w:rFonts w:ascii="Times New Roman" w:hAnsi="Times New Roman" w:cs="Times New Roman" w:eastAsia="Times New Roman"/>
          <w:b w:val="0"/>
          <w:i w:val="0"/>
          <w:color w:val="000000"/>
          <w:sz w:val="24"/>
        </w:rPr>
        <w:t xml:space="preserve"> defines the analytical variables and units (raw source fields and canonical schema fields are listed in Appendix A, </w:t>
      </w:r>
      <w:r>
        <w:fldChar w:fldCharType="begin"/>
      </w:r>
      <w:r>
        <w:instrText xml:space="preserve"> REF _RefTabA3 \h \* MERGEFORMAT </w:instrText>
      </w:r>
      <w:r>
        <w:fldChar w:fldCharType="separate"/>
      </w:r>
      <w:r>
        <w:rPr>
          <w:rFonts w:ascii="Times New Roman" w:hAnsi="Times New Roman" w:cs="Times New Roman" w:eastAsia="Times New Roman"/>
          <w:b w:val="0"/>
          <w:i w:val="0"/>
          <w:color w:val="000000"/>
          <w:sz w:val="24"/>
        </w:rPr>
        <w:t>Table A3</w:t>
      </w:r>
      <w:r>
        <w:fldChar w:fldCharType="end"/>
      </w:r>
      <w:r>
        <w:rPr>
          <w:rFonts w:ascii="Times New Roman" w:hAnsi="Times New Roman" w:cs="Times New Roman" w:eastAsia="Times New Roman"/>
          <w:b w:val="0"/>
          <w:i w:val="0"/>
          <w:color w:val="000000"/>
          <w:sz w:val="24"/>
        </w:rPr>
        <w:t xml:space="preserve">). </w:t>
      </w:r>
      <w:r>
        <w:fldChar w:fldCharType="begin"/>
      </w:r>
      <w:r>
        <w:instrText xml:space="preserve"> REF _RefTab5 \h \* MERGEFORMAT </w:instrText>
      </w:r>
      <w:r>
        <w:fldChar w:fldCharType="separate"/>
      </w:r>
      <w:r>
        <w:rPr>
          <w:rFonts w:ascii="Times New Roman" w:hAnsi="Times New Roman" w:cs="Times New Roman" w:eastAsia="Times New Roman"/>
          <w:b w:val="0"/>
          <w:i w:val="0"/>
          <w:color w:val="000000"/>
          <w:sz w:val="24"/>
        </w:rPr>
        <w:t>Table 5</w:t>
      </w:r>
      <w:r>
        <w:fldChar w:fldCharType="end"/>
      </w:r>
      <w:r>
        <w:rPr>
          <w:rFonts w:ascii="Times New Roman" w:hAnsi="Times New Roman" w:cs="Times New Roman" w:eastAsia="Times New Roman"/>
          <w:b w:val="0"/>
          <w:i w:val="0"/>
          <w:color w:val="000000"/>
          <w:sz w:val="24"/>
        </w:rPr>
        <w:t xml:space="preserve"> documents the programmatic quality audit and cleaning log. To prevent data leakage, the 1,334 analytic Frames dialogues were split once (seed 42, stratified on task success) into a 70% golden discovery partition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vertAlign w:val="subscript"/>
        </w:rPr>
        <w:t>gold</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933) used to fit clusters, PCA transformations, routers, and FAISS indices, and a 30% held-out test partition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vertAlign w:val="subscript"/>
        </w:rPr>
        <w:t>test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401) used strictly for out-of-sample evaluation.</w:t>
      </w:r>
    </w:p>
    <w:p>
      <w:pPr>
        <w:keepNext/>
        <w:widowControl/>
        <w:spacing w:line="480" w:lineRule="auto" w:before="120" w:after="0"/>
        <w:ind w:firstLine="0" w:left="0"/>
        <w:jc w:val="left"/>
      </w:pPr>
      <w:bookmarkStart w:name="_RefTab4" w:id="203"/>
      <w:r>
        <w:rPr>
          <w:rFonts w:ascii="Times New Roman" w:hAnsi="Times New Roman" w:cs="Times New Roman" w:eastAsia="Times New Roman"/>
          <w:b/>
          <w:color w:val="000000"/>
          <w:sz w:val="24"/>
        </w:rPr>
        <w:t xml:space="preserve">Table </w:t>
      </w:r>
      <w:bookmarkStart w:name="_RefTabN4" w:id="204"/>
      <w:r>
        <w:rPr>
          <w:rFonts w:ascii="Times New Roman" w:hAnsi="Times New Roman" w:cs="Times New Roman" w:eastAsia="Times New Roman"/>
          <w:b/>
          <w:color w:val="000000"/>
          <w:sz w:val="24"/>
        </w:rPr>
        <w:t>4</w:t>
      </w:r>
      <w:bookmarkEnd w:id="204"/>
      <w:bookmarkEnd w:id="203"/>
    </w:p>
    <w:p>
      <w:pPr>
        <w:keepNext/>
        <w:widowControl/>
        <w:spacing w:line="480" w:lineRule="auto" w:before="0" w:after="0"/>
        <w:ind w:firstLine="0" w:left="0"/>
        <w:jc w:val="left"/>
      </w:pPr>
      <w:r>
        <w:rPr>
          <w:rFonts w:ascii="Times New Roman" w:hAnsi="Times New Roman" w:cs="Times New Roman" w:eastAsia="Times New Roman"/>
          <w:b w:val="0"/>
          <w:i/>
          <w:color w:val="000000"/>
          <w:sz w:val="24"/>
        </w:rPr>
        <w:t>Data Dictionary of Analytical Variables With Units and Operational Definitions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72"/>
        <w:gridCol w:w="1872"/>
        <w:gridCol w:w="1872"/>
        <w:gridCol w:w="1872"/>
        <w:gridCol w:w="1872"/>
      </w:tblGrid>
      <w:tr>
        <w:trPr>
          <w:cantSplit/>
          <w:tblHeader/>
        </w:trPr>
        <w:tc>
          <w:tcPr>
            <w:tcW w:type="dxa" w:w="216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Variable</w:t>
            </w:r>
          </w:p>
        </w:tc>
        <w:tc>
          <w:tcPr>
            <w:tcW w:type="dxa" w:w="122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Role</w:t>
            </w:r>
          </w:p>
        </w:tc>
        <w:tc>
          <w:tcPr>
            <w:tcW w:type="dxa" w:w="172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Type and unit</w:t>
            </w:r>
          </w:p>
        </w:tc>
        <w:tc>
          <w:tcPr>
            <w:tcW w:type="dxa" w:w="352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Operational definition and scale</w:t>
            </w:r>
          </w:p>
        </w:tc>
        <w:tc>
          <w:tcPr>
            <w:tcW w:type="dxa" w:w="72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RQ</w:t>
            </w:r>
          </w:p>
        </w:tc>
      </w:tr>
      <w:tr>
        <w:trPr>
          <w:cantSplit/>
        </w:trPr>
        <w:tc>
          <w:tcPr>
            <w:tcW w:type="dxa" w:w="216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Clustering algorithm</w:t>
            </w:r>
          </w:p>
        </w:tc>
        <w:tc>
          <w:tcPr>
            <w:tcW w:type="dxa" w:w="122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Primary IV</w:t>
            </w:r>
          </w:p>
        </w:tc>
        <w:tc>
          <w:tcPr>
            <w:tcW w:type="dxa" w:w="172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Categorical (3 levels)</w:t>
            </w:r>
          </w:p>
        </w:tc>
        <w:tc>
          <w:tcPr>
            <w:tcW w:type="dxa" w:w="352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K-Means (</w:t>
            </w:r>
            <w:r>
              <w:rPr>
                <w:rFonts w:ascii="Times New Roman" w:hAnsi="Times New Roman" w:cs="Times New Roman" w:eastAsia="Times New Roman"/>
                <w:b w:val="0"/>
                <w:i/>
                <w:color w:val="000000"/>
                <w:sz w:val="20"/>
              </w:rPr>
              <w:t>k</w:t>
            </w:r>
            <w:r>
              <w:rPr>
                <w:rFonts w:ascii="Times New Roman" w:hAnsi="Times New Roman" w:cs="Times New Roman" w:eastAsia="Times New Roman"/>
                <w:b w:val="0"/>
                <w:i w:val="0"/>
                <w:color w:val="000000"/>
                <w:sz w:val="20"/>
              </w:rPr>
              <w:t>=3), Ward agglomerative (</w:t>
            </w:r>
            <w:r>
              <w:rPr>
                <w:rFonts w:ascii="Times New Roman" w:hAnsi="Times New Roman" w:cs="Times New Roman" w:eastAsia="Times New Roman"/>
                <w:b w:val="0"/>
                <w:i/>
                <w:color w:val="000000"/>
                <w:sz w:val="20"/>
              </w:rPr>
              <w:t>k</w:t>
            </w:r>
            <w:r>
              <w:rPr>
                <w:rFonts w:ascii="Times New Roman" w:hAnsi="Times New Roman" w:cs="Times New Roman" w:eastAsia="Times New Roman"/>
                <w:b w:val="0"/>
                <w:i w:val="0"/>
                <w:color w:val="000000"/>
                <w:sz w:val="20"/>
              </w:rPr>
              <w:t>=3), HDBSCAN</w:t>
            </w:r>
          </w:p>
        </w:tc>
        <w:tc>
          <w:tcPr>
            <w:tcW w:type="dxa" w:w="72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w:t>
            </w:r>
          </w:p>
        </w:tc>
      </w:tr>
      <w:tr>
        <w:trPr>
          <w:cantSplit/>
        </w:trPr>
        <w:tc>
          <w:tcPr>
            <w:tcW w:type="dxa" w:w="216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Silhouette &amp; Davies–Bouldin</w:t>
            </w:r>
          </w:p>
        </w:tc>
        <w:tc>
          <w:tcPr>
            <w:tcW w:type="dxa" w:w="12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Primary/Sec. DV</w:t>
            </w:r>
          </w:p>
        </w:tc>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Continuous (unitless / ratio)</w:t>
            </w:r>
          </w:p>
        </w:tc>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Cosine Silhouette [−1, 1] and cluster scatter ratio (≥ 0)</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w:t>
            </w:r>
          </w:p>
        </w:tc>
      </w:tr>
      <w:tr>
        <w:trPr>
          <w:cantSplit/>
        </w:trPr>
        <w:tc>
          <w:tcPr>
            <w:tcW w:type="dxa" w:w="216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Adjusted Rand index (ARI)</w:t>
            </w:r>
          </w:p>
        </w:tc>
        <w:tc>
          <w:tcPr>
            <w:tcW w:type="dxa" w:w="12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Diagnostic DV</w:t>
            </w:r>
          </w:p>
        </w:tc>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Continuous [−1, 1] (unitless)</w:t>
            </w:r>
          </w:p>
        </w:tc>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Chance-corrected partition stability across 80% subsamples</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w:t>
            </w:r>
          </w:p>
        </w:tc>
      </w:tr>
      <w:tr>
        <w:trPr>
          <w:cantSplit/>
        </w:trPr>
        <w:tc>
          <w:tcPr>
            <w:tcW w:type="dxa" w:w="216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LLM behavioral profile (16 fields)</w:t>
            </w:r>
          </w:p>
        </w:tc>
        <w:tc>
          <w:tcPr>
            <w:tcW w:type="dxa" w:w="12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Clustering / Audit</w:t>
            </w:r>
          </w:p>
        </w:tc>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10 ordinal (1–5) + 6 cat./bool.</w:t>
            </w:r>
          </w:p>
        </w:tc>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10 Likert scales + 3 goal/tone clustering fields + 3 audit fields (</w:t>
            </w:r>
            <w:r>
              <w:fldChar w:fldCharType="begin"/>
            </w:r>
            <w:r>
              <w:instrText xml:space="preserve"> REF _RefTabC1 \h \* MERGEFORMAT </w:instrText>
            </w:r>
            <w:r>
              <w:fldChar w:fldCharType="separate"/>
            </w:r>
            <w:r>
              <w:rPr>
                <w:rFonts w:ascii="Times New Roman" w:hAnsi="Times New Roman" w:cs="Times New Roman" w:eastAsia="Times New Roman"/>
                <w:b w:val="0"/>
                <w:i w:val="0"/>
                <w:color w:val="000000"/>
                <w:sz w:val="20"/>
              </w:rPr>
              <w:t>Table C1</w:t>
            </w:r>
            <w:r>
              <w:fldChar w:fldCharType="end"/>
            </w:r>
            <w:r>
              <w:rPr>
                <w:rFonts w:ascii="Times New Roman" w:hAnsi="Times New Roman" w:cs="Times New Roman" w:eastAsia="Times New Roman"/>
                <w:b w:val="0"/>
                <w:i w:val="0"/>
                <w:color w:val="000000"/>
                <w:sz w:val="20"/>
              </w:rPr>
              <w:t>)</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1, 4</w:t>
            </w:r>
          </w:p>
        </w:tc>
      </w:tr>
      <w:tr>
        <w:trPr>
          <w:cantSplit/>
        </w:trPr>
        <w:tc>
          <w:tcPr>
            <w:tcW w:type="dxa" w:w="216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user archetype</w:t>
            </w:r>
          </w:p>
        </w:tc>
        <w:tc>
          <w:tcPr>
            <w:tcW w:type="dxa" w:w="12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IV / Moderator</w:t>
            </w:r>
          </w:p>
        </w:tc>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Categorical (3 levels)</w:t>
            </w:r>
          </w:p>
        </w:tc>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color w:val="000000"/>
                <w:sz w:val="20"/>
              </w:rPr>
              <w:t>Decisive Booker</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Open Explorer</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Rigid-Constraint Seeker</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w:t>
            </w:r>
          </w:p>
        </w:tc>
      </w:tr>
      <w:tr>
        <w:trPr>
          <w:cantSplit/>
        </w:trPr>
        <w:tc>
          <w:tcPr>
            <w:tcW w:type="dxa" w:w="216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Prompting strategy</w:t>
            </w:r>
          </w:p>
        </w:tc>
        <w:tc>
          <w:tcPr>
            <w:tcW w:type="dxa" w:w="12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Primary IV</w:t>
            </w:r>
          </w:p>
        </w:tc>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Categorical (2 or 3 levels)</w:t>
            </w:r>
          </w:p>
        </w:tc>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Zero-Shot, Static Few-Shot (</w:t>
            </w:r>
            <w:r>
              <w:rPr>
                <w:rFonts w:ascii="Times New Roman" w:hAnsi="Times New Roman" w:cs="Times New Roman" w:eastAsia="Times New Roman"/>
                <w:b w:val="0"/>
                <w:i/>
                <w:color w:val="000000"/>
                <w:sz w:val="20"/>
              </w:rPr>
              <w:t>k</w:t>
            </w:r>
            <w:r>
              <w:rPr>
                <w:rFonts w:ascii="Times New Roman" w:hAnsi="Times New Roman" w:cs="Times New Roman" w:eastAsia="Times New Roman"/>
                <w:b w:val="0"/>
                <w:i w:val="0"/>
                <w:color w:val="000000"/>
                <w:sz w:val="20"/>
              </w:rPr>
              <w:t>=3), Cluster-Adaptive Few-Shot (</w:t>
            </w:r>
            <w:r>
              <w:rPr>
                <w:rFonts w:ascii="Times New Roman" w:hAnsi="Times New Roman" w:cs="Times New Roman" w:eastAsia="Times New Roman"/>
                <w:b w:val="0"/>
                <w:i/>
                <w:color w:val="000000"/>
                <w:sz w:val="20"/>
              </w:rPr>
              <w:t>k</w:t>
            </w:r>
            <w:r>
              <w:rPr>
                <w:rFonts w:ascii="Times New Roman" w:hAnsi="Times New Roman" w:cs="Times New Roman" w:eastAsia="Times New Roman"/>
                <w:b w:val="0"/>
                <w:i w:val="0"/>
                <w:color w:val="000000"/>
                <w:sz w:val="20"/>
              </w:rPr>
              <w:t>=3)</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2–4</w:t>
            </w:r>
          </w:p>
        </w:tc>
      </w:tr>
      <w:tr>
        <w:trPr>
          <w:cantSplit/>
        </w:trPr>
        <w:tc>
          <w:tcPr>
            <w:tcW w:type="dxa" w:w="216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Style convergence &amp; Pacing err.</w:t>
            </w:r>
          </w:p>
        </w:tc>
        <w:tc>
          <w:tcPr>
            <w:tcW w:type="dxa" w:w="12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Primary/Sec. DV</w:t>
            </w:r>
          </w:p>
        </w:tc>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Cosine [−1, 1] / Words (count)</w:t>
            </w:r>
          </w:p>
        </w:tc>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Cosine to target archetype agent centroid; |words</w:t>
            </w:r>
            <w:r>
              <w:rPr>
                <w:rFonts w:ascii="Times New Roman" w:hAnsi="Times New Roman" w:cs="Times New Roman" w:eastAsia="Times New Roman"/>
                <w:b w:val="0"/>
                <w:i w:val="0"/>
                <w:color w:val="000000"/>
                <w:sz w:val="20"/>
                <w:vertAlign w:val="subscript"/>
              </w:rPr>
              <w:t>gen</w:t>
            </w:r>
            <w:r>
              <w:rPr>
                <w:rFonts w:ascii="Times New Roman" w:hAnsi="Times New Roman" w:cs="Times New Roman" w:eastAsia="Times New Roman"/>
                <w:b w:val="0"/>
                <w:i w:val="0"/>
                <w:color w:val="000000"/>
                <w:sz w:val="20"/>
              </w:rPr>
              <w:t xml:space="preserve"> − μ</w:t>
            </w:r>
            <w:r>
              <w:rPr>
                <w:rFonts w:ascii="Times New Roman" w:hAnsi="Times New Roman" w:cs="Times New Roman" w:eastAsia="Times New Roman"/>
                <w:b w:val="0"/>
                <w:i w:val="0"/>
                <w:color w:val="000000"/>
                <w:sz w:val="20"/>
                <w:vertAlign w:val="subscript"/>
              </w:rPr>
              <w:t>words,</w:t>
            </w:r>
            <w:r>
              <w:rPr>
                <w:rFonts w:ascii="Times New Roman" w:hAnsi="Times New Roman" w:cs="Times New Roman" w:eastAsia="Times New Roman"/>
                <w:b w:val="0"/>
                <w:i/>
                <w:color w:val="000000"/>
                <w:sz w:val="20"/>
                <w:vertAlign w:val="subscript"/>
              </w:rPr>
              <w:t>a</w:t>
            </w:r>
            <w:r>
              <w:rPr>
                <w:rFonts w:ascii="Times New Roman" w:hAnsi="Times New Roman" w:cs="Times New Roman" w:eastAsia="Times New Roman"/>
                <w:b w:val="0"/>
                <w:i w:val="0"/>
                <w:color w:val="000000"/>
                <w:sz w:val="20"/>
              </w:rPr>
              <w:t>|</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2, 3</w:t>
            </w:r>
          </w:p>
        </w:tc>
      </w:tr>
      <w:tr>
        <w:trPr>
          <w:cantSplit/>
        </w:trPr>
        <w:tc>
          <w:tcPr>
            <w:tcW w:type="dxa" w:w="216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Rule-engine mode</w:t>
            </w:r>
          </w:p>
        </w:tc>
        <w:tc>
          <w:tcPr>
            <w:tcW w:type="dxa" w:w="12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Primary IV</w:t>
            </w:r>
          </w:p>
        </w:tc>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Binary (2 levels)</w:t>
            </w:r>
          </w:p>
        </w:tc>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Rules Off (unguarded) vs. Rules Active (pre-check + verification)</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w:t>
            </w:r>
          </w:p>
        </w:tc>
      </w:tr>
      <w:tr>
        <w:trPr>
          <w:cantSplit/>
        </w:trPr>
        <w:tc>
          <w:tcPr>
            <w:tcW w:type="dxa" w:w="216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Rule adherence rate (RAR)</w:t>
            </w:r>
          </w:p>
        </w:tc>
        <w:tc>
          <w:tcPr>
            <w:tcW w:type="dxa" w:w="12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Primary DV</w:t>
            </w:r>
          </w:p>
        </w:tc>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Proportion [0, 1] (rate)</w:t>
            </w:r>
          </w:p>
        </w:tc>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Share of violated policy rules enforced (and compliant states unblocked)</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w:t>
            </w:r>
          </w:p>
        </w:tc>
      </w:tr>
      <w:tr>
        <w:trPr>
          <w:cantSplit/>
        </w:trPr>
        <w:tc>
          <w:tcPr>
            <w:tcW w:type="dxa" w:w="216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Exemplar leakage rate (ELR)</w:t>
            </w:r>
          </w:p>
        </w:tc>
        <w:tc>
          <w:tcPr>
            <w:tcW w:type="dxa" w:w="12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Primary DV</w:t>
            </w:r>
          </w:p>
        </w:tc>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Proportion [0, 1] (rate)</w:t>
            </w:r>
          </w:p>
        </w:tc>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Share of response entities originating from prompt exemplars</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w:t>
            </w:r>
          </w:p>
        </w:tc>
      </w:tr>
      <w:tr>
        <w:trPr>
          <w:cantSplit/>
        </w:trPr>
        <w:tc>
          <w:tcPr>
            <w:tcW w:type="dxa" w:w="216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Factual slot coverage F</w:t>
            </w:r>
            <w:r>
              <w:rPr>
                <w:rFonts w:ascii="Times New Roman" w:hAnsi="Times New Roman" w:cs="Times New Roman" w:eastAsia="Times New Roman"/>
                <w:b w:val="0"/>
                <w:i w:val="0"/>
                <w:color w:val="000000"/>
                <w:sz w:val="20"/>
                <w:vertAlign w:val="subscript"/>
              </w:rPr>
              <w:t>1</w:t>
            </w:r>
          </w:p>
        </w:tc>
        <w:tc>
          <w:tcPr>
            <w:tcW w:type="dxa" w:w="12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Primary DV</w:t>
            </w:r>
          </w:p>
        </w:tc>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Proportion [0, 1] (F</w:t>
            </w:r>
            <w:r>
              <w:rPr>
                <w:rFonts w:ascii="Times New Roman" w:hAnsi="Times New Roman" w:cs="Times New Roman" w:eastAsia="Times New Roman"/>
                <w:b w:val="0"/>
                <w:i w:val="0"/>
                <w:color w:val="000000"/>
                <w:sz w:val="20"/>
                <w:vertAlign w:val="subscript"/>
              </w:rPr>
              <w:t>1</w:t>
            </w:r>
            <w:r>
              <w:rPr>
                <w:rFonts w:ascii="Times New Roman" w:hAnsi="Times New Roman" w:cs="Times New Roman" w:eastAsia="Times New Roman"/>
                <w:b w:val="0"/>
                <w:i w:val="0"/>
                <w:color w:val="000000"/>
                <w:sz w:val="20"/>
              </w:rPr>
              <w:t xml:space="preserve"> score)</w:t>
            </w:r>
          </w:p>
        </w:tc>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Harmonic mean of precision and recall over active booking state slots</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w:t>
            </w:r>
          </w:p>
        </w:tc>
      </w:tr>
      <w:tr>
        <w:trPr>
          <w:cantSplit/>
        </w:trPr>
        <w:tc>
          <w:tcPr>
            <w:tcW w:type="dxa" w:w="216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Turns to goal (log) &amp; RER</w:t>
            </w:r>
          </w:p>
        </w:tc>
        <w:tc>
          <w:tcPr>
            <w:tcW w:type="dxa" w:w="122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Primary/Sec. DV</w:t>
            </w:r>
          </w:p>
        </w:tc>
        <w:tc>
          <w:tcPr>
            <w:tcW w:type="dxa" w:w="172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Log count (ln turns) / Rate [0, 1]</w:t>
            </w:r>
          </w:p>
        </w:tc>
        <w:tc>
          <w:tcPr>
            <w:tcW w:type="dxa" w:w="352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Log turns until [ACCEPT_BOOKING]; redundant slot requests / agent turns</w:t>
            </w:r>
          </w:p>
        </w:tc>
        <w:tc>
          <w:tcPr>
            <w:tcW w:type="dxa" w:w="72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4</w:t>
            </w:r>
          </w:p>
        </w:tc>
      </w:tr>
    </w:tbl>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IV = independent variable; DV = dependent variable; RER = redundant elicitation rate. Raw and canonical fields are in </w:t>
      </w:r>
      <w:r>
        <w:fldChar w:fldCharType="begin"/>
      </w:r>
      <w:r>
        <w:instrText xml:space="preserve"> REF _RefTabA3 \h \* MERGEFORMAT </w:instrText>
      </w:r>
      <w:r>
        <w:fldChar w:fldCharType="separate"/>
      </w:r>
      <w:r>
        <w:rPr>
          <w:rFonts w:ascii="Times New Roman" w:hAnsi="Times New Roman" w:cs="Times New Roman" w:eastAsia="Times New Roman"/>
          <w:b w:val="0"/>
          <w:i w:val="0"/>
          <w:color w:val="000000"/>
          <w:sz w:val="24"/>
        </w:rPr>
        <w:t>Table A3</w:t>
      </w:r>
      <w:r>
        <w:fldChar w:fldCharType="end"/>
      </w:r>
      <w:r>
        <w:rPr>
          <w:rFonts w:ascii="Times New Roman" w:hAnsi="Times New Roman" w:cs="Times New Roman" w:eastAsia="Times New Roman"/>
          <w:b w:val="0"/>
          <w:i w:val="0"/>
          <w:color w:val="000000"/>
          <w:sz w:val="24"/>
        </w:rPr>
        <w:t>.</w:t>
      </w:r>
    </w:p>
    <w:p>
      <w:pPr>
        <w:keepNext/>
        <w:widowControl/>
        <w:spacing w:line="480" w:lineRule="auto" w:before="120" w:after="0"/>
        <w:ind w:firstLine="0" w:left="0"/>
        <w:jc w:val="left"/>
      </w:pPr>
      <w:bookmarkStart w:name="_RefTab5" w:id="205"/>
      <w:r>
        <w:rPr>
          <w:rFonts w:ascii="Times New Roman" w:hAnsi="Times New Roman" w:cs="Times New Roman" w:eastAsia="Times New Roman"/>
          <w:b/>
          <w:color w:val="000000"/>
          <w:sz w:val="24"/>
        </w:rPr>
        <w:t xml:space="preserve">Table </w:t>
      </w:r>
      <w:bookmarkStart w:name="_RefTabN5" w:id="206"/>
      <w:r>
        <w:rPr>
          <w:rFonts w:ascii="Times New Roman" w:hAnsi="Times New Roman" w:cs="Times New Roman" w:eastAsia="Times New Roman"/>
          <w:b/>
          <w:color w:val="000000"/>
          <w:sz w:val="24"/>
        </w:rPr>
        <w:t>5</w:t>
      </w:r>
      <w:bookmarkEnd w:id="206"/>
      <w:bookmarkEnd w:id="205"/>
    </w:p>
    <w:p>
      <w:pPr>
        <w:keepNext/>
        <w:widowControl/>
        <w:spacing w:line="480" w:lineRule="auto" w:before="0" w:after="0"/>
        <w:ind w:firstLine="0" w:left="0"/>
        <w:jc w:val="left"/>
      </w:pPr>
      <w:r>
        <w:rPr>
          <w:rFonts w:ascii="Times New Roman" w:hAnsi="Times New Roman" w:cs="Times New Roman" w:eastAsia="Times New Roman"/>
          <w:b w:val="0"/>
          <w:i/>
          <w:color w:val="000000"/>
          <w:sz w:val="24"/>
        </w:rPr>
        <w:t>Data Cleaning and Quality Audit Log</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560"/>
        <w:gridCol w:w="1560"/>
        <w:gridCol w:w="1560"/>
        <w:gridCol w:w="1560"/>
        <w:gridCol w:w="1560"/>
        <w:gridCol w:w="1560"/>
      </w:tblGrid>
      <w:tr>
        <w:trPr>
          <w:cantSplit/>
          <w:tblHeader/>
        </w:trPr>
        <w:tc>
          <w:tcPr>
            <w:tcW w:type="dxa" w:w="180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Issue</w:t>
            </w:r>
          </w:p>
        </w:tc>
        <w:tc>
          <w:tcPr>
            <w:tcW w:type="dxa" w:w="144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Variables</w:t>
            </w:r>
          </w:p>
        </w:tc>
        <w:tc>
          <w:tcPr>
            <w:tcW w:type="dxa" w:w="158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Detection</w:t>
            </w:r>
          </w:p>
        </w:tc>
        <w:tc>
          <w:tcPr>
            <w:tcW w:type="dxa" w:w="122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Frames</w:t>
            </w:r>
          </w:p>
        </w:tc>
        <w:tc>
          <w:tcPr>
            <w:tcW w:type="dxa" w:w="93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MultiWOZ</w:t>
            </w:r>
          </w:p>
        </w:tc>
        <w:tc>
          <w:tcPr>
            <w:tcW w:type="dxa" w:w="237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Treatment and rationale</w:t>
            </w:r>
          </w:p>
        </w:tc>
      </w:tr>
      <w:tr>
        <w:trPr>
          <w:cantSplit/>
        </w:trPr>
        <w:tc>
          <w:tcPr>
            <w:tcW w:type="dxa" w:w="180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Duplicate full text</w:t>
            </w:r>
          </w:p>
        </w:tc>
        <w:tc>
          <w:tcPr>
            <w:tcW w:type="dxa" w:w="144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Utterances</w:t>
            </w:r>
          </w:p>
        </w:tc>
        <w:tc>
          <w:tcPr>
            <w:tcW w:type="dxa" w:w="158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SHA-256 text hash</w:t>
            </w:r>
          </w:p>
        </w:tc>
        <w:tc>
          <w:tcPr>
            <w:tcW w:type="dxa" w:w="122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0</w:t>
            </w:r>
          </w:p>
        </w:tc>
        <w:tc>
          <w:tcPr>
            <w:tcW w:type="dxa" w:w="93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w:t>
            </w:r>
          </w:p>
        </w:tc>
        <w:tc>
          <w:tcPr>
            <w:tcW w:type="dxa" w:w="2376"/>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Removed duplicate to prevent double-weighting</w:t>
            </w:r>
          </w:p>
        </w:tc>
      </w:tr>
      <w:tr>
        <w:trPr>
          <w:cantSplit/>
        </w:trPr>
        <w:tc>
          <w:tcPr>
            <w:tcW w:type="dxa" w:w="18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Fewer than 3 turns</w:t>
            </w:r>
          </w:p>
        </w:tc>
        <w:tc>
          <w:tcPr>
            <w:tcW w:type="dxa" w:w="14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total_turns</w:t>
            </w:r>
          </w:p>
        </w:tc>
        <w:tc>
          <w:tcPr>
            <w:tcW w:type="dxa" w:w="158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Turn count &lt; 3</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35</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Excluded; minimum 3 turns needed for prefix routing</w:t>
            </w:r>
          </w:p>
        </w:tc>
      </w:tr>
      <w:tr>
        <w:trPr>
          <w:cantSplit/>
        </w:trPr>
        <w:tc>
          <w:tcPr>
            <w:tcW w:type="dxa" w:w="18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Turn-count outliers</w:t>
            </w:r>
          </w:p>
        </w:tc>
        <w:tc>
          <w:tcPr>
            <w:tcW w:type="dxa" w:w="14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total_turns</w:t>
            </w:r>
          </w:p>
        </w:tc>
        <w:tc>
          <w:tcPr>
            <w:tcW w:type="dxa" w:w="158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&gt; Q3 + 1.5 × IQR</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22 (&gt; 32.5)</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13 (&gt; 27.0)</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Retained as genuine negotiations; log-transformed in RQ4</w:t>
            </w:r>
          </w:p>
        </w:tc>
      </w:tr>
      <w:tr>
        <w:trPr>
          <w:cantSplit/>
        </w:trPr>
        <w:tc>
          <w:tcPr>
            <w:tcW w:type="dxa" w:w="18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Unobserved slots</w:t>
            </w:r>
          </w:p>
        </w:tc>
        <w:tc>
          <w:tcPr>
            <w:tcW w:type="dxa" w:w="14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Tier 1 &amp; 2 slots</w:t>
            </w:r>
          </w:p>
        </w:tc>
        <w:tc>
          <w:tcPr>
            <w:tcW w:type="dxa" w:w="158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Never mentioned</w:t>
            </w:r>
          </w:p>
        </w:tc>
        <w:tc>
          <w:tcPr>
            <w:tcW w:type="dxa" w:w="1224"/>
          </w:tcPr>
          <w:p>
            <w:pPr>
              <w:keepNext w:val="0"/>
              <w:widowControl/>
              <w:spacing w:line="240" w:lineRule="auto" w:before="30" w:after="30"/>
              <w:ind w:firstLine="0" w:left="0"/>
              <w:jc w:val="center"/>
            </w:pPr>
            <w:r>
              <w:fldChar w:fldCharType="begin"/>
            </w:r>
            <w:r>
              <w:instrText xml:space="preserve"> REF _RefTabE1 \h \* MERGEFORMAT </w:instrText>
            </w:r>
            <w:r>
              <w:fldChar w:fldCharType="separate"/>
            </w:r>
            <w:r>
              <w:rPr>
                <w:rFonts w:ascii="Times New Roman" w:hAnsi="Times New Roman" w:cs="Times New Roman" w:eastAsia="Times New Roman"/>
                <w:b w:val="0"/>
                <w:i w:val="0"/>
                <w:color w:val="000000"/>
                <w:sz w:val="20"/>
              </w:rPr>
              <w:t>Table E1</w:t>
            </w:r>
            <w:r>
              <w:fldChar w:fldCharType="end"/>
            </w:r>
          </w:p>
        </w:tc>
        <w:tc>
          <w:tcPr>
            <w:tcW w:type="dxa" w:w="936"/>
          </w:tcPr>
          <w:p>
            <w:pPr>
              <w:keepNext w:val="0"/>
              <w:widowControl/>
              <w:spacing w:line="240" w:lineRule="auto" w:before="30" w:after="30"/>
              <w:ind w:firstLine="0" w:left="0"/>
              <w:jc w:val="center"/>
            </w:pPr>
            <w:r>
              <w:fldChar w:fldCharType="begin"/>
            </w:r>
            <w:r>
              <w:instrText xml:space="preserve"> REF _RefTabE1 \h \* MERGEFORMAT </w:instrText>
            </w:r>
            <w:r>
              <w:fldChar w:fldCharType="separate"/>
            </w:r>
            <w:r>
              <w:rPr>
                <w:rFonts w:ascii="Times New Roman" w:hAnsi="Times New Roman" w:cs="Times New Roman" w:eastAsia="Times New Roman"/>
                <w:b w:val="0"/>
                <w:i w:val="0"/>
                <w:color w:val="000000"/>
                <w:sz w:val="20"/>
              </w:rPr>
              <w:t>Table E1</w:t>
            </w:r>
            <w:r>
              <w:fldChar w:fldCharType="end"/>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Preserved as null (None); never imputed</w:t>
            </w:r>
          </w:p>
        </w:tc>
      </w:tr>
      <w:tr>
        <w:trPr>
          <w:cantSplit/>
        </w:trPr>
        <w:tc>
          <w:tcPr>
            <w:tcW w:type="dxa" w:w="18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Entity values in text</w:t>
            </w:r>
          </w:p>
        </w:tc>
        <w:tc>
          <w:tcPr>
            <w:tcW w:type="dxa" w:w="14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Utterance text</w:t>
            </w:r>
          </w:p>
        </w:tc>
        <w:tc>
          <w:tcPr>
            <w:tcW w:type="dxa" w:w="158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Slot/number regex</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All</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All</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Masked with [SLOT] tokens in exemplars to prevent leakage</w:t>
            </w:r>
          </w:p>
        </w:tc>
      </w:tr>
      <w:tr>
        <w:trPr>
          <w:cantSplit/>
        </w:trPr>
        <w:tc>
          <w:tcPr>
            <w:tcW w:type="dxa" w:w="180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Analytic sample</w:t>
            </w:r>
          </w:p>
        </w:tc>
        <w:tc>
          <w:tcPr>
            <w:tcW w:type="dxa" w:w="144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All fields</w:t>
            </w:r>
          </w:p>
        </w:tc>
        <w:tc>
          <w:tcPr>
            <w:tcW w:type="dxa" w:w="158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Post-cleaning count</w:t>
            </w:r>
          </w:p>
        </w:tc>
        <w:tc>
          <w:tcPr>
            <w:tcW w:type="dxa" w:w="122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1,334 (933/401)</w:t>
            </w:r>
          </w:p>
        </w:tc>
        <w:tc>
          <w:tcPr>
            <w:tcW w:type="dxa" w:w="93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1,499</w:t>
            </w:r>
          </w:p>
        </w:tc>
        <w:tc>
          <w:tcPr>
            <w:tcW w:type="dxa" w:w="2376"/>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Locked with stratified 70/30 split (seed 42)</w:t>
            </w:r>
          </w:p>
        </w:tc>
      </w:tr>
    </w:tbl>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Zero duplicate IDs or empty utterances occurred in either corpus. Missing user ratings (11 in Frames) were retained.</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Exploratory Data Analysis (Univariate, Bivariate, and Multivariate)</w:t>
      </w:r>
    </w:p>
    <w:p>
      <w:pPr>
        <w:pStyle w:val="Heading3"/>
        <w:keepNext/>
        <w:pageBreakBefore w:val="0"/>
        <w:widowControl/>
        <w:spacing w:line="480" w:lineRule="auto" w:before="0" w:after="0"/>
        <w:ind w:firstLine="0" w:left="0"/>
        <w:jc w:val="left"/>
      </w:pPr>
      <w:r>
        <w:rPr>
          <w:rFonts w:ascii="Times New Roman" w:hAnsi="Times New Roman" w:cs="Times New Roman" w:eastAsia="Times New Roman"/>
          <w:b/>
          <w:i/>
          <w:color w:val="000000"/>
          <w:sz w:val="24"/>
        </w:rPr>
        <w:t>Univariate Analysis</w:t>
      </w:r>
    </w:p>
    <w:p>
      <w:pPr>
        <w:keepNext w:val="0"/>
        <w:widowControl/>
        <w:spacing w:line="480" w:lineRule="auto" w:before="0" w:after="0"/>
        <w:ind w:firstLine="720" w:left="0"/>
        <w:jc w:val="left"/>
      </w:pPr>
      <w:r>
        <w:fldChar w:fldCharType="begin"/>
      </w:r>
      <w:r>
        <w:instrText xml:space="preserve"> REF _RefTab6 \h \* MERGEFORMAT </w:instrText>
      </w:r>
      <w:r>
        <w:fldChar w:fldCharType="separate"/>
      </w:r>
      <w:r>
        <w:rPr>
          <w:rFonts w:ascii="Times New Roman" w:hAnsi="Times New Roman" w:cs="Times New Roman" w:eastAsia="Times New Roman"/>
          <w:b w:val="0"/>
          <w:i w:val="0"/>
          <w:color w:val="000000"/>
          <w:sz w:val="24"/>
        </w:rPr>
        <w:t>Table 6</w:t>
      </w:r>
      <w:r>
        <w:fldChar w:fldCharType="end"/>
      </w:r>
      <w:r>
        <w:rPr>
          <w:rFonts w:ascii="Times New Roman" w:hAnsi="Times New Roman" w:cs="Times New Roman" w:eastAsia="Times New Roman"/>
          <w:b w:val="0"/>
          <w:i w:val="0"/>
          <w:color w:val="000000"/>
          <w:sz w:val="24"/>
        </w:rPr>
        <w:t xml:space="preserve"> and </w:t>
      </w:r>
      <w:r>
        <w:fldChar w:fldCharType="begin"/>
      </w:r>
      <w:r>
        <w:instrText xml:space="preserve"> REF _RefFig1 \h \* MERGEFORMAT </w:instrText>
      </w:r>
      <w:r>
        <w:fldChar w:fldCharType="separate"/>
      </w:r>
      <w:r>
        <w:rPr>
          <w:rFonts w:ascii="Times New Roman" w:hAnsi="Times New Roman" w:cs="Times New Roman" w:eastAsia="Times New Roman"/>
          <w:b w:val="0"/>
          <w:i w:val="0"/>
          <w:color w:val="000000"/>
          <w:sz w:val="24"/>
        </w:rPr>
        <w:t>Figure 1</w:t>
      </w:r>
      <w:r>
        <w:fldChar w:fldCharType="end"/>
      </w:r>
      <w:r>
        <w:rPr>
          <w:rFonts w:ascii="Times New Roman" w:hAnsi="Times New Roman" w:cs="Times New Roman" w:eastAsia="Times New Roman"/>
          <w:b w:val="0"/>
          <w:i w:val="0"/>
          <w:color w:val="000000"/>
          <w:sz w:val="24"/>
        </w:rPr>
        <w:t xml:space="preserve"> summarize the univariate distributions. Frames and MultiWOZ 2.2 have similar mean lengths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14.93 vs. 15.17 turns), but Frames exhibits greater dispersion (</w:t>
      </w:r>
      <w:r>
        <w:rPr>
          <w:rFonts w:ascii="Times New Roman" w:hAnsi="Times New Roman" w:cs="Times New Roman" w:eastAsia="Times New Roman"/>
          <w:b w:val="0"/>
          <w:i/>
          <w:color w:val="000000"/>
          <w:sz w:val="24"/>
        </w:rPr>
        <w:t>SD</w:t>
      </w:r>
      <w:r>
        <w:rPr>
          <w:rFonts w:ascii="Times New Roman" w:hAnsi="Times New Roman" w:cs="Times New Roman" w:eastAsia="Times New Roman"/>
          <w:b w:val="0"/>
          <w:i w:val="0"/>
          <w:color w:val="000000"/>
          <w:sz w:val="24"/>
        </w:rPr>
        <w:t xml:space="preserve"> = 6.74 vs. 4.46) and a heavier right tail due to multi-offer package comparisons. Golden and held-out partitions are nearly identical across all metrics. Slot completeness (Appendix E, </w:t>
      </w:r>
      <w:r>
        <w:fldChar w:fldCharType="begin"/>
      </w:r>
      <w:r>
        <w:instrText xml:space="preserve"> REF _RefTabE1 \h \* MERGEFORMAT </w:instrText>
      </w:r>
      <w:r>
        <w:fldChar w:fldCharType="separate"/>
      </w:r>
      <w:r>
        <w:rPr>
          <w:rFonts w:ascii="Times New Roman" w:hAnsi="Times New Roman" w:cs="Times New Roman" w:eastAsia="Times New Roman"/>
          <w:b w:val="0"/>
          <w:i w:val="0"/>
          <w:color w:val="000000"/>
          <w:sz w:val="24"/>
        </w:rPr>
        <w:t>Table E1</w:t>
      </w:r>
      <w:r>
        <w:fldChar w:fldCharType="end"/>
      </w:r>
      <w:r>
        <w:rPr>
          <w:rFonts w:ascii="Times New Roman" w:hAnsi="Times New Roman" w:cs="Times New Roman" w:eastAsia="Times New Roman"/>
          <w:b w:val="0"/>
          <w:i w:val="0"/>
          <w:color w:val="000000"/>
          <w:sz w:val="24"/>
        </w:rPr>
        <w:t xml:space="preserve"> and </w:t>
      </w:r>
      <w:r>
        <w:fldChar w:fldCharType="begin"/>
      </w:r>
      <w:r>
        <w:instrText xml:space="preserve"> REF _RefFigE1 \h \* MERGEFORMAT </w:instrText>
      </w:r>
      <w:r>
        <w:fldChar w:fldCharType="separate"/>
      </w:r>
      <w:r>
        <w:rPr>
          <w:rFonts w:ascii="Times New Roman" w:hAnsi="Times New Roman" w:cs="Times New Roman" w:eastAsia="Times New Roman"/>
          <w:b w:val="0"/>
          <w:i w:val="0"/>
          <w:color w:val="000000"/>
          <w:sz w:val="24"/>
        </w:rPr>
        <w:t>Figure E1</w:t>
      </w:r>
      <w:r>
        <w:fldChar w:fldCharType="end"/>
      </w:r>
      <w:r>
        <w:rPr>
          <w:rFonts w:ascii="Times New Roman" w:hAnsi="Times New Roman" w:cs="Times New Roman" w:eastAsia="Times New Roman"/>
          <w:b w:val="0"/>
          <w:i w:val="0"/>
          <w:color w:val="000000"/>
          <w:sz w:val="24"/>
        </w:rPr>
        <w:t>) confirms high coverage of origin (98.4%), destination (99.1%), dates (96.0%), and budget (78.5%) in Frames, but 0.0% coverage of visa, passport, and discount rules in both corpora, motivating synthetic Tier-2 injection in RQ3.</w:t>
      </w:r>
    </w:p>
    <w:p>
      <w:pPr>
        <w:keepNext/>
        <w:widowControl/>
        <w:spacing w:line="480" w:lineRule="auto" w:before="120" w:after="0"/>
        <w:ind w:firstLine="0" w:left="0"/>
        <w:jc w:val="left"/>
      </w:pPr>
      <w:bookmarkStart w:name="_RefTab6" w:id="207"/>
      <w:r>
        <w:rPr>
          <w:rFonts w:ascii="Times New Roman" w:hAnsi="Times New Roman" w:cs="Times New Roman" w:eastAsia="Times New Roman"/>
          <w:b/>
          <w:color w:val="000000"/>
          <w:sz w:val="24"/>
        </w:rPr>
        <w:t xml:space="preserve">Table </w:t>
      </w:r>
      <w:bookmarkStart w:name="_RefTabN6" w:id="208"/>
      <w:r>
        <w:rPr>
          <w:rFonts w:ascii="Times New Roman" w:hAnsi="Times New Roman" w:cs="Times New Roman" w:eastAsia="Times New Roman"/>
          <w:b/>
          <w:color w:val="000000"/>
          <w:sz w:val="24"/>
        </w:rPr>
        <w:t>6</w:t>
      </w:r>
      <w:bookmarkEnd w:id="208"/>
      <w:bookmarkEnd w:id="207"/>
    </w:p>
    <w:p>
      <w:pPr>
        <w:keepNext/>
        <w:widowControl/>
        <w:spacing w:line="480" w:lineRule="auto" w:before="0" w:after="0"/>
        <w:ind w:firstLine="0" w:left="0"/>
        <w:jc w:val="left"/>
      </w:pPr>
      <w:r>
        <w:rPr>
          <w:rFonts w:ascii="Times New Roman" w:hAnsi="Times New Roman" w:cs="Times New Roman" w:eastAsia="Times New Roman"/>
          <w:b w:val="0"/>
          <w:i/>
          <w:color w:val="000000"/>
          <w:sz w:val="24"/>
        </w:rPr>
        <w:t>Univariate Descriptive Statistics of the Analytic Samples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170"/>
        <w:gridCol w:w="1170"/>
        <w:gridCol w:w="1170"/>
        <w:gridCol w:w="1170"/>
        <w:gridCol w:w="1170"/>
        <w:gridCol w:w="1170"/>
        <w:gridCol w:w="1170"/>
        <w:gridCol w:w="1170"/>
      </w:tblGrid>
      <w:tr>
        <w:trPr>
          <w:cantSplit/>
          <w:tblHeader/>
        </w:trPr>
        <w:tc>
          <w:tcPr>
            <w:tcW w:type="dxa" w:w="280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Sample</w:t>
            </w:r>
          </w:p>
        </w:tc>
        <w:tc>
          <w:tcPr>
            <w:tcW w:type="dxa" w:w="79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N</w:t>
            </w:r>
          </w:p>
        </w:tc>
        <w:tc>
          <w:tcPr>
            <w:tcW w:type="dxa" w:w="144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Turns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64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Mdn</w:t>
            </w:r>
          </w:p>
        </w:tc>
        <w:tc>
          <w:tcPr>
            <w:tcW w:type="dxa" w:w="86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Range</w:t>
            </w:r>
          </w:p>
        </w:tc>
        <w:tc>
          <w:tcPr>
            <w:tcW w:type="dxa" w:w="93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User words</w:t>
            </w:r>
          </w:p>
        </w:tc>
        <w:tc>
          <w:tcPr>
            <w:tcW w:type="dxa" w:w="93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Agent words</w:t>
            </w:r>
          </w:p>
        </w:tc>
        <w:tc>
          <w:tcPr>
            <w:tcW w:type="dxa" w:w="93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Task success (%)</w:t>
            </w:r>
          </w:p>
        </w:tc>
      </w:tr>
      <w:tr>
        <w:trPr>
          <w:cantSplit/>
        </w:trPr>
        <w:tc>
          <w:tcPr>
            <w:tcW w:type="dxa" w:w="280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Microsoft Frames</w:t>
            </w:r>
          </w:p>
        </w:tc>
        <w:tc>
          <w:tcPr>
            <w:tcW w:type="dxa" w:w="79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1,334</w:t>
            </w:r>
          </w:p>
        </w:tc>
        <w:tc>
          <w:tcPr>
            <w:tcW w:type="dxa" w:w="144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14.93 (6.74)</w:t>
            </w:r>
          </w:p>
        </w:tc>
        <w:tc>
          <w:tcPr>
            <w:tcW w:type="dxa" w:w="64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14</w:t>
            </w:r>
          </w:p>
        </w:tc>
        <w:tc>
          <w:tcPr>
            <w:tcW w:type="dxa" w:w="86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3–48</w:t>
            </w:r>
          </w:p>
        </w:tc>
        <w:tc>
          <w:tcPr>
            <w:tcW w:type="dxa" w:w="93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10.6</w:t>
            </w:r>
          </w:p>
        </w:tc>
        <w:tc>
          <w:tcPr>
            <w:tcW w:type="dxa" w:w="93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15.0</w:t>
            </w:r>
          </w:p>
        </w:tc>
        <w:tc>
          <w:tcPr>
            <w:tcW w:type="dxa" w:w="93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94.2</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MultiWOZ 2.2</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1,499</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15.17 (4.46)</w:t>
            </w:r>
          </w:p>
        </w:tc>
        <w:tc>
          <w:tcPr>
            <w:tcW w:type="dxa" w:w="64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16</w:t>
            </w:r>
          </w:p>
        </w:tc>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4–36</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11.7</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15.1</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Frames golden partition (D_gold)</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933</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14.95 (6.75)</w:t>
            </w:r>
          </w:p>
        </w:tc>
        <w:tc>
          <w:tcPr>
            <w:tcW w:type="dxa" w:w="64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w:t>
            </w:r>
          </w:p>
        </w:tc>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3–48</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10.7</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15.3</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94.2</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Frames held-out partition (D_test)</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401</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14.90 (6.71)</w:t>
            </w:r>
          </w:p>
        </w:tc>
        <w:tc>
          <w:tcPr>
            <w:tcW w:type="dxa" w:w="64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w:t>
            </w:r>
          </w:p>
        </w:tc>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3–43</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10.4</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14.5</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94.3</w:t>
            </w:r>
          </w:p>
        </w:tc>
      </w:tr>
    </w:tbl>
    <w:p>
      <w:pPr>
        <w:keepNext w:val="0"/>
        <w:widowControl/>
        <w:spacing w:line="240" w:lineRule="auto" w:before="0" w:after="80"/>
        <w:ind w:firstLine="0" w:left="0"/>
        <w:jc w:val="left"/>
      </w:pPr>
    </w:p>
    <w:p>
      <w:pPr>
        <w:keepNext/>
        <w:widowControl/>
        <w:spacing w:line="480" w:lineRule="auto" w:before="120" w:after="0"/>
        <w:ind w:firstLine="0" w:left="0"/>
        <w:jc w:val="left"/>
      </w:pPr>
      <w:bookmarkStart w:name="_RefFig1" w:id="209"/>
      <w:r>
        <w:rPr>
          <w:rFonts w:ascii="Times New Roman" w:hAnsi="Times New Roman" w:cs="Times New Roman" w:eastAsia="Times New Roman"/>
          <w:b/>
          <w:color w:val="000000"/>
          <w:sz w:val="24"/>
        </w:rPr>
        <w:t xml:space="preserve">Figure </w:t>
      </w:r>
      <w:bookmarkStart w:name="_RefFigN1" w:id="210"/>
      <w:r>
        <w:rPr>
          <w:rFonts w:ascii="Times New Roman" w:hAnsi="Times New Roman" w:cs="Times New Roman" w:eastAsia="Times New Roman"/>
          <w:b/>
          <w:color w:val="000000"/>
          <w:sz w:val="24"/>
        </w:rPr>
        <w:t>1</w:t>
      </w:r>
      <w:bookmarkEnd w:id="210"/>
      <w:bookmarkEnd w:id="209"/>
    </w:p>
    <w:p>
      <w:pPr>
        <w:keepNext/>
        <w:widowControl/>
        <w:spacing w:line="480" w:lineRule="auto" w:before="0" w:after="0"/>
        <w:ind w:firstLine="0" w:left="0"/>
        <w:jc w:val="left"/>
      </w:pPr>
      <w:r>
        <w:rPr>
          <w:rFonts w:ascii="Times New Roman" w:hAnsi="Times New Roman" w:cs="Times New Roman" w:eastAsia="Times New Roman"/>
          <w:b w:val="0"/>
          <w:i/>
          <w:color w:val="000000"/>
          <w:sz w:val="24"/>
        </w:rPr>
        <w:t>Univariate Distribution of Dialogue Length by Corpus</w:t>
      </w:r>
    </w:p>
    <w:p>
      <w:pPr>
        <w:keepNext/>
        <w:widowControl/>
        <w:spacing w:line="240" w:lineRule="auto" w:before="0" w:after="0"/>
        <w:ind w:firstLine="0" w:left="0"/>
        <w:jc w:val="center"/>
      </w:pPr>
      <w:r>
        <w:drawing>
          <wp:inline xmlns:a="http://schemas.openxmlformats.org/drawingml/2006/main" xmlns:pic="http://schemas.openxmlformats.org/drawingml/2006/picture">
            <wp:extent cx="4023360" cy="1689811"/>
            <wp:docPr id="1" name="Picture 1"/>
            <wp:cNvGraphicFramePr>
              <a:graphicFrameLocks noChangeAspect="1"/>
            </wp:cNvGraphicFramePr>
            <a:graphic>
              <a:graphicData uri="http://schemas.openxmlformats.org/drawingml/2006/picture">
                <pic:pic>
                  <pic:nvPicPr>
                    <pic:cNvPr id="0" name="fig_eda_turns.png"/>
                    <pic:cNvPicPr/>
                  </pic:nvPicPr>
                  <pic:blipFill>
                    <a:blip r:embed="rId11"/>
                    <a:stretch>
                      <a:fillRect/>
                    </a:stretch>
                  </pic:blipFill>
                  <pic:spPr>
                    <a:xfrm>
                      <a:off x="0" y="0"/>
                      <a:ext cx="4023360" cy="1689811"/>
                    </a:xfrm>
                    <a:prstGeom prst="rect"/>
                  </pic:spPr>
                </pic:pic>
              </a:graphicData>
            </a:graphic>
          </wp:inline>
        </w:drawing>
      </w:r>
    </w:p>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Frames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1,334; MultiWOZ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1,499.</w:t>
      </w:r>
    </w:p>
    <w:p>
      <w:pPr>
        <w:pStyle w:val="Heading3"/>
        <w:keepNext/>
        <w:pageBreakBefore w:val="0"/>
        <w:widowControl/>
        <w:spacing w:line="480" w:lineRule="auto" w:before="0" w:after="0"/>
        <w:ind w:firstLine="0" w:left="0"/>
        <w:jc w:val="left"/>
      </w:pPr>
      <w:r>
        <w:rPr>
          <w:rFonts w:ascii="Times New Roman" w:hAnsi="Times New Roman" w:cs="Times New Roman" w:eastAsia="Times New Roman"/>
          <w:b/>
          <w:i/>
          <w:color w:val="000000"/>
          <w:sz w:val="24"/>
        </w:rPr>
        <w:t>Bivariate Analysis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Parametric (Pearson </w:t>
      </w:r>
      <w:r>
        <w:rPr>
          <w:rFonts w:ascii="Times New Roman" w:hAnsi="Times New Roman" w:cs="Times New Roman" w:eastAsia="Times New Roman"/>
          <w:b w:val="0"/>
          <w:i/>
          <w:color w:val="000000"/>
          <w:sz w:val="24"/>
        </w:rPr>
        <w:t>r</w:t>
      </w:r>
      <w:r>
        <w:rPr>
          <w:rFonts w:ascii="Times New Roman" w:hAnsi="Times New Roman" w:cs="Times New Roman" w:eastAsia="Times New Roman"/>
          <w:b w:val="0"/>
          <w:i w:val="0"/>
          <w:color w:val="000000"/>
          <w:sz w:val="24"/>
        </w:rPr>
        <w:t>) and non-parametric (Spearman ρ) bivariate correlations across all 1,334 Frames dialogues (</w:t>
      </w:r>
      <w:r>
        <w:fldChar w:fldCharType="begin"/>
      </w:r>
      <w:r>
        <w:instrText xml:space="preserve"> REF _RefTab7 \h \* MERGEFORMAT </w:instrText>
      </w:r>
      <w:r>
        <w:fldChar w:fldCharType="separate"/>
      </w:r>
      <w:r>
        <w:rPr>
          <w:rFonts w:ascii="Times New Roman" w:hAnsi="Times New Roman" w:cs="Times New Roman" w:eastAsia="Times New Roman"/>
          <w:b w:val="0"/>
          <w:i w:val="0"/>
          <w:color w:val="000000"/>
          <w:sz w:val="24"/>
        </w:rPr>
        <w:t>Table 7</w:t>
      </w:r>
      <w:r>
        <w:fldChar w:fldCharType="end"/>
      </w:r>
      <w:r>
        <w:rPr>
          <w:rFonts w:ascii="Times New Roman" w:hAnsi="Times New Roman" w:cs="Times New Roman" w:eastAsia="Times New Roman"/>
          <w:b w:val="0"/>
          <w:i w:val="0"/>
          <w:color w:val="000000"/>
          <w:sz w:val="24"/>
        </w:rPr>
        <w:t xml:space="preserve">; </w:t>
      </w:r>
      <w:r>
        <w:fldChar w:fldCharType="begin"/>
      </w:r>
      <w:r>
        <w:instrText xml:space="preserve"> REF _RefFig2 \h \* MERGEFORMAT </w:instrText>
      </w:r>
      <w:r>
        <w:fldChar w:fldCharType="separate"/>
      </w:r>
      <w:r>
        <w:rPr>
          <w:rFonts w:ascii="Times New Roman" w:hAnsi="Times New Roman" w:cs="Times New Roman" w:eastAsia="Times New Roman"/>
          <w:b w:val="0"/>
          <w:i w:val="0"/>
          <w:color w:val="000000"/>
          <w:sz w:val="24"/>
        </w:rPr>
        <w:t>Figure 2</w:t>
      </w:r>
      <w:r>
        <w:fldChar w:fldCharType="end"/>
      </w:r>
      <w:r>
        <w:rPr>
          <w:rFonts w:ascii="Times New Roman" w:hAnsi="Times New Roman" w:cs="Times New Roman" w:eastAsia="Times New Roman"/>
          <w:b w:val="0"/>
          <w:i w:val="0"/>
          <w:color w:val="000000"/>
          <w:sz w:val="24"/>
        </w:rPr>
        <w:t>) show that dialogue length is strongly driven by slot revisions (</w:t>
      </w:r>
      <w:r>
        <w:rPr>
          <w:rFonts w:ascii="Times New Roman" w:hAnsi="Times New Roman" w:cs="Times New Roman" w:eastAsia="Times New Roman"/>
          <w:b w:val="0"/>
          <w:i/>
          <w:color w:val="000000"/>
          <w:sz w:val="24"/>
        </w:rPr>
        <w:t>r</w:t>
      </w:r>
      <w:r>
        <w:rPr>
          <w:rFonts w:ascii="Times New Roman" w:hAnsi="Times New Roman" w:cs="Times New Roman" w:eastAsia="Times New Roman"/>
          <w:b w:val="0"/>
          <w:i w:val="0"/>
          <w:color w:val="000000"/>
          <w:sz w:val="24"/>
        </w:rPr>
        <w:t xml:space="preserve"> = .74, ρ = .76,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and agent package offers (</w:t>
      </w:r>
      <w:r>
        <w:rPr>
          <w:rFonts w:ascii="Times New Roman" w:hAnsi="Times New Roman" w:cs="Times New Roman" w:eastAsia="Times New Roman"/>
          <w:b w:val="0"/>
          <w:i/>
          <w:color w:val="000000"/>
          <w:sz w:val="24"/>
        </w:rPr>
        <w:t>r</w:t>
      </w:r>
      <w:r>
        <w:rPr>
          <w:rFonts w:ascii="Times New Roman" w:hAnsi="Times New Roman" w:cs="Times New Roman" w:eastAsia="Times New Roman"/>
          <w:b w:val="0"/>
          <w:i w:val="0"/>
          <w:color w:val="000000"/>
          <w:sz w:val="24"/>
        </w:rPr>
        <w:t xml:space="preserve"> = .56, ρ = .61,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Linking structural counts to LLM behavioral ratings confirms construct validity: slot revisions correlate strongly with user exploration breadth (</w:t>
      </w:r>
      <w:r>
        <w:rPr>
          <w:rFonts w:ascii="Times New Roman" w:hAnsi="Times New Roman" w:cs="Times New Roman" w:eastAsia="Times New Roman"/>
          <w:b w:val="0"/>
          <w:i/>
          <w:color w:val="000000"/>
          <w:sz w:val="24"/>
        </w:rPr>
        <w:t>r</w:t>
      </w:r>
      <w:r>
        <w:rPr>
          <w:rFonts w:ascii="Times New Roman" w:hAnsi="Times New Roman" w:cs="Times New Roman" w:eastAsia="Times New Roman"/>
          <w:b w:val="0"/>
          <w:i w:val="0"/>
          <w:color w:val="000000"/>
          <w:sz w:val="24"/>
        </w:rPr>
        <w:t xml:space="preserve"> = .60, ρ = .67,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whereas decisiveness correlates negatively with dialogue length (</w:t>
      </w:r>
      <w:r>
        <w:rPr>
          <w:rFonts w:ascii="Times New Roman" w:hAnsi="Times New Roman" w:cs="Times New Roman" w:eastAsia="Times New Roman"/>
          <w:b w:val="0"/>
          <w:i/>
          <w:color w:val="000000"/>
          <w:sz w:val="24"/>
        </w:rPr>
        <w:t>r</w:t>
      </w:r>
      <w:r>
        <w:rPr>
          <w:rFonts w:ascii="Times New Roman" w:hAnsi="Times New Roman" w:cs="Times New Roman" w:eastAsia="Times New Roman"/>
          <w:b w:val="0"/>
          <w:i w:val="0"/>
          <w:color w:val="000000"/>
          <w:sz w:val="24"/>
        </w:rPr>
        <w:t xml:space="preserve"> = −.31, ρ = −.29,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w:t>
      </w:r>
    </w:p>
    <w:p>
      <w:pPr>
        <w:keepNext/>
        <w:widowControl/>
        <w:spacing w:line="480" w:lineRule="auto" w:before="120" w:after="0"/>
        <w:ind w:firstLine="0" w:left="0"/>
        <w:jc w:val="left"/>
      </w:pPr>
      <w:bookmarkStart w:name="_RefTab7" w:id="211"/>
      <w:r>
        <w:rPr>
          <w:rFonts w:ascii="Times New Roman" w:hAnsi="Times New Roman" w:cs="Times New Roman" w:eastAsia="Times New Roman"/>
          <w:b/>
          <w:color w:val="000000"/>
          <w:sz w:val="24"/>
        </w:rPr>
        <w:t xml:space="preserve">Table </w:t>
      </w:r>
      <w:bookmarkStart w:name="_RefTabN7" w:id="212"/>
      <w:r>
        <w:rPr>
          <w:rFonts w:ascii="Times New Roman" w:hAnsi="Times New Roman" w:cs="Times New Roman" w:eastAsia="Times New Roman"/>
          <w:b/>
          <w:color w:val="000000"/>
          <w:sz w:val="24"/>
        </w:rPr>
        <w:t>7</w:t>
      </w:r>
      <w:bookmarkEnd w:id="212"/>
      <w:bookmarkEnd w:id="211"/>
    </w:p>
    <w:p>
      <w:pPr>
        <w:keepNext/>
        <w:widowControl/>
        <w:spacing w:line="480" w:lineRule="auto" w:before="0" w:after="0"/>
        <w:ind w:firstLine="0" w:left="0"/>
        <w:jc w:val="left"/>
      </w:pPr>
      <w:r>
        <w:rPr>
          <w:rFonts w:ascii="Times New Roman" w:hAnsi="Times New Roman" w:cs="Times New Roman" w:eastAsia="Times New Roman"/>
          <w:b w:val="0"/>
          <w:i/>
          <w:color w:val="000000"/>
          <w:sz w:val="24"/>
        </w:rPr>
        <w:t>Bivariate Parametric and Non-Parametric Correlations of Dialogue Dynamics (Frames)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72"/>
        <w:gridCol w:w="1872"/>
        <w:gridCol w:w="1872"/>
        <w:gridCol w:w="1872"/>
        <w:gridCol w:w="1872"/>
      </w:tblGrid>
      <w:tr>
        <w:trPr>
          <w:cantSplit/>
          <w:tblHeader/>
        </w:trPr>
        <w:tc>
          <w:tcPr>
            <w:tcW w:type="dxa" w:w="446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Variable pair</w:t>
            </w:r>
          </w:p>
        </w:tc>
        <w:tc>
          <w:tcPr>
            <w:tcW w:type="dxa" w:w="122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Pearson </w:t>
            </w:r>
            <w:r>
              <w:rPr>
                <w:rFonts w:ascii="Times New Roman" w:hAnsi="Times New Roman" w:cs="Times New Roman" w:eastAsia="Times New Roman"/>
                <w:b w:val="0"/>
                <w:i/>
                <w:color w:val="000000"/>
                <w:sz w:val="20"/>
              </w:rPr>
              <w:t>r</w:t>
            </w:r>
          </w:p>
        </w:tc>
        <w:tc>
          <w:tcPr>
            <w:tcW w:type="dxa" w:w="122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(Pearson)</w:t>
            </w:r>
          </w:p>
        </w:tc>
        <w:tc>
          <w:tcPr>
            <w:tcW w:type="dxa" w:w="122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Spearman ρ</w:t>
            </w:r>
          </w:p>
        </w:tc>
        <w:tc>
          <w:tcPr>
            <w:tcW w:type="dxa" w:w="122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(Spearman)</w:t>
            </w:r>
          </w:p>
        </w:tc>
      </w:tr>
      <w:tr>
        <w:trPr>
          <w:cantSplit/>
        </w:trPr>
        <w:tc>
          <w:tcPr>
            <w:tcW w:type="dxa" w:w="446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Total Turns vs. Slot Revisions</w:t>
            </w:r>
          </w:p>
        </w:tc>
        <w:tc>
          <w:tcPr>
            <w:tcW w:type="dxa" w:w="122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.741</w:t>
            </w:r>
          </w:p>
        </w:tc>
        <w:tc>
          <w:tcPr>
            <w:tcW w:type="dxa" w:w="122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122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.759</w:t>
            </w:r>
          </w:p>
        </w:tc>
        <w:tc>
          <w:tcPr>
            <w:tcW w:type="dxa" w:w="122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r>
      <w:tr>
        <w:trPr>
          <w:cantSplit/>
        </w:trPr>
        <w:tc>
          <w:tcPr>
            <w:tcW w:type="dxa" w:w="44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Total Turns vs. Agent Package Offers</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.561</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.608</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r>
      <w:tr>
        <w:trPr>
          <w:cantSplit/>
        </w:trPr>
        <w:tc>
          <w:tcPr>
            <w:tcW w:type="dxa" w:w="44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Total Turns vs. User Hesitation Markers</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.336</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.355</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r>
      <w:tr>
        <w:trPr>
          <w:cantSplit/>
        </w:trPr>
        <w:tc>
          <w:tcPr>
            <w:tcW w:type="dxa" w:w="44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Slot Revisions vs. Exploration Breadth Rating</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.603</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.673</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r>
      <w:tr>
        <w:trPr>
          <w:cantSplit/>
        </w:trPr>
        <w:tc>
          <w:tcPr>
            <w:tcW w:type="dxa" w:w="44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Total Turns vs. User Decisiveness Rating</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−.310</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−.289</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r>
      <w:tr>
        <w:trPr>
          <w:cantSplit/>
        </w:trPr>
        <w:tc>
          <w:tcPr>
            <w:tcW w:type="dxa" w:w="44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User Words/Turn vs. Information Up Front Rating</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.158</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.206</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r>
      <w:tr>
        <w:trPr>
          <w:cantSplit/>
        </w:trPr>
        <w:tc>
          <w:tcPr>
            <w:tcW w:type="dxa" w:w="44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Agent Offers vs. Destination Flexibility Rating</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.324</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.358</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r>
    </w:tbl>
    <w:p>
      <w:pPr>
        <w:keepNext w:val="0"/>
        <w:widowControl/>
        <w:spacing w:line="240" w:lineRule="auto" w:before="0" w:after="80"/>
        <w:ind w:firstLine="0" w:left="0"/>
        <w:jc w:val="left"/>
      </w:pPr>
    </w:p>
    <w:p>
      <w:pPr>
        <w:keepNext/>
        <w:widowControl/>
        <w:spacing w:line="480" w:lineRule="auto" w:before="120" w:after="0"/>
        <w:ind w:firstLine="0" w:left="0"/>
        <w:jc w:val="left"/>
      </w:pPr>
      <w:bookmarkStart w:name="_RefFig2" w:id="213"/>
      <w:r>
        <w:rPr>
          <w:rFonts w:ascii="Times New Roman" w:hAnsi="Times New Roman" w:cs="Times New Roman" w:eastAsia="Times New Roman"/>
          <w:b/>
          <w:color w:val="000000"/>
          <w:sz w:val="24"/>
        </w:rPr>
        <w:t xml:space="preserve">Figure </w:t>
      </w:r>
      <w:bookmarkStart w:name="_RefFigN2" w:id="214"/>
      <w:r>
        <w:rPr>
          <w:rFonts w:ascii="Times New Roman" w:hAnsi="Times New Roman" w:cs="Times New Roman" w:eastAsia="Times New Roman"/>
          <w:b/>
          <w:color w:val="000000"/>
          <w:sz w:val="24"/>
        </w:rPr>
        <w:t>2</w:t>
      </w:r>
      <w:bookmarkEnd w:id="214"/>
      <w:bookmarkEnd w:id="213"/>
    </w:p>
    <w:p>
      <w:pPr>
        <w:keepNext/>
        <w:widowControl/>
        <w:spacing w:line="480" w:lineRule="auto" w:before="0" w:after="0"/>
        <w:ind w:firstLine="0" w:left="0"/>
        <w:jc w:val="left"/>
      </w:pPr>
      <w:r>
        <w:rPr>
          <w:rFonts w:ascii="Times New Roman" w:hAnsi="Times New Roman" w:cs="Times New Roman" w:eastAsia="Times New Roman"/>
          <w:b w:val="0"/>
          <w:i/>
          <w:color w:val="000000"/>
          <w:sz w:val="24"/>
        </w:rPr>
        <w:t>Bivariate Relationships Between Dialogue Length, Slot Revisions, and Archetype Negotiation Intensity</w:t>
      </w:r>
    </w:p>
    <w:p>
      <w:pPr>
        <w:keepNext/>
        <w:widowControl/>
        <w:spacing w:line="240" w:lineRule="auto" w:before="0" w:after="0"/>
        <w:ind w:firstLine="0" w:left="0"/>
        <w:jc w:val="center"/>
      </w:pPr>
      <w:r>
        <w:drawing>
          <wp:inline xmlns:a="http://schemas.openxmlformats.org/drawingml/2006/main" xmlns:pic="http://schemas.openxmlformats.org/drawingml/2006/picture">
            <wp:extent cx="4023360" cy="1544683"/>
            <wp:docPr id="2" name="Picture 2"/>
            <wp:cNvGraphicFramePr>
              <a:graphicFrameLocks noChangeAspect="1"/>
            </wp:cNvGraphicFramePr>
            <a:graphic>
              <a:graphicData uri="http://schemas.openxmlformats.org/drawingml/2006/picture">
                <pic:pic>
                  <pic:nvPicPr>
                    <pic:cNvPr id="0" name="fig_eda_bivariate.png"/>
                    <pic:cNvPicPr/>
                  </pic:nvPicPr>
                  <pic:blipFill>
                    <a:blip r:embed="rId12"/>
                    <a:stretch>
                      <a:fillRect/>
                    </a:stretch>
                  </pic:blipFill>
                  <pic:spPr>
                    <a:xfrm>
                      <a:off x="0" y="0"/>
                      <a:ext cx="4023360" cy="1544683"/>
                    </a:xfrm>
                    <a:prstGeom prst="rect"/>
                  </pic:spPr>
                </pic:pic>
              </a:graphicData>
            </a:graphic>
          </wp:inline>
        </w:drawing>
      </w:r>
    </w:p>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Panel A: Turns vs. slot revisions with OLS trend. Panel B: Mean revisions and package offers by refined archetype (95% CI).</w:t>
      </w:r>
    </w:p>
    <w:p>
      <w:pPr>
        <w:pStyle w:val="Heading3"/>
        <w:keepNext/>
        <w:pageBreakBefore w:val="0"/>
        <w:widowControl/>
        <w:spacing w:line="480" w:lineRule="auto" w:before="0" w:after="0"/>
        <w:ind w:firstLine="0" w:left="0"/>
        <w:jc w:val="left"/>
      </w:pPr>
      <w:r>
        <w:rPr>
          <w:rFonts w:ascii="Times New Roman" w:hAnsi="Times New Roman" w:cs="Times New Roman" w:eastAsia="Times New Roman"/>
          <w:b/>
          <w:i/>
          <w:color w:val="000000"/>
          <w:sz w:val="24"/>
        </w:rPr>
        <w:t>Multivariate Analysis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Multivariate structure across ten structural and behavioral variables was examined via Spearman rank correlation and principal component analysis (PCA; </w:t>
      </w:r>
      <w:r>
        <w:fldChar w:fldCharType="begin"/>
      </w:r>
      <w:r>
        <w:instrText xml:space="preserve"> REF _RefFig3 \h \* MERGEFORMAT </w:instrText>
      </w:r>
      <w:r>
        <w:fldChar w:fldCharType="separate"/>
      </w:r>
      <w:r>
        <w:rPr>
          <w:rFonts w:ascii="Times New Roman" w:hAnsi="Times New Roman" w:cs="Times New Roman" w:eastAsia="Times New Roman"/>
          <w:b w:val="0"/>
          <w:i w:val="0"/>
          <w:color w:val="000000"/>
          <w:sz w:val="24"/>
        </w:rPr>
        <w:t>Figure 3</w:t>
      </w:r>
      <w:r>
        <w:fldChar w:fldCharType="end"/>
      </w:r>
      <w:r>
        <w:rPr>
          <w:rFonts w:ascii="Times New Roman" w:hAnsi="Times New Roman" w:cs="Times New Roman" w:eastAsia="Times New Roman"/>
          <w:b w:val="0"/>
          <w:i w:val="0"/>
          <w:color w:val="000000"/>
          <w:sz w:val="24"/>
        </w:rPr>
        <w:t xml:space="preserve">; full loadings in Appendix E, </w:t>
      </w:r>
      <w:r>
        <w:fldChar w:fldCharType="begin"/>
      </w:r>
      <w:r>
        <w:instrText xml:space="preserve"> REF _RefTabE2 \h \* MERGEFORMAT </w:instrText>
      </w:r>
      <w:r>
        <w:fldChar w:fldCharType="separate"/>
      </w:r>
      <w:r>
        <w:rPr>
          <w:rFonts w:ascii="Times New Roman" w:hAnsi="Times New Roman" w:cs="Times New Roman" w:eastAsia="Times New Roman"/>
          <w:b w:val="0"/>
          <w:i w:val="0"/>
          <w:color w:val="000000"/>
          <w:sz w:val="24"/>
        </w:rPr>
        <w:t>Table E2</w:t>
      </w:r>
      <w:r>
        <w:fldChar w:fldCharType="end"/>
      </w:r>
      <w:r>
        <w:rPr>
          <w:rFonts w:ascii="Times New Roman" w:hAnsi="Times New Roman" w:cs="Times New Roman" w:eastAsia="Times New Roman"/>
          <w:b w:val="0"/>
          <w:i w:val="0"/>
          <w:color w:val="000000"/>
          <w:sz w:val="24"/>
        </w:rPr>
        <w:t xml:space="preserve">). The first three components explain 68.6% of total variance: PC1 (40.8%%) captures </w:t>
      </w:r>
      <w:r>
        <w:rPr>
          <w:rFonts w:ascii="Times New Roman" w:hAnsi="Times New Roman" w:cs="Times New Roman" w:eastAsia="Times New Roman"/>
          <w:b w:val="0"/>
          <w:i/>
          <w:color w:val="000000"/>
          <w:sz w:val="24"/>
        </w:rPr>
        <w:t>Exploration vs. Rigidity</w:t>
      </w:r>
      <w:r>
        <w:rPr>
          <w:rFonts w:ascii="Times New Roman" w:hAnsi="Times New Roman" w:cs="Times New Roman" w:eastAsia="Times New Roman"/>
          <w:b w:val="0"/>
          <w:i w:val="0"/>
          <w:color w:val="000000"/>
          <w:sz w:val="24"/>
        </w:rPr>
        <w:t xml:space="preserve"> (revisions .42, turns .39, exploration breadth .39), PC2 (17.2%%) captures </w:t>
      </w:r>
      <w:r>
        <w:rPr>
          <w:rFonts w:ascii="Times New Roman" w:hAnsi="Times New Roman" w:cs="Times New Roman" w:eastAsia="Times New Roman"/>
          <w:b w:val="0"/>
          <w:i/>
          <w:color w:val="000000"/>
          <w:sz w:val="24"/>
        </w:rPr>
        <w:t>Decisiveness &amp; Politeness</w:t>
      </w:r>
      <w:r>
        <w:rPr>
          <w:rFonts w:ascii="Times New Roman" w:hAnsi="Times New Roman" w:cs="Times New Roman" w:eastAsia="Times New Roman"/>
          <w:b w:val="0"/>
          <w:i w:val="0"/>
          <w:color w:val="000000"/>
          <w:sz w:val="24"/>
        </w:rPr>
        <w:t xml:space="preserve"> (−.51, −.46), and PC3 (10.6%%) isolates </w:t>
      </w:r>
      <w:r>
        <w:rPr>
          <w:rFonts w:ascii="Times New Roman" w:hAnsi="Times New Roman" w:cs="Times New Roman" w:eastAsia="Times New Roman"/>
          <w:b w:val="0"/>
          <w:i/>
          <w:color w:val="000000"/>
          <w:sz w:val="24"/>
        </w:rPr>
        <w:t>User Verbosity</w:t>
      </w:r>
      <w:r>
        <w:rPr>
          <w:rFonts w:ascii="Times New Roman" w:hAnsi="Times New Roman" w:cs="Times New Roman" w:eastAsia="Times New Roman"/>
          <w:b w:val="0"/>
          <w:i w:val="0"/>
          <w:color w:val="000000"/>
          <w:sz w:val="24"/>
        </w:rPr>
        <w:t xml:space="preserve"> (.89), separating the three refined archetypes across a continuous behavioral manifold.</w:t>
      </w:r>
    </w:p>
    <w:p>
      <w:pPr>
        <w:keepNext/>
        <w:widowControl/>
        <w:spacing w:line="480" w:lineRule="auto" w:before="120" w:after="0"/>
        <w:ind w:firstLine="0" w:left="0"/>
        <w:jc w:val="left"/>
      </w:pPr>
      <w:bookmarkStart w:name="_RefFig3" w:id="215"/>
      <w:r>
        <w:rPr>
          <w:rFonts w:ascii="Times New Roman" w:hAnsi="Times New Roman" w:cs="Times New Roman" w:eastAsia="Times New Roman"/>
          <w:b/>
          <w:color w:val="000000"/>
          <w:sz w:val="24"/>
        </w:rPr>
        <w:t xml:space="preserve">Figure </w:t>
      </w:r>
      <w:bookmarkStart w:name="_RefFigN3" w:id="216"/>
      <w:r>
        <w:rPr>
          <w:rFonts w:ascii="Times New Roman" w:hAnsi="Times New Roman" w:cs="Times New Roman" w:eastAsia="Times New Roman"/>
          <w:b/>
          <w:color w:val="000000"/>
          <w:sz w:val="24"/>
        </w:rPr>
        <w:t>3</w:t>
      </w:r>
      <w:bookmarkEnd w:id="216"/>
      <w:bookmarkEnd w:id="215"/>
    </w:p>
    <w:p>
      <w:pPr>
        <w:keepNext/>
        <w:widowControl/>
        <w:spacing w:line="480" w:lineRule="auto" w:before="0" w:after="0"/>
        <w:ind w:firstLine="0" w:left="0"/>
        <w:jc w:val="left"/>
      </w:pPr>
      <w:r>
        <w:rPr>
          <w:rFonts w:ascii="Times New Roman" w:hAnsi="Times New Roman" w:cs="Times New Roman" w:eastAsia="Times New Roman"/>
          <w:b w:val="0"/>
          <w:i/>
          <w:color w:val="000000"/>
          <w:sz w:val="24"/>
        </w:rPr>
        <w:t>Multivariate Spearman Correlation Matrix and Principal Component Biplot of Behavioral Features</w:t>
      </w:r>
    </w:p>
    <w:p>
      <w:pPr>
        <w:keepNext/>
        <w:widowControl/>
        <w:spacing w:line="240" w:lineRule="auto" w:before="0" w:after="0"/>
        <w:ind w:firstLine="0" w:left="0"/>
        <w:jc w:val="center"/>
      </w:pPr>
      <w:r>
        <w:drawing>
          <wp:inline xmlns:a="http://schemas.openxmlformats.org/drawingml/2006/main" xmlns:pic="http://schemas.openxmlformats.org/drawingml/2006/picture">
            <wp:extent cx="4114800" cy="1618938"/>
            <wp:docPr id="3" name="Picture 3"/>
            <wp:cNvGraphicFramePr>
              <a:graphicFrameLocks noChangeAspect="1"/>
            </wp:cNvGraphicFramePr>
            <a:graphic>
              <a:graphicData uri="http://schemas.openxmlformats.org/drawingml/2006/picture">
                <pic:pic>
                  <pic:nvPicPr>
                    <pic:cNvPr id="0" name="fig_eda_multivariate.png"/>
                    <pic:cNvPicPr/>
                  </pic:nvPicPr>
                  <pic:blipFill>
                    <a:blip r:embed="rId13"/>
                    <a:stretch>
                      <a:fillRect/>
                    </a:stretch>
                  </pic:blipFill>
                  <pic:spPr>
                    <a:xfrm>
                      <a:off x="0" y="0"/>
                      <a:ext cx="4114800" cy="1618938"/>
                    </a:xfrm>
                    <a:prstGeom prst="rect"/>
                  </pic:spPr>
                </pic:pic>
              </a:graphicData>
            </a:graphic>
          </wp:inline>
        </w:drawing>
      </w:r>
    </w:p>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Panel A: Rank correlation matrix. Panel B: PCA biplot colored by refined archetype with top loading vectors.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Research Design, Hypotheses, and Statistical Power Analysis</w:t>
      </w:r>
    </w:p>
    <w:p>
      <w:pPr>
        <w:keepNext/>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Sample sizes were computed a priori for each planned analysis using Cohen's medium effect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.25 (Cohen, 1988), α = .05, and target power 1 − β ≥ .80 via the noncentral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distribution (Faul et al., 2007):</w:t>
      </w:r>
    </w:p>
    <w:p>
      <w:pPr>
        <w:keepNext w:val="0"/>
        <w:widowControl/>
        <w:spacing w:line="480" w:lineRule="auto" w:before="0" w:after="0"/>
        <w:ind w:firstLine="0" w:left="0"/>
        <w:jc w:val="center"/>
      </w:pPr>
      <w:r>
        <w:rPr>
          <w:rFonts w:ascii="Times New Roman" w:hAnsi="Times New Roman" w:cs="Times New Roman" w:eastAsia="Times New Roman"/>
          <w:b w:val="0"/>
          <w:i w:val="0"/>
          <w:color w:val="000000"/>
          <w:sz w:val="24"/>
        </w:rPr>
        <w:t xml:space="preserve">1 − β = 1 −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vertAlign w:val="subscript"/>
        </w:rPr>
        <w:t>nc</w:t>
      </w:r>
      <w:r>
        <w:rPr>
          <w:rFonts w:ascii="Times New Roman" w:hAnsi="Times New Roman" w:cs="Times New Roman" w:eastAsia="Times New Roman"/>
          <w:b w:val="0"/>
          <w:i w:val="0"/>
          <w:color w:val="000000"/>
          <w:sz w:val="24"/>
        </w:rPr>
        <w:t>(</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vertAlign w:val="subscript"/>
        </w:rPr>
        <w:t>crit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df</w:t>
      </w:r>
      <w:r>
        <w:rPr>
          <w:rFonts w:ascii="Times New Roman" w:hAnsi="Times New Roman" w:cs="Times New Roman" w:eastAsia="Times New Roman"/>
          <w:b w:val="0"/>
          <w:i w:val="0"/>
          <w:color w:val="000000"/>
          <w:sz w:val="24"/>
          <w:vertAlign w:val="subscript"/>
        </w:rPr>
        <w:t>1</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df</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 xml:space="preserve">, λ),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vertAlign w:val="subscript"/>
        </w:rPr>
        <w:t>crit</w:t>
      </w:r>
      <w:r>
        <w:rPr>
          <w:rFonts w:ascii="Times New Roman" w:hAnsi="Times New Roman" w:cs="Times New Roman" w:eastAsia="Times New Roman"/>
          <w:b w:val="0"/>
          <w:i w:val="0"/>
          <w:color w:val="000000"/>
          <w:sz w:val="24"/>
        </w:rPr>
        <w:t xml:space="preserve"> =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vertAlign w:val="subscript"/>
        </w:rPr>
        <w:t>1−α</w:t>
      </w:r>
      <w:r>
        <w:rPr>
          <w:rFonts w:ascii="Times New Roman" w:hAnsi="Times New Roman" w:cs="Times New Roman" w:eastAsia="Times New Roman"/>
          <w:b w:val="0"/>
          <w:i w:val="0"/>
          <w:color w:val="000000"/>
          <w:sz w:val="24"/>
        </w:rPr>
        <w:t>(</w:t>
      </w:r>
      <w:r>
        <w:rPr>
          <w:rFonts w:ascii="Times New Roman" w:hAnsi="Times New Roman" w:cs="Times New Roman" w:eastAsia="Times New Roman"/>
          <w:b w:val="0"/>
          <w:i/>
          <w:color w:val="000000"/>
          <w:sz w:val="24"/>
        </w:rPr>
        <w:t>df</w:t>
      </w:r>
      <w:r>
        <w:rPr>
          <w:rFonts w:ascii="Times New Roman" w:hAnsi="Times New Roman" w:cs="Times New Roman" w:eastAsia="Times New Roman"/>
          <w:b w:val="0"/>
          <w:i w:val="0"/>
          <w:color w:val="000000"/>
          <w:sz w:val="24"/>
          <w:vertAlign w:val="subscript"/>
        </w:rPr>
        <w:t>1</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df</w:t>
      </w:r>
      <w:r>
        <w:rPr>
          <w:rFonts w:ascii="Times New Roman" w:hAnsi="Times New Roman" w:cs="Times New Roman" w:eastAsia="Times New Roman"/>
          <w:b w:val="0"/>
          <w:i w:val="0"/>
          <w:color w:val="000000"/>
          <w:sz w:val="24"/>
          <w:vertAlign w:val="subscript"/>
        </w:rPr>
        <w:t>2</w:t>
      </w:r>
      <w:r>
        <w:rPr>
          <w:rFonts w:ascii="Times New Roman" w:hAnsi="Times New Roman" w:cs="Times New Roman" w:eastAsia="Times New Roman"/>
          <w:b w:val="0"/>
          <w:i w:val="0"/>
          <w:color w:val="000000"/>
          <w:sz w:val="24"/>
        </w:rPr>
        <w:t>)    (1)</w:t>
      </w:r>
    </w:p>
    <w:p>
      <w:pPr>
        <w:keepNext w:val="0"/>
        <w:widowControl/>
        <w:spacing w:line="480" w:lineRule="auto" w:before="0" w:after="0"/>
        <w:ind w:firstLine="0" w:left="0"/>
        <w:jc w:val="left"/>
      </w:pPr>
      <w:r>
        <w:rPr>
          <w:rFonts w:ascii="Times New Roman" w:hAnsi="Times New Roman" w:cs="Times New Roman" w:eastAsia="Times New Roman"/>
          <w:b w:val="0"/>
          <w:i w:val="0"/>
          <w:color w:val="000000"/>
          <w:sz w:val="24"/>
        </w:rPr>
        <w:t xml:space="preserve">where λ =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for between-subjects designs (RQ1, RQ3, RQ4) and λ =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color w:val="000000"/>
          <w:sz w:val="24"/>
        </w:rPr>
        <w:t>Nm</w:t>
      </w:r>
      <w:r>
        <w:rPr>
          <w:rFonts w:ascii="Times New Roman" w:hAnsi="Times New Roman" w:cs="Times New Roman" w:eastAsia="Times New Roman"/>
          <w:b w:val="0"/>
          <w:i w:val="0"/>
          <w:color w:val="000000"/>
          <w:sz w:val="24"/>
        </w:rPr>
        <w:t>ε / (1 − ρ) for repeated-measures RQ2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3, ρ = .50, ε = 1). Minimum sample sizes were rounded to balanced cells with a 10% buffer (</w:t>
      </w:r>
      <w:r>
        <w:fldChar w:fldCharType="begin"/>
      </w:r>
      <w:r>
        <w:instrText xml:space="preserve"> REF _RefTab8 \h \* MERGEFORMAT </w:instrText>
      </w:r>
      <w:r>
        <w:fldChar w:fldCharType="separate"/>
      </w:r>
      <w:r>
        <w:rPr>
          <w:rFonts w:ascii="Times New Roman" w:hAnsi="Times New Roman" w:cs="Times New Roman" w:eastAsia="Times New Roman"/>
          <w:b w:val="0"/>
          <w:i w:val="0"/>
          <w:color w:val="000000"/>
          <w:sz w:val="24"/>
        </w:rPr>
        <w:t>Table 8</w:t>
      </w:r>
      <w:r>
        <w:fldChar w:fldCharType="end"/>
      </w:r>
      <w:r>
        <w:rPr>
          <w:rFonts w:ascii="Times New Roman" w:hAnsi="Times New Roman" w:cs="Times New Roman" w:eastAsia="Times New Roman"/>
          <w:b w:val="0"/>
          <w:i w:val="0"/>
          <w:color w:val="000000"/>
          <w:sz w:val="24"/>
        </w:rPr>
        <w:t>), yielding final power of .835–.865.</w:t>
      </w:r>
    </w:p>
    <w:p>
      <w:pPr>
        <w:keepNext/>
        <w:widowControl/>
        <w:spacing w:line="480" w:lineRule="auto" w:before="120" w:after="0"/>
        <w:ind w:firstLine="0" w:left="0"/>
        <w:jc w:val="left"/>
      </w:pPr>
      <w:bookmarkStart w:name="_RefTab8" w:id="217"/>
      <w:r>
        <w:rPr>
          <w:rFonts w:ascii="Times New Roman" w:hAnsi="Times New Roman" w:cs="Times New Roman" w:eastAsia="Times New Roman"/>
          <w:b/>
          <w:color w:val="000000"/>
          <w:sz w:val="24"/>
        </w:rPr>
        <w:t xml:space="preserve">Table </w:t>
      </w:r>
      <w:bookmarkStart w:name="_RefTabN8" w:id="218"/>
      <w:r>
        <w:rPr>
          <w:rFonts w:ascii="Times New Roman" w:hAnsi="Times New Roman" w:cs="Times New Roman" w:eastAsia="Times New Roman"/>
          <w:b/>
          <w:color w:val="000000"/>
          <w:sz w:val="24"/>
        </w:rPr>
        <w:t>8</w:t>
      </w:r>
      <w:bookmarkEnd w:id="218"/>
      <w:bookmarkEnd w:id="217"/>
    </w:p>
    <w:p>
      <w:pPr>
        <w:keepNext/>
        <w:widowControl/>
        <w:spacing w:line="480" w:lineRule="auto" w:before="0" w:after="0"/>
        <w:ind w:firstLine="0" w:left="0"/>
        <w:jc w:val="left"/>
      </w:pPr>
      <w:r>
        <w:rPr>
          <w:rFonts w:ascii="Times New Roman" w:hAnsi="Times New Roman" w:cs="Times New Roman" w:eastAsia="Times New Roman"/>
          <w:b w:val="0"/>
          <w:i/>
          <w:color w:val="000000"/>
          <w:sz w:val="24"/>
        </w:rPr>
        <w:t>Sample Size and Power Calculations Matched to Each Planned Analysis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040"/>
        <w:gridCol w:w="1040"/>
        <w:gridCol w:w="1040"/>
        <w:gridCol w:w="1040"/>
        <w:gridCol w:w="1040"/>
        <w:gridCol w:w="1040"/>
        <w:gridCol w:w="1040"/>
        <w:gridCol w:w="1040"/>
        <w:gridCol w:w="1040"/>
      </w:tblGrid>
      <w:tr>
        <w:trPr>
          <w:cantSplit/>
          <w:tblHeader/>
        </w:trPr>
        <w:tc>
          <w:tcPr>
            <w:tcW w:type="dxa" w:w="64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RQ</w:t>
            </w:r>
          </w:p>
        </w:tc>
        <w:tc>
          <w:tcPr>
            <w:tcW w:type="dxa" w:w="252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Planned analysis</w:t>
            </w:r>
          </w:p>
        </w:tc>
        <w:tc>
          <w:tcPr>
            <w:tcW w:type="dxa" w:w="93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df</w:t>
            </w:r>
            <w:r>
              <w:rPr>
                <w:rFonts w:ascii="Times New Roman" w:hAnsi="Times New Roman" w:cs="Times New Roman" w:eastAsia="Times New Roman"/>
                <w:b w:val="0"/>
                <w:i w:val="0"/>
                <w:color w:val="000000"/>
                <w:sz w:val="20"/>
              </w:rPr>
              <w:t xml:space="preserve"> at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vertAlign w:val="subscript"/>
              </w:rPr>
              <w:t>min</w:t>
            </w:r>
          </w:p>
        </w:tc>
        <w:tc>
          <w:tcPr>
            <w:tcW w:type="dxa" w:w="72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λ</w:t>
            </w:r>
          </w:p>
        </w:tc>
        <w:tc>
          <w:tcPr>
            <w:tcW w:type="dxa" w:w="72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vertAlign w:val="subscript"/>
              </w:rPr>
              <w:t>crit</w:t>
            </w:r>
          </w:p>
        </w:tc>
        <w:tc>
          <w:tcPr>
            <w:tcW w:type="dxa" w:w="72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vertAlign w:val="subscript"/>
              </w:rPr>
              <w:t>min</w:t>
            </w:r>
          </w:p>
        </w:tc>
        <w:tc>
          <w:tcPr>
            <w:tcW w:type="dxa" w:w="79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Power</w:t>
            </w:r>
          </w:p>
        </w:tc>
        <w:tc>
          <w:tcPr>
            <w:tcW w:type="dxa" w:w="136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vertAlign w:val="subscript"/>
              </w:rPr>
              <w:t>final</w:t>
            </w:r>
            <w:r>
              <w:rPr>
                <w:rFonts w:ascii="Times New Roman" w:hAnsi="Times New Roman" w:cs="Times New Roman" w:eastAsia="Times New Roman"/>
                <w:b w:val="0"/>
                <w:i w:val="0"/>
                <w:color w:val="000000"/>
                <w:sz w:val="20"/>
              </w:rPr>
              <w:t xml:space="preserve"> (per group)</w:t>
            </w:r>
          </w:p>
        </w:tc>
        <w:tc>
          <w:tcPr>
            <w:tcW w:type="dxa" w:w="93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Final power</w:t>
            </w:r>
          </w:p>
        </w:tc>
      </w:tr>
      <w:tr>
        <w:trPr>
          <w:cantSplit/>
        </w:trPr>
        <w:tc>
          <w:tcPr>
            <w:tcW w:type="dxa" w:w="64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RQ1</w:t>
            </w:r>
          </w:p>
        </w:tc>
        <w:tc>
          <w:tcPr>
            <w:tcW w:type="dxa" w:w="252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One-way ANOVA (3 algorithms)</w:t>
            </w:r>
          </w:p>
        </w:tc>
        <w:tc>
          <w:tcPr>
            <w:tcW w:type="dxa" w:w="93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2, 155</w:t>
            </w:r>
          </w:p>
        </w:tc>
        <w:tc>
          <w:tcPr>
            <w:tcW w:type="dxa" w:w="72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9.88</w:t>
            </w:r>
          </w:p>
        </w:tc>
        <w:tc>
          <w:tcPr>
            <w:tcW w:type="dxa" w:w="72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3.05</w:t>
            </w:r>
          </w:p>
        </w:tc>
        <w:tc>
          <w:tcPr>
            <w:tcW w:type="dxa" w:w="72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158</w:t>
            </w:r>
          </w:p>
        </w:tc>
        <w:tc>
          <w:tcPr>
            <w:tcW w:type="dxa" w:w="79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.802</w:t>
            </w:r>
          </w:p>
        </w:tc>
        <w:tc>
          <w:tcPr>
            <w:tcW w:type="dxa" w:w="136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159 (53)</w:t>
            </w:r>
          </w:p>
        </w:tc>
        <w:tc>
          <w:tcPr>
            <w:tcW w:type="dxa" w:w="93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.805</w:t>
            </w:r>
          </w:p>
        </w:tc>
      </w:tr>
      <w:tr>
        <w:trPr>
          <w:cantSplit/>
        </w:trPr>
        <w:tc>
          <w:tcPr>
            <w:tcW w:type="dxa" w:w="64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RQ2</w:t>
            </w:r>
          </w:p>
        </w:tc>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One-way repeated-measures ANOVA (3 conditions)</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2, 54</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10.50</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3.17</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28</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.812</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33 (11)</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.878</w:t>
            </w:r>
          </w:p>
        </w:tc>
      </w:tr>
      <w:tr>
        <w:trPr>
          <w:cantSplit/>
        </w:trPr>
        <w:tc>
          <w:tcPr>
            <w:tcW w:type="dxa" w:w="64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RQ3</w:t>
            </w:r>
          </w:p>
        </w:tc>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2 × 2 factorial ANOVA</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1, 124</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8.00</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3.92</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128</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.801</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144 (36)</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.846</w:t>
            </w:r>
          </w:p>
        </w:tc>
      </w:tr>
      <w:tr>
        <w:trPr>
          <w:cantSplit/>
        </w:trPr>
        <w:tc>
          <w:tcPr>
            <w:tcW w:type="dxa" w:w="64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RQ4</w:t>
            </w:r>
          </w:p>
        </w:tc>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2 × 3 factorial ANOVA</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2, 152</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9.88</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3.06</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158</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.802</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180 (30)</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.855</w:t>
            </w:r>
          </w:p>
        </w:tc>
      </w:tr>
    </w:tbl>
    <w:p>
      <w:pPr>
        <w:keepNext w:val="0"/>
        <w:widowControl/>
        <w:spacing w:line="240" w:lineRule="auto" w:before="0" w:after="80"/>
        <w:ind w:firstLine="0" w:left="0"/>
        <w:jc w:val="left"/>
      </w:pP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Model Selection, Mathematical Formulation, and Evaluation Metrics</w:t>
      </w:r>
    </w:p>
    <w:p>
      <w:pPr>
        <w:keepNext/>
        <w:widowControl/>
        <w:spacing w:line="480" w:lineRule="auto" w:before="0" w:after="0"/>
        <w:ind w:firstLine="720" w:left="0"/>
        <w:jc w:val="left"/>
      </w:pPr>
      <w:r>
        <w:rPr>
          <w:rFonts w:ascii="Times New Roman" w:hAnsi="Times New Roman" w:cs="Times New Roman" w:eastAsia="Times New Roman"/>
          <w:b w:val="0"/>
          <w:i/>
          <w:color w:val="000000"/>
          <w:sz w:val="24"/>
        </w:rPr>
        <w:t>Trajectory and hybrid user representations (RQ1).</w:t>
      </w:r>
      <w:r>
        <w:rPr>
          <w:rFonts w:ascii="Times New Roman" w:hAnsi="Times New Roman" w:cs="Times New Roman" w:eastAsia="Times New Roman"/>
          <w:b w:val="0"/>
          <w:i w:val="0"/>
          <w:color w:val="000000"/>
          <w:sz w:val="24"/>
        </w:rPr>
        <w:t xml:space="preserve"> Primary trajectory vectors pool de-lexicalized turn embeddings </w:t>
      </w:r>
      <w:r>
        <w:rPr>
          <w:rFonts w:ascii="Times New Roman" w:hAnsi="Times New Roman" w:cs="Times New Roman" w:eastAsia="Times New Roman"/>
          <w:b/>
          <w:i w:val="0"/>
          <w:color w:val="000000"/>
          <w:sz w:val="24"/>
        </w:rPr>
        <w:t>e</w:t>
      </w:r>
      <w:r>
        <w:rPr>
          <w:rFonts w:ascii="Times New Roman" w:hAnsi="Times New Roman" w:cs="Times New Roman" w:eastAsia="Times New Roman"/>
          <w:b w:val="0"/>
          <w:i/>
          <w:color w:val="000000"/>
          <w:sz w:val="24"/>
          <w:vertAlign w:val="subscript"/>
        </w:rPr>
        <w:t>t</w:t>
      </w:r>
      <w:r>
        <w:rPr>
          <w:rFonts w:ascii="Times New Roman" w:hAnsi="Times New Roman" w:cs="Times New Roman" w:eastAsia="Times New Roman"/>
          <w:b w:val="0"/>
          <w:i w:val="0"/>
          <w:color w:val="000000"/>
          <w:sz w:val="24"/>
        </w:rPr>
        <w:t xml:space="preserve"> with exponential decay (λ</w:t>
      </w:r>
      <w:r>
        <w:rPr>
          <w:rFonts w:ascii="Times New Roman" w:hAnsi="Times New Roman" w:cs="Times New Roman" w:eastAsia="Times New Roman"/>
          <w:b w:val="0"/>
          <w:i w:val="0"/>
          <w:color w:val="000000"/>
          <w:sz w:val="24"/>
          <w:vertAlign w:val="subscript"/>
        </w:rPr>
        <w:t>d</w:t>
      </w:r>
      <w:r>
        <w:rPr>
          <w:rFonts w:ascii="Times New Roman" w:hAnsi="Times New Roman" w:cs="Times New Roman" w:eastAsia="Times New Roman"/>
          <w:b w:val="0"/>
          <w:i w:val="0"/>
          <w:color w:val="000000"/>
          <w:sz w:val="24"/>
        </w:rPr>
        <w:t xml:space="preserve"> = 0.15):</w:t>
      </w:r>
    </w:p>
    <w:p>
      <w:pPr>
        <w:keepNext w:val="0"/>
        <w:widowControl/>
        <w:spacing w:line="480" w:lineRule="auto" w:before="0" w:after="0"/>
        <w:ind w:firstLine="0" w:left="0"/>
        <w:jc w:val="center"/>
      </w:pPr>
      <w:r>
        <w:rPr>
          <w:rFonts w:ascii="Times New Roman" w:hAnsi="Times New Roman" w:cs="Times New Roman" w:eastAsia="Times New Roman"/>
          <w:b/>
          <w:i w:val="0"/>
          <w:color w:val="000000"/>
          <w:sz w:val="24"/>
        </w:rPr>
        <w:t>v</w:t>
      </w:r>
      <w:r>
        <w:rPr>
          <w:rFonts w:ascii="Times New Roman" w:hAnsi="Times New Roman" w:cs="Times New Roman" w:eastAsia="Times New Roman"/>
          <w:b w:val="0"/>
          <w:i w:val="0"/>
          <w:color w:val="000000"/>
          <w:sz w:val="24"/>
        </w:rPr>
        <w:t xml:space="preserve"> = Σ</w:t>
      </w:r>
      <w:r>
        <w:rPr>
          <w:rFonts w:ascii="Times New Roman" w:hAnsi="Times New Roman" w:cs="Times New Roman" w:eastAsia="Times New Roman"/>
          <w:b w:val="0"/>
          <w:i/>
          <w:color w:val="000000"/>
          <w:sz w:val="24"/>
          <w:vertAlign w:val="subscript"/>
        </w:rPr>
        <w:t>t</w:t>
      </w:r>
      <w:r>
        <w:rPr>
          <w:rFonts w:ascii="Times New Roman" w:hAnsi="Times New Roman" w:cs="Times New Roman" w:eastAsia="Times New Roman"/>
          <w:b w:val="0"/>
          <w:i w:val="0"/>
          <w:color w:val="000000"/>
          <w:sz w:val="24"/>
          <w:vertAlign w:val="subscript"/>
        </w:rPr>
        <w:t>=1</w:t>
      </w:r>
      <w:r>
        <w:rPr>
          <w:rFonts w:ascii="Times New Roman" w:hAnsi="Times New Roman" w:cs="Times New Roman" w:eastAsia="Times New Roman"/>
          <w:b w:val="0"/>
          <w:i/>
          <w:color w:val="000000"/>
          <w:sz w:val="24"/>
          <w:vertAlign w:val="superscript"/>
        </w:rPr>
        <w:t>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w</w:t>
      </w:r>
      <w:r>
        <w:rPr>
          <w:rFonts w:ascii="Times New Roman" w:hAnsi="Times New Roman" w:cs="Times New Roman" w:eastAsia="Times New Roman"/>
          <w:b w:val="0"/>
          <w:i/>
          <w:color w:val="000000"/>
          <w:sz w:val="24"/>
          <w:vertAlign w:val="subscript"/>
        </w:rPr>
        <w:t>t</w:t>
      </w:r>
      <w:r>
        <w:rPr>
          <w:rFonts w:ascii="Times New Roman" w:hAnsi="Times New Roman" w:cs="Times New Roman" w:eastAsia="Times New Roman"/>
          <w:b/>
          <w:i w:val="0"/>
          <w:color w:val="000000"/>
          <w:sz w:val="24"/>
        </w:rPr>
        <w:t>e</w:t>
      </w:r>
      <w:r>
        <w:rPr>
          <w:rFonts w:ascii="Times New Roman" w:hAnsi="Times New Roman" w:cs="Times New Roman" w:eastAsia="Times New Roman"/>
          <w:b w:val="0"/>
          <w:i/>
          <w:color w:val="000000"/>
          <w:sz w:val="24"/>
          <w:vertAlign w:val="subscript"/>
        </w:rPr>
        <w:t>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w</w:t>
      </w:r>
      <w:r>
        <w:rPr>
          <w:rFonts w:ascii="Times New Roman" w:hAnsi="Times New Roman" w:cs="Times New Roman" w:eastAsia="Times New Roman"/>
          <w:b w:val="0"/>
          <w:i/>
          <w:color w:val="000000"/>
          <w:sz w:val="24"/>
          <w:vertAlign w:val="subscript"/>
        </w:rPr>
        <w:t>t</w:t>
      </w:r>
      <w:r>
        <w:rPr>
          <w:rFonts w:ascii="Times New Roman" w:hAnsi="Times New Roman" w:cs="Times New Roman" w:eastAsia="Times New Roman"/>
          <w:b w:val="0"/>
          <w:i w:val="0"/>
          <w:color w:val="000000"/>
          <w:sz w:val="24"/>
        </w:rPr>
        <w:t xml:space="preserve"> = exp[−λ</w:t>
      </w:r>
      <w:r>
        <w:rPr>
          <w:rFonts w:ascii="Times New Roman" w:hAnsi="Times New Roman" w:cs="Times New Roman" w:eastAsia="Times New Roman"/>
          <w:b w:val="0"/>
          <w:i w:val="0"/>
          <w:color w:val="000000"/>
          <w:sz w:val="24"/>
          <w:vertAlign w:val="subscript"/>
        </w:rPr>
        <w:t>d</w:t>
      </w:r>
      <w:r>
        <w:rPr>
          <w:rFonts w:ascii="Times New Roman" w:hAnsi="Times New Roman" w:cs="Times New Roman" w:eastAsia="Times New Roman"/>
          <w:b w:val="0"/>
          <w:i w:val="0"/>
          <w:color w:val="000000"/>
          <w:sz w:val="24"/>
        </w:rPr>
        <w:t>(</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 −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 Σ</w:t>
      </w:r>
      <w:r>
        <w:rPr>
          <w:rFonts w:ascii="Times New Roman" w:hAnsi="Times New Roman" w:cs="Times New Roman" w:eastAsia="Times New Roman"/>
          <w:b w:val="0"/>
          <w:i/>
          <w:color w:val="000000"/>
          <w:sz w:val="24"/>
          <w:vertAlign w:val="subscript"/>
        </w:rPr>
        <w:t>j</w:t>
      </w:r>
      <w:r>
        <w:rPr>
          <w:rFonts w:ascii="Times New Roman" w:hAnsi="Times New Roman" w:cs="Times New Roman" w:eastAsia="Times New Roman"/>
          <w:b w:val="0"/>
          <w:i w:val="0"/>
          <w:color w:val="000000"/>
          <w:sz w:val="24"/>
          <w:vertAlign w:val="subscript"/>
        </w:rPr>
        <w:t>=1</w:t>
      </w:r>
      <w:r>
        <w:rPr>
          <w:rFonts w:ascii="Times New Roman" w:hAnsi="Times New Roman" w:cs="Times New Roman" w:eastAsia="Times New Roman"/>
          <w:b w:val="0"/>
          <w:i/>
          <w:color w:val="000000"/>
          <w:sz w:val="24"/>
          <w:vertAlign w:val="superscript"/>
        </w:rPr>
        <w:t>T</w:t>
      </w:r>
      <w:r>
        <w:rPr>
          <w:rFonts w:ascii="Times New Roman" w:hAnsi="Times New Roman" w:cs="Times New Roman" w:eastAsia="Times New Roman"/>
          <w:b w:val="0"/>
          <w:i w:val="0"/>
          <w:color w:val="000000"/>
          <w:sz w:val="24"/>
        </w:rPr>
        <w:t xml:space="preserve"> exp[−λ</w:t>
      </w:r>
      <w:r>
        <w:rPr>
          <w:rFonts w:ascii="Times New Roman" w:hAnsi="Times New Roman" w:cs="Times New Roman" w:eastAsia="Times New Roman"/>
          <w:b w:val="0"/>
          <w:i w:val="0"/>
          <w:color w:val="000000"/>
          <w:sz w:val="24"/>
          <w:vertAlign w:val="subscript"/>
        </w:rPr>
        <w:t>d</w:t>
      </w:r>
      <w:r>
        <w:rPr>
          <w:rFonts w:ascii="Times New Roman" w:hAnsi="Times New Roman" w:cs="Times New Roman" w:eastAsia="Times New Roman"/>
          <w:b w:val="0"/>
          <w:i w:val="0"/>
          <w:color w:val="000000"/>
          <w:sz w:val="24"/>
        </w:rPr>
        <w:t>(</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 − </w:t>
      </w:r>
      <w:r>
        <w:rPr>
          <w:rFonts w:ascii="Times New Roman" w:hAnsi="Times New Roman" w:cs="Times New Roman" w:eastAsia="Times New Roman"/>
          <w:b w:val="0"/>
          <w:i/>
          <w:color w:val="000000"/>
          <w:sz w:val="24"/>
        </w:rPr>
        <w:t>j</w:t>
      </w:r>
      <w:r>
        <w:rPr>
          <w:rFonts w:ascii="Times New Roman" w:hAnsi="Times New Roman" w:cs="Times New Roman" w:eastAsia="Times New Roman"/>
          <w:b w:val="0"/>
          <w:i w:val="0"/>
          <w:color w:val="000000"/>
          <w:sz w:val="24"/>
        </w:rPr>
        <w:t>)]    (2)</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To prevent end-of-dialogue outcome confounding, the refined archetype representation (</w:t>
      </w:r>
      <w:r>
        <w:rPr>
          <w:rFonts w:ascii="Times New Roman" w:hAnsi="Times New Roman" w:cs="Times New Roman" w:eastAsia="Times New Roman"/>
          <w:b w:val="0"/>
          <w:i/>
          <w:color w:val="000000"/>
          <w:sz w:val="24"/>
        </w:rPr>
        <w:t>Blocks</w:t>
      </w:r>
      <w:r>
        <w:rPr>
          <w:rFonts w:ascii="Times New Roman" w:hAnsi="Times New Roman" w:cs="Times New Roman" w:eastAsia="Times New Roman"/>
          <w:b w:val="0"/>
          <w:i w:val="0"/>
          <w:color w:val="000000"/>
          <w:sz w:val="24"/>
        </w:rPr>
        <w:t xml:space="preserve">) concatenates two L2-normalized blocks computed strictly on the first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user messages: (1) the top 20 principal components (fitted on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vertAlign w:val="subscript"/>
        </w:rPr>
        <w:t>gold</w:t>
      </w:r>
      <w:r>
        <w:rPr>
          <w:rFonts w:ascii="Times New Roman" w:hAnsi="Times New Roman" w:cs="Times New Roman" w:eastAsia="Times New Roman"/>
          <w:b w:val="0"/>
          <w:i w:val="0"/>
          <w:color w:val="000000"/>
          <w:sz w:val="24"/>
        </w:rPr>
        <w:t>) of the 3,072-dimensional Gemini embedding (</w:t>
      </w:r>
      <w:r>
        <w:rPr>
          <w:rFonts w:ascii="Times New Roman" w:hAnsi="Times New Roman" w:cs="Times New Roman" w:eastAsia="Times New Roman"/>
          <w:b w:val="0"/>
          <w:i/>
          <w:color w:val="000000"/>
          <w:sz w:val="24"/>
        </w:rPr>
        <w:t>gemini-embedding-001</w:t>
      </w:r>
      <w:r>
        <w:rPr>
          <w:rFonts w:ascii="Times New Roman" w:hAnsi="Times New Roman" w:cs="Times New Roman" w:eastAsia="Times New Roman"/>
          <w:b w:val="0"/>
          <w:i w:val="0"/>
          <w:color w:val="000000"/>
          <w:sz w:val="24"/>
        </w:rPr>
        <w:t xml:space="preserve">; Lee et al., 2025), and (2) a standardized 16-field LLM behavioral schema comprising 13 clustering fields (ten 1–5 ordinal rating scales plus primary goal, secondary goals, and emotional tone) and three audit-only fields (session outcome, party type, and unusual-conversation flag, excluded from clustering input; </w:t>
      </w:r>
      <w:r>
        <w:fldChar w:fldCharType="begin"/>
      </w:r>
      <w:r>
        <w:instrText xml:space="preserve"> REF _RefTabC1 \h \* MERGEFORMAT </w:instrText>
      </w:r>
      <w:r>
        <w:fldChar w:fldCharType="separate"/>
      </w:r>
      <w:r>
        <w:rPr>
          <w:rFonts w:ascii="Times New Roman" w:hAnsi="Times New Roman" w:cs="Times New Roman" w:eastAsia="Times New Roman"/>
          <w:b w:val="0"/>
          <w:i w:val="0"/>
          <w:color w:val="000000"/>
          <w:sz w:val="24"/>
        </w:rPr>
        <w:t>Table C1</w:t>
      </w:r>
      <w:r>
        <w:fldChar w:fldCharType="end"/>
      </w:r>
      <w:r>
        <w:rPr>
          <w:rFonts w:ascii="Times New Roman" w:hAnsi="Times New Roman" w:cs="Times New Roman" w:eastAsia="Times New Roman"/>
          <w:b w:val="0"/>
          <w:i w:val="0"/>
          <w:color w:val="000000"/>
          <w:sz w:val="24"/>
        </w:rPr>
        <w:t xml:space="preserve">; test–retest weighted κ = .87–.96 across the 10 ordinal scales and κ = .75–.98 across the 6 categorical/boolean fields; revision correlation ρ = .73, </w:t>
      </w:r>
      <w:r>
        <w:fldChar w:fldCharType="begin"/>
      </w:r>
      <w:r>
        <w:instrText xml:space="preserve"> REF _RefTabC2 \h \* MERGEFORMAT </w:instrText>
      </w:r>
      <w:r>
        <w:fldChar w:fldCharType="separate"/>
      </w:r>
      <w:r>
        <w:rPr>
          <w:rFonts w:ascii="Times New Roman" w:hAnsi="Times New Roman" w:cs="Times New Roman" w:eastAsia="Times New Roman"/>
          <w:b w:val="0"/>
          <w:i w:val="0"/>
          <w:color w:val="000000"/>
          <w:sz w:val="24"/>
        </w:rPr>
        <w:t>Table C2</w:t>
      </w:r>
      <w:r>
        <w:fldChar w:fldCharType="end"/>
      </w:r>
      <w:r>
        <w:rPr>
          <w:rFonts w:ascii="Times New Roman" w:hAnsi="Times New Roman" w:cs="Times New Roman" w:eastAsia="Times New Roman"/>
          <w:b w:val="0"/>
          <w:i w:val="0"/>
          <w:color w:val="000000"/>
          <w:sz w:val="24"/>
        </w:rPr>
        <w:t xml:space="preserve">). In RQ2–RQ4, </w:t>
      </w:r>
      <w:r>
        <w:rPr>
          <w:rFonts w:ascii="Times New Roman" w:hAnsi="Times New Roman" w:cs="Times New Roman" w:eastAsia="Times New Roman"/>
          <w:b w:val="0"/>
          <w:i/>
          <w:color w:val="000000"/>
          <w:sz w:val="24"/>
        </w:rPr>
        <w:t>RefinedArchetypeRouter</w:t>
      </w:r>
      <w:r>
        <w:rPr>
          <w:rFonts w:ascii="Times New Roman" w:hAnsi="Times New Roman" w:cs="Times New Roman" w:eastAsia="Times New Roman"/>
          <w:b w:val="0"/>
          <w:i w:val="0"/>
          <w:color w:val="000000"/>
          <w:sz w:val="24"/>
        </w:rPr>
        <w:t xml:space="preserve"> projects each test dialogue's opening user prefix into this golden-fitted </w:t>
      </w:r>
      <w:r>
        <w:rPr>
          <w:rFonts w:ascii="Times New Roman" w:hAnsi="Times New Roman" w:cs="Times New Roman" w:eastAsia="Times New Roman"/>
          <w:b w:val="0"/>
          <w:i/>
          <w:color w:val="000000"/>
          <w:sz w:val="24"/>
        </w:rPr>
        <w:t>Blocks</w:t>
      </w:r>
      <w:r>
        <w:rPr>
          <w:rFonts w:ascii="Times New Roman" w:hAnsi="Times New Roman" w:cs="Times New Roman" w:eastAsia="Times New Roman"/>
          <w:b w:val="0"/>
          <w:i w:val="0"/>
          <w:color w:val="000000"/>
          <w:sz w:val="24"/>
        </w:rPr>
        <w:t xml:space="preserve"> space, predicts the user archetype via L1-regularized logistic regression, and retrieves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 xml:space="preserve"> = 3 slot-masked exemplars from that archetype's FAISS sub-index. In RQ3, the deterministic rule engine (</w:t>
      </w:r>
      <w:r>
        <w:rPr>
          <w:rFonts w:ascii="Times New Roman" w:hAnsi="Times New Roman" w:cs="Times New Roman" w:eastAsia="Times New Roman"/>
          <w:b w:val="0"/>
          <w:i/>
          <w:color w:val="000000"/>
          <w:sz w:val="24"/>
        </w:rPr>
        <w:t>src/rule_engine.py</w:t>
      </w:r>
      <w:r>
        <w:rPr>
          <w:rFonts w:ascii="Times New Roman" w:hAnsi="Times New Roman" w:cs="Times New Roman" w:eastAsia="Times New Roman"/>
          <w:b w:val="0"/>
          <w:i w:val="0"/>
          <w:color w:val="000000"/>
          <w:sz w:val="24"/>
        </w:rPr>
        <w:t>, 14/14 boundary tests passed) evaluates five YAML policy rules (</w:t>
      </w:r>
      <w:r>
        <w:fldChar w:fldCharType="begin"/>
      </w:r>
      <w:r>
        <w:instrText xml:space="preserve"> REF _RefTab9 \h \* MERGEFORMAT </w:instrText>
      </w:r>
      <w:r>
        <w:fldChar w:fldCharType="separate"/>
      </w:r>
      <w:r>
        <w:rPr>
          <w:rFonts w:ascii="Times New Roman" w:hAnsi="Times New Roman" w:cs="Times New Roman" w:eastAsia="Times New Roman"/>
          <w:b w:val="0"/>
          <w:i w:val="0"/>
          <w:color w:val="000000"/>
          <w:sz w:val="24"/>
        </w:rPr>
        <w:t>Table 9</w:t>
      </w:r>
      <w:r>
        <w:fldChar w:fldCharType="end"/>
      </w:r>
      <w:r>
        <w:rPr>
          <w:rFonts w:ascii="Times New Roman" w:hAnsi="Times New Roman" w:cs="Times New Roman" w:eastAsia="Times New Roman"/>
          <w:b w:val="0"/>
          <w:i w:val="0"/>
          <w:color w:val="000000"/>
          <w:sz w:val="24"/>
        </w:rPr>
        <w:t xml:space="preserve">). </w:t>
      </w:r>
      <w:r>
        <w:fldChar w:fldCharType="begin"/>
      </w:r>
      <w:r>
        <w:instrText xml:space="preserve"> REF _RefTab10 \h \* MERGEFORMAT </w:instrText>
      </w:r>
      <w:r>
        <w:fldChar w:fldCharType="separate"/>
      </w:r>
      <w:r>
        <w:rPr>
          <w:rFonts w:ascii="Times New Roman" w:hAnsi="Times New Roman" w:cs="Times New Roman" w:eastAsia="Times New Roman"/>
          <w:b w:val="0"/>
          <w:i w:val="0"/>
          <w:color w:val="000000"/>
          <w:sz w:val="24"/>
        </w:rPr>
        <w:t>Table 10</w:t>
      </w:r>
      <w:r>
        <w:fldChar w:fldCharType="end"/>
      </w:r>
      <w:r>
        <w:rPr>
          <w:rFonts w:ascii="Times New Roman" w:hAnsi="Times New Roman" w:cs="Times New Roman" w:eastAsia="Times New Roman"/>
          <w:b w:val="0"/>
          <w:i w:val="0"/>
          <w:color w:val="000000"/>
          <w:sz w:val="24"/>
        </w:rPr>
        <w:t xml:space="preserve"> defines all evaluation metrics.</w:t>
      </w:r>
    </w:p>
    <w:p>
      <w:pPr>
        <w:keepNext/>
        <w:widowControl/>
        <w:spacing w:line="480" w:lineRule="auto" w:before="120" w:after="0"/>
        <w:ind w:firstLine="0" w:left="0"/>
        <w:jc w:val="left"/>
      </w:pPr>
      <w:bookmarkStart w:name="_RefTab9" w:id="219"/>
      <w:r>
        <w:rPr>
          <w:rFonts w:ascii="Times New Roman" w:hAnsi="Times New Roman" w:cs="Times New Roman" w:eastAsia="Times New Roman"/>
          <w:b/>
          <w:color w:val="000000"/>
          <w:sz w:val="24"/>
        </w:rPr>
        <w:t xml:space="preserve">Table </w:t>
      </w:r>
      <w:bookmarkStart w:name="_RefTabN9" w:id="220"/>
      <w:r>
        <w:rPr>
          <w:rFonts w:ascii="Times New Roman" w:hAnsi="Times New Roman" w:cs="Times New Roman" w:eastAsia="Times New Roman"/>
          <w:b/>
          <w:color w:val="000000"/>
          <w:sz w:val="24"/>
        </w:rPr>
        <w:t>9</w:t>
      </w:r>
      <w:bookmarkEnd w:id="220"/>
      <w:bookmarkEnd w:id="219"/>
    </w:p>
    <w:p>
      <w:pPr>
        <w:keepNext/>
        <w:widowControl/>
        <w:spacing w:line="480" w:lineRule="auto" w:before="0" w:after="0"/>
        <w:ind w:firstLine="0" w:left="0"/>
        <w:jc w:val="left"/>
      </w:pPr>
      <w:r>
        <w:rPr>
          <w:rFonts w:ascii="Times New Roman" w:hAnsi="Times New Roman" w:cs="Times New Roman" w:eastAsia="Times New Roman"/>
          <w:b w:val="0"/>
          <w:i/>
          <w:color w:val="000000"/>
          <w:sz w:val="24"/>
        </w:rPr>
        <w:t>Declarative Policy Rules Used in RQ3</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273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Rule ID and name</w:t>
            </w:r>
          </w:p>
        </w:tc>
        <w:tc>
          <w:tcPr>
            <w:tcW w:type="dxa" w:w="360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Trigger condition</w:t>
            </w:r>
          </w:p>
        </w:tc>
        <w:tc>
          <w:tcPr>
            <w:tcW w:type="dxa" w:w="187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Action</w:t>
            </w:r>
          </w:p>
        </w:tc>
        <w:tc>
          <w:tcPr>
            <w:tcW w:type="dxa" w:w="115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Severity</w:t>
            </w:r>
          </w:p>
        </w:tc>
      </w:tr>
      <w:tr>
        <w:trPr>
          <w:cantSplit/>
        </w:trPr>
        <w:tc>
          <w:tcPr>
            <w:tcW w:type="dxa" w:w="2736"/>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RULE_VISA_WINDOW: Visa Processing Lead Time</w:t>
            </w:r>
          </w:p>
        </w:tc>
        <w:tc>
          <w:tcPr>
            <w:tcW w:type="dxa" w:w="360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departure_lead_days &lt; 15; is_international = true</w:t>
            </w:r>
          </w:p>
        </w:tc>
        <w:tc>
          <w:tcPr>
            <w:tcW w:type="dxa" w:w="187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block and flag</w:t>
            </w:r>
          </w:p>
        </w:tc>
        <w:tc>
          <w:tcPr>
            <w:tcW w:type="dxa" w:w="115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fatal</w:t>
            </w:r>
          </w:p>
        </w:tc>
      </w:tr>
      <w:tr>
        <w:trPr>
          <w:cantSplit/>
        </w:trPr>
        <w:tc>
          <w:tcPr>
            <w:tcW w:type="dxa" w:w="273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RULE_PASSPORT_VALIDITY: Passport Validity Threshold</w:t>
            </w:r>
          </w:p>
        </w:tc>
        <w:tc>
          <w:tcPr>
            <w:tcW w:type="dxa" w:w="36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passport_expiry_months &lt; 6; is_international = true</w:t>
            </w:r>
          </w:p>
        </w:tc>
        <w:tc>
          <w:tcPr>
            <w:tcW w:type="dxa" w:w="18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block and flag</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fatal</w:t>
            </w:r>
          </w:p>
        </w:tc>
      </w:tr>
      <w:tr>
        <w:trPr>
          <w:cantSplit/>
        </w:trPr>
        <w:tc>
          <w:tcPr>
            <w:tcW w:type="dxa" w:w="273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RULE_PAX_CAPACITY: Maximum Adult Capacity per Single Booking</w:t>
            </w:r>
          </w:p>
        </w:tc>
        <w:tc>
          <w:tcPr>
            <w:tcW w:type="dxa" w:w="36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traveler_count_adults &gt; 8; package_type = 'FIT'</w:t>
            </w:r>
          </w:p>
        </w:tc>
        <w:tc>
          <w:tcPr>
            <w:tcW w:type="dxa" w:w="18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convert to group</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warning</w:t>
            </w:r>
          </w:p>
        </w:tc>
      </w:tr>
      <w:tr>
        <w:trPr>
          <w:cantSplit/>
        </w:trPr>
        <w:tc>
          <w:tcPr>
            <w:tcW w:type="dxa" w:w="273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RULE_DISCOUNT_THRESHOLD: Maximum Discretionary Sales Discount</w:t>
            </w:r>
          </w:p>
        </w:tc>
        <w:tc>
          <w:tcPr>
            <w:tcW w:type="dxa" w:w="36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discount_applied_percentage &gt; 15.0</w:t>
            </w:r>
          </w:p>
        </w:tc>
        <w:tc>
          <w:tcPr>
            <w:tcW w:type="dxa" w:w="18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clamp discount</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fatal</w:t>
            </w:r>
          </w:p>
        </w:tc>
      </w:tr>
      <w:tr>
        <w:trPr>
          <w:cantSplit/>
        </w:trPr>
        <w:tc>
          <w:tcPr>
            <w:tcW w:type="dxa" w:w="273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RULE_BUDGET_MINIMUM: Minimum Feasible Per-Pax International Budget</w:t>
            </w:r>
          </w:p>
        </w:tc>
        <w:tc>
          <w:tcPr>
            <w:tcW w:type="dxa" w:w="36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budget stated; budget_amount &lt; 500; is_international = true</w:t>
            </w:r>
          </w:p>
        </w:tc>
        <w:tc>
          <w:tcPr>
            <w:tcW w:type="dxa" w:w="18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prompt realistic budget</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warning</w:t>
            </w:r>
          </w:p>
        </w:tc>
      </w:tr>
    </w:tbl>
    <w:p>
      <w:pPr>
        <w:keepNext w:val="0"/>
        <w:widowControl/>
        <w:spacing w:line="240" w:lineRule="auto" w:before="0" w:after="80"/>
        <w:ind w:firstLine="0" w:left="0"/>
        <w:jc w:val="left"/>
      </w:pPr>
    </w:p>
    <w:p>
      <w:pPr>
        <w:keepNext/>
        <w:widowControl/>
        <w:spacing w:line="480" w:lineRule="auto" w:before="120" w:after="0"/>
        <w:ind w:firstLine="0" w:left="0"/>
        <w:jc w:val="left"/>
      </w:pPr>
      <w:bookmarkStart w:name="_RefTab10" w:id="221"/>
      <w:r>
        <w:rPr>
          <w:rFonts w:ascii="Times New Roman" w:hAnsi="Times New Roman" w:cs="Times New Roman" w:eastAsia="Times New Roman"/>
          <w:b/>
          <w:color w:val="000000"/>
          <w:sz w:val="24"/>
        </w:rPr>
        <w:t xml:space="preserve">Table </w:t>
      </w:r>
      <w:bookmarkStart w:name="_RefTabN10" w:id="222"/>
      <w:r>
        <w:rPr>
          <w:rFonts w:ascii="Times New Roman" w:hAnsi="Times New Roman" w:cs="Times New Roman" w:eastAsia="Times New Roman"/>
          <w:b/>
          <w:color w:val="000000"/>
          <w:sz w:val="24"/>
        </w:rPr>
        <w:t>10</w:t>
      </w:r>
      <w:bookmarkEnd w:id="222"/>
      <w:bookmarkEnd w:id="221"/>
    </w:p>
    <w:p>
      <w:pPr>
        <w:keepNext/>
        <w:widowControl/>
        <w:spacing w:line="480" w:lineRule="auto" w:before="0" w:after="0"/>
        <w:ind w:firstLine="0" w:left="0"/>
        <w:jc w:val="left"/>
      </w:pPr>
      <w:r>
        <w:rPr>
          <w:rFonts w:ascii="Times New Roman" w:hAnsi="Times New Roman" w:cs="Times New Roman" w:eastAsia="Times New Roman"/>
          <w:b w:val="0"/>
          <w:i/>
          <w:color w:val="000000"/>
          <w:sz w:val="24"/>
        </w:rPr>
        <w:t>Evaluation Metrics, Mathematical Formulae, and Interpretation</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208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Metric</w:t>
            </w:r>
          </w:p>
        </w:tc>
        <w:tc>
          <w:tcPr>
            <w:tcW w:type="dxa" w:w="410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Formula</w:t>
            </w:r>
          </w:p>
        </w:tc>
        <w:tc>
          <w:tcPr>
            <w:tcW w:type="dxa" w:w="72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RQ</w:t>
            </w:r>
          </w:p>
        </w:tc>
        <w:tc>
          <w:tcPr>
            <w:tcW w:type="dxa" w:w="244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Interpretation</w:t>
            </w:r>
          </w:p>
        </w:tc>
      </w:tr>
      <w:tr>
        <w:trPr>
          <w:cantSplit/>
        </w:trPr>
        <w:tc>
          <w:tcPr>
            <w:tcW w:type="dxa" w:w="208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Silhouette &amp; DB index</w:t>
            </w:r>
          </w:p>
        </w:tc>
        <w:tc>
          <w:tcPr>
            <w:tcW w:type="dxa" w:w="4104"/>
          </w:tcPr>
          <w:p>
            <w:pPr>
              <w:keepNext/>
              <w:widowControl/>
              <w:spacing w:line="240" w:lineRule="auto" w:before="30" w:after="30"/>
              <w:ind w:firstLine="0" w:left="0"/>
              <w:jc w:val="left"/>
            </w:pPr>
            <w:r>
              <w:rPr>
                <w:rFonts w:ascii="Times New Roman" w:hAnsi="Times New Roman" w:cs="Times New Roman" w:eastAsia="Times New Roman"/>
                <w:b w:val="0"/>
                <w:i/>
                <w:color w:val="000000"/>
                <w:sz w:val="20"/>
              </w:rPr>
              <w:t>s</w:t>
            </w: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color w:val="000000"/>
                <w:sz w:val="20"/>
              </w:rPr>
              <w:t>i</w:t>
            </w:r>
            <w:r>
              <w:rPr>
                <w:rFonts w:ascii="Times New Roman" w:hAnsi="Times New Roman" w:cs="Times New Roman" w:eastAsia="Times New Roman"/>
                <w:b w:val="0"/>
                <w:i w:val="0"/>
                <w:color w:val="000000"/>
                <w:sz w:val="20"/>
              </w:rPr>
              <w:t>) = [</w:t>
            </w:r>
            <w:r>
              <w:rPr>
                <w:rFonts w:ascii="Times New Roman" w:hAnsi="Times New Roman" w:cs="Times New Roman" w:eastAsia="Times New Roman"/>
                <w:b w:val="0"/>
                <w:i/>
                <w:color w:val="000000"/>
                <w:sz w:val="20"/>
              </w:rPr>
              <w:t>b</w:t>
            </w: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color w:val="000000"/>
                <w:sz w:val="20"/>
              </w:rPr>
              <w:t>i</w:t>
            </w: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color w:val="000000"/>
                <w:sz w:val="20"/>
              </w:rPr>
              <w:t>a</w:t>
            </w: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color w:val="000000"/>
                <w:sz w:val="20"/>
              </w:rPr>
              <w:t>i</w:t>
            </w:r>
            <w:r>
              <w:rPr>
                <w:rFonts w:ascii="Times New Roman" w:hAnsi="Times New Roman" w:cs="Times New Roman" w:eastAsia="Times New Roman"/>
                <w:b w:val="0"/>
                <w:i w:val="0"/>
                <w:color w:val="000000"/>
                <w:sz w:val="20"/>
              </w:rPr>
              <w:t>)]/max{</w:t>
            </w:r>
            <w:r>
              <w:rPr>
                <w:rFonts w:ascii="Times New Roman" w:hAnsi="Times New Roman" w:cs="Times New Roman" w:eastAsia="Times New Roman"/>
                <w:b w:val="0"/>
                <w:i/>
                <w:color w:val="000000"/>
                <w:sz w:val="20"/>
              </w:rPr>
              <w:t>a</w:t>
            </w: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color w:val="000000"/>
                <w:sz w:val="20"/>
              </w:rPr>
              <w:t>b</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DB</w:t>
            </w:r>
            <w:r>
              <w:rPr>
                <w:rFonts w:ascii="Times New Roman" w:hAnsi="Times New Roman" w:cs="Times New Roman" w:eastAsia="Times New Roman"/>
                <w:b w:val="0"/>
                <w:i w:val="0"/>
                <w:color w:val="000000"/>
                <w:sz w:val="20"/>
              </w:rPr>
              <w:t xml:space="preserve"> = (1/</w:t>
            </w:r>
            <w:r>
              <w:rPr>
                <w:rFonts w:ascii="Times New Roman" w:hAnsi="Times New Roman" w:cs="Times New Roman" w:eastAsia="Times New Roman"/>
                <w:b w:val="0"/>
                <w:i/>
                <w:color w:val="000000"/>
                <w:sz w:val="20"/>
              </w:rPr>
              <w:t>k</w:t>
            </w:r>
            <w:r>
              <w:rPr>
                <w:rFonts w:ascii="Times New Roman" w:hAnsi="Times New Roman" w:cs="Times New Roman" w:eastAsia="Times New Roman"/>
                <w:b w:val="0"/>
                <w:i w:val="0"/>
                <w:color w:val="000000"/>
                <w:sz w:val="20"/>
              </w:rPr>
              <w:t>)Σ max(σ</w:t>
            </w:r>
            <w:r>
              <w:rPr>
                <w:rFonts w:ascii="Times New Roman" w:hAnsi="Times New Roman" w:cs="Times New Roman" w:eastAsia="Times New Roman"/>
                <w:b w:val="0"/>
                <w:i/>
                <w:color w:val="000000"/>
                <w:sz w:val="20"/>
                <w:vertAlign w:val="subscript"/>
              </w:rPr>
              <w:t>i</w:t>
            </w:r>
            <w:r>
              <w:rPr>
                <w:rFonts w:ascii="Times New Roman" w:hAnsi="Times New Roman" w:cs="Times New Roman" w:eastAsia="Times New Roman"/>
                <w:b w:val="0"/>
                <w:i w:val="0"/>
                <w:color w:val="000000"/>
                <w:sz w:val="20"/>
              </w:rPr>
              <w:t>+σ</w:t>
            </w:r>
            <w:r>
              <w:rPr>
                <w:rFonts w:ascii="Times New Roman" w:hAnsi="Times New Roman" w:cs="Times New Roman" w:eastAsia="Times New Roman"/>
                <w:b w:val="0"/>
                <w:i/>
                <w:color w:val="000000"/>
                <w:sz w:val="20"/>
                <w:vertAlign w:val="subscript"/>
              </w:rPr>
              <w:t>j</w:t>
            </w: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color w:val="000000"/>
                <w:sz w:val="20"/>
              </w:rPr>
              <w:t>d</w:t>
            </w:r>
            <w:r>
              <w:rPr>
                <w:rFonts w:ascii="Times New Roman" w:hAnsi="Times New Roman" w:cs="Times New Roman" w:eastAsia="Times New Roman"/>
                <w:b w:val="0"/>
                <w:i w:val="0"/>
                <w:color w:val="000000"/>
                <w:sz w:val="20"/>
              </w:rPr>
              <w:t>(</w:t>
            </w:r>
            <w:r>
              <w:rPr>
                <w:rFonts w:ascii="Times New Roman" w:hAnsi="Times New Roman" w:cs="Times New Roman" w:eastAsia="Times New Roman"/>
                <w:b/>
                <w:i w:val="0"/>
                <w:color w:val="000000"/>
                <w:sz w:val="20"/>
              </w:rPr>
              <w:t>c</w:t>
            </w:r>
            <w:r>
              <w:rPr>
                <w:rFonts w:ascii="Times New Roman" w:hAnsi="Times New Roman" w:cs="Times New Roman" w:eastAsia="Times New Roman"/>
                <w:b w:val="0"/>
                <w:i/>
                <w:color w:val="000000"/>
                <w:sz w:val="20"/>
                <w:vertAlign w:val="subscript"/>
              </w:rPr>
              <w:t>i</w:t>
            </w:r>
            <w:r>
              <w:rPr>
                <w:rFonts w:ascii="Times New Roman" w:hAnsi="Times New Roman" w:cs="Times New Roman" w:eastAsia="Times New Roman"/>
                <w:b w:val="0"/>
                <w:i w:val="0"/>
                <w:color w:val="000000"/>
                <w:sz w:val="20"/>
              </w:rPr>
              <w:t>,</w:t>
            </w:r>
            <w:r>
              <w:rPr>
                <w:rFonts w:ascii="Times New Roman" w:hAnsi="Times New Roman" w:cs="Times New Roman" w:eastAsia="Times New Roman"/>
                <w:b/>
                <w:i w:val="0"/>
                <w:color w:val="000000"/>
                <w:sz w:val="20"/>
              </w:rPr>
              <w:t>c</w:t>
            </w:r>
            <w:r>
              <w:rPr>
                <w:rFonts w:ascii="Times New Roman" w:hAnsi="Times New Roman" w:cs="Times New Roman" w:eastAsia="Times New Roman"/>
                <w:b w:val="0"/>
                <w:i/>
                <w:color w:val="000000"/>
                <w:sz w:val="20"/>
                <w:vertAlign w:val="subscript"/>
              </w:rPr>
              <w:t>j</w:t>
            </w:r>
            <w:r>
              <w:rPr>
                <w:rFonts w:ascii="Times New Roman" w:hAnsi="Times New Roman" w:cs="Times New Roman" w:eastAsia="Times New Roman"/>
                <w:b w:val="0"/>
                <w:i w:val="0"/>
                <w:color w:val="000000"/>
                <w:sz w:val="20"/>
              </w:rPr>
              <w:t>)</w:t>
            </w:r>
          </w:p>
        </w:tc>
        <w:tc>
          <w:tcPr>
            <w:tcW w:type="dxa" w:w="72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w:t>
            </w:r>
          </w:p>
        </w:tc>
        <w:tc>
          <w:tcPr>
            <w:tcW w:type="dxa" w:w="244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Higher Silhouette [−1, 1] and lower DB (≥ 0) indicate better separation</w:t>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ARI &amp; Cohen's κ</w:t>
            </w:r>
          </w:p>
        </w:tc>
        <w:tc>
          <w:tcPr>
            <w:tcW w:type="dxa" w:w="4104"/>
          </w:tcPr>
          <w:p>
            <w:pPr>
              <w:keepNext w:val="0"/>
              <w:widowControl/>
              <w:spacing w:line="240" w:lineRule="auto" w:before="30" w:after="30"/>
              <w:ind w:firstLine="0" w:left="0"/>
              <w:jc w:val="left"/>
            </w:pPr>
            <w:r>
              <w:rPr>
                <w:rFonts w:ascii="Times New Roman" w:hAnsi="Times New Roman" w:cs="Times New Roman" w:eastAsia="Times New Roman"/>
                <w:b w:val="0"/>
                <w:i/>
                <w:color w:val="000000"/>
                <w:sz w:val="20"/>
              </w:rPr>
              <w:t>ARI</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RI</w:t>
            </w:r>
            <w:r>
              <w:rPr>
                <w:rFonts w:ascii="Times New Roman" w:hAnsi="Times New Roman" w:cs="Times New Roman" w:eastAsia="Times New Roman"/>
                <w:b w:val="0"/>
                <w:i w:val="0"/>
                <w:color w:val="000000"/>
                <w:sz w:val="20"/>
              </w:rPr>
              <w:t>−E[</w:t>
            </w:r>
            <w:r>
              <w:rPr>
                <w:rFonts w:ascii="Times New Roman" w:hAnsi="Times New Roman" w:cs="Times New Roman" w:eastAsia="Times New Roman"/>
                <w:b w:val="0"/>
                <w:i/>
                <w:color w:val="000000"/>
                <w:sz w:val="20"/>
              </w:rPr>
              <w:t>RI</w:t>
            </w:r>
            <w:r>
              <w:rPr>
                <w:rFonts w:ascii="Times New Roman" w:hAnsi="Times New Roman" w:cs="Times New Roman" w:eastAsia="Times New Roman"/>
                <w:b w:val="0"/>
                <w:i w:val="0"/>
                <w:color w:val="000000"/>
                <w:sz w:val="20"/>
              </w:rPr>
              <w:t xml:space="preserve">])/(max </w:t>
            </w:r>
            <w:r>
              <w:rPr>
                <w:rFonts w:ascii="Times New Roman" w:hAnsi="Times New Roman" w:cs="Times New Roman" w:eastAsia="Times New Roman"/>
                <w:b w:val="0"/>
                <w:i/>
                <w:color w:val="000000"/>
                <w:sz w:val="20"/>
              </w:rPr>
              <w:t>RI</w:t>
            </w:r>
            <w:r>
              <w:rPr>
                <w:rFonts w:ascii="Times New Roman" w:hAnsi="Times New Roman" w:cs="Times New Roman" w:eastAsia="Times New Roman"/>
                <w:b w:val="0"/>
                <w:i w:val="0"/>
                <w:color w:val="000000"/>
                <w:sz w:val="20"/>
              </w:rPr>
              <w:t>−E[</w:t>
            </w:r>
            <w:r>
              <w:rPr>
                <w:rFonts w:ascii="Times New Roman" w:hAnsi="Times New Roman" w:cs="Times New Roman" w:eastAsia="Times New Roman"/>
                <w:b w:val="0"/>
                <w:i/>
                <w:color w:val="000000"/>
                <w:sz w:val="20"/>
              </w:rPr>
              <w:t>RI</w:t>
            </w:r>
            <w:r>
              <w:rPr>
                <w:rFonts w:ascii="Times New Roman" w:hAnsi="Times New Roman" w:cs="Times New Roman" w:eastAsia="Times New Roman"/>
                <w:b w:val="0"/>
                <w:i w:val="0"/>
                <w:color w:val="000000"/>
                <w:sz w:val="20"/>
              </w:rPr>
              <w:t>]); κ =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vertAlign w:val="subscript"/>
              </w:rPr>
              <w:t>o</w:t>
            </w: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vertAlign w:val="subscript"/>
              </w:rPr>
              <w:t>e</w:t>
            </w:r>
            <w:r>
              <w:rPr>
                <w:rFonts w:ascii="Times New Roman" w:hAnsi="Times New Roman" w:cs="Times New Roman" w:eastAsia="Times New Roman"/>
                <w:b w:val="0"/>
                <w:i w:val="0"/>
                <w:color w:val="000000"/>
                <w:sz w:val="20"/>
              </w:rPr>
              <w:t>)/(1−</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vertAlign w:val="subscript"/>
              </w:rPr>
              <w:t>e</w:t>
            </w:r>
            <w:r>
              <w:rPr>
                <w:rFonts w:ascii="Times New Roman" w:hAnsi="Times New Roman" w:cs="Times New Roman" w:eastAsia="Times New Roman"/>
                <w:b w:val="0"/>
                <w:i w:val="0"/>
                <w:color w:val="000000"/>
                <w:sz w:val="20"/>
              </w:rPr>
              <w:t>)</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1, 3, 4</w:t>
            </w:r>
          </w:p>
        </w:tc>
        <w:tc>
          <w:tcPr>
            <w:tcW w:type="dxa" w:w="244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Resampling stability (ARI ≥ .60) and routing/judge agreement</w:t>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Style cosine &amp; Pacing err.</w:t>
            </w:r>
          </w:p>
        </w:tc>
        <w:tc>
          <w:tcPr>
            <w:tcW w:type="dxa" w:w="410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cos(</w:t>
            </w:r>
            <w:r>
              <w:rPr>
                <w:rFonts w:ascii="Times New Roman" w:hAnsi="Times New Roman" w:cs="Times New Roman" w:eastAsia="Times New Roman"/>
                <w:b/>
                <w:i w:val="0"/>
                <w:color w:val="000000"/>
                <w:sz w:val="20"/>
              </w:rPr>
              <w:t>r</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i w:val="0"/>
                <w:color w:val="000000"/>
                <w:sz w:val="20"/>
              </w:rPr>
              <w:t>c</w:t>
            </w:r>
            <w:r>
              <w:rPr>
                <w:rFonts w:ascii="Times New Roman" w:hAnsi="Times New Roman" w:cs="Times New Roman" w:eastAsia="Times New Roman"/>
                <w:b w:val="0"/>
                <w:i/>
                <w:color w:val="000000"/>
                <w:sz w:val="20"/>
                <w:vertAlign w:val="subscript"/>
              </w:rPr>
              <w:t>a</w:t>
            </w:r>
            <w:r>
              <w:rPr>
                <w:rFonts w:ascii="Times New Roman" w:hAnsi="Times New Roman" w:cs="Times New Roman" w:eastAsia="Times New Roman"/>
                <w:b w:val="0"/>
                <w:i w:val="0"/>
                <w:color w:val="000000"/>
                <w:sz w:val="20"/>
              </w:rPr>
              <w:t>) = (</w:t>
            </w:r>
            <w:r>
              <w:rPr>
                <w:rFonts w:ascii="Times New Roman" w:hAnsi="Times New Roman" w:cs="Times New Roman" w:eastAsia="Times New Roman"/>
                <w:b/>
                <w:i w:val="0"/>
                <w:color w:val="000000"/>
                <w:sz w:val="20"/>
              </w:rPr>
              <w:t>r</w:t>
            </w:r>
            <w:r>
              <w:rPr>
                <w:rFonts w:ascii="Times New Roman" w:hAnsi="Times New Roman" w:cs="Times New Roman" w:eastAsia="Times New Roman"/>
                <w:b w:val="0"/>
                <w:i w:val="0"/>
                <w:color w:val="000000"/>
                <w:sz w:val="20"/>
              </w:rPr>
              <w:t>·</w:t>
            </w:r>
            <w:r>
              <w:rPr>
                <w:rFonts w:ascii="Times New Roman" w:hAnsi="Times New Roman" w:cs="Times New Roman" w:eastAsia="Times New Roman"/>
                <w:b/>
                <w:i w:val="0"/>
                <w:color w:val="000000"/>
                <w:sz w:val="20"/>
              </w:rPr>
              <w:t>c</w:t>
            </w:r>
            <w:r>
              <w:rPr>
                <w:rFonts w:ascii="Times New Roman" w:hAnsi="Times New Roman" w:cs="Times New Roman" w:eastAsia="Times New Roman"/>
                <w:b w:val="0"/>
                <w:i/>
                <w:color w:val="000000"/>
                <w:sz w:val="20"/>
                <w:vertAlign w:val="subscript"/>
              </w:rPr>
              <w:t>a</w:t>
            </w:r>
            <w:r>
              <w:rPr>
                <w:rFonts w:ascii="Times New Roman" w:hAnsi="Times New Roman" w:cs="Times New Roman" w:eastAsia="Times New Roman"/>
                <w:b w:val="0"/>
                <w:i w:val="0"/>
                <w:color w:val="000000"/>
                <w:sz w:val="20"/>
              </w:rPr>
              <w:t>)/(‖</w:t>
            </w:r>
            <w:r>
              <w:rPr>
                <w:rFonts w:ascii="Times New Roman" w:hAnsi="Times New Roman" w:cs="Times New Roman" w:eastAsia="Times New Roman"/>
                <w:b/>
                <w:i w:val="0"/>
                <w:color w:val="000000"/>
                <w:sz w:val="20"/>
              </w:rPr>
              <w:t>r</w:t>
            </w:r>
            <w:r>
              <w:rPr>
                <w:rFonts w:ascii="Times New Roman" w:hAnsi="Times New Roman" w:cs="Times New Roman" w:eastAsia="Times New Roman"/>
                <w:b w:val="0"/>
                <w:i w:val="0"/>
                <w:color w:val="000000"/>
                <w:sz w:val="20"/>
              </w:rPr>
              <w:t>‖‖</w:t>
            </w:r>
            <w:r>
              <w:rPr>
                <w:rFonts w:ascii="Times New Roman" w:hAnsi="Times New Roman" w:cs="Times New Roman" w:eastAsia="Times New Roman"/>
                <w:b/>
                <w:i w:val="0"/>
                <w:color w:val="000000"/>
                <w:sz w:val="20"/>
              </w:rPr>
              <w:t>c</w:t>
            </w:r>
            <w:r>
              <w:rPr>
                <w:rFonts w:ascii="Times New Roman" w:hAnsi="Times New Roman" w:cs="Times New Roman" w:eastAsia="Times New Roman"/>
                <w:b w:val="0"/>
                <w:i/>
                <w:color w:val="000000"/>
                <w:sz w:val="20"/>
                <w:vertAlign w:val="subscript"/>
              </w:rPr>
              <w:t>a</w:t>
            </w:r>
            <w:r>
              <w:rPr>
                <w:rFonts w:ascii="Times New Roman" w:hAnsi="Times New Roman" w:cs="Times New Roman" w:eastAsia="Times New Roman"/>
                <w:b w:val="0"/>
                <w:i w:val="0"/>
                <w:color w:val="000000"/>
                <w:sz w:val="20"/>
              </w:rPr>
              <w:t>‖); |</w:t>
            </w:r>
            <w:r>
              <w:rPr>
                <w:rFonts w:ascii="Times New Roman" w:hAnsi="Times New Roman" w:cs="Times New Roman" w:eastAsia="Times New Roman"/>
                <w:b w:val="0"/>
                <w:i/>
                <w:color w:val="000000"/>
                <w:sz w:val="20"/>
              </w:rPr>
              <w:t>W</w:t>
            </w:r>
            <w:r>
              <w:rPr>
                <w:rFonts w:ascii="Times New Roman" w:hAnsi="Times New Roman" w:cs="Times New Roman" w:eastAsia="Times New Roman"/>
                <w:b w:val="0"/>
                <w:i w:val="0"/>
                <w:color w:val="000000"/>
                <w:sz w:val="20"/>
                <w:vertAlign w:val="subscript"/>
              </w:rPr>
              <w:t>gen</w:t>
            </w:r>
            <w:r>
              <w:rPr>
                <w:rFonts w:ascii="Times New Roman" w:hAnsi="Times New Roman" w:cs="Times New Roman" w:eastAsia="Times New Roman"/>
                <w:b w:val="0"/>
                <w:i w:val="0"/>
                <w:color w:val="000000"/>
                <w:sz w:val="20"/>
              </w:rPr>
              <w:t xml:space="preserve"> − μ</w:t>
            </w:r>
            <w:r>
              <w:rPr>
                <w:rFonts w:ascii="Times New Roman" w:hAnsi="Times New Roman" w:cs="Times New Roman" w:eastAsia="Times New Roman"/>
                <w:b w:val="0"/>
                <w:i/>
                <w:color w:val="000000"/>
                <w:sz w:val="20"/>
                <w:vertAlign w:val="subscript"/>
              </w:rPr>
              <w:t>W</w:t>
            </w:r>
            <w:r>
              <w:rPr>
                <w:rFonts w:ascii="Times New Roman" w:hAnsi="Times New Roman" w:cs="Times New Roman" w:eastAsia="Times New Roman"/>
                <w:b w:val="0"/>
                <w:i w:val="0"/>
                <w:color w:val="000000"/>
                <w:sz w:val="20"/>
                <w:vertAlign w:val="subscript"/>
              </w:rPr>
              <w:t>,</w:t>
            </w:r>
            <w:r>
              <w:rPr>
                <w:rFonts w:ascii="Times New Roman" w:hAnsi="Times New Roman" w:cs="Times New Roman" w:eastAsia="Times New Roman"/>
                <w:b w:val="0"/>
                <w:i/>
                <w:color w:val="000000"/>
                <w:sz w:val="20"/>
                <w:vertAlign w:val="subscript"/>
              </w:rPr>
              <w:t>a</w:t>
            </w:r>
            <w:r>
              <w:rPr>
                <w:rFonts w:ascii="Times New Roman" w:hAnsi="Times New Roman" w:cs="Times New Roman" w:eastAsia="Times New Roman"/>
                <w:b w:val="0"/>
                <w:i w:val="0"/>
                <w:color w:val="000000"/>
                <w:sz w:val="20"/>
              </w:rPr>
              <w:t>|</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2, 3</w:t>
            </w:r>
          </w:p>
        </w:tc>
        <w:tc>
          <w:tcPr>
            <w:tcW w:type="dxa" w:w="244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Higher cosine and lower word error indicate better style alignment</w:t>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Rule adherence (RAR)</w:t>
            </w:r>
          </w:p>
        </w:tc>
        <w:tc>
          <w:tcPr>
            <w:tcW w:type="dxa" w:w="410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color w:val="000000"/>
                <w:sz w:val="20"/>
              </w:rPr>
              <w:t>R</w:t>
            </w:r>
            <w:r>
              <w:rPr>
                <w:rFonts w:ascii="Times New Roman" w:hAnsi="Times New Roman" w:cs="Times New Roman" w:eastAsia="Times New Roman"/>
                <w:b w:val="0"/>
                <w:i w:val="0"/>
                <w:color w:val="000000"/>
                <w:sz w:val="20"/>
                <w:vertAlign w:val="subscript"/>
              </w:rPr>
              <w:t>enforced</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R</w:t>
            </w:r>
            <w:r>
              <w:rPr>
                <w:rFonts w:ascii="Times New Roman" w:hAnsi="Times New Roman" w:cs="Times New Roman" w:eastAsia="Times New Roman"/>
                <w:b w:val="0"/>
                <w:i w:val="0"/>
                <w:color w:val="000000"/>
                <w:sz w:val="20"/>
                <w:vertAlign w:val="subscript"/>
              </w:rPr>
              <w:t>violated</w:t>
            </w:r>
            <w:r>
              <w:rPr>
                <w:rFonts w:ascii="Times New Roman" w:hAnsi="Times New Roman" w:cs="Times New Roman" w:eastAsia="Times New Roman"/>
                <w:b w:val="0"/>
                <w:i w:val="0"/>
                <w:color w:val="000000"/>
                <w:sz w:val="20"/>
              </w:rPr>
              <w:t>| / |</w:t>
            </w:r>
            <w:r>
              <w:rPr>
                <w:rFonts w:ascii="Times New Roman" w:hAnsi="Times New Roman" w:cs="Times New Roman" w:eastAsia="Times New Roman"/>
                <w:b w:val="0"/>
                <w:i/>
                <w:color w:val="000000"/>
                <w:sz w:val="20"/>
              </w:rPr>
              <w:t>R</w:t>
            </w:r>
            <w:r>
              <w:rPr>
                <w:rFonts w:ascii="Times New Roman" w:hAnsi="Times New Roman" w:cs="Times New Roman" w:eastAsia="Times New Roman"/>
                <w:b w:val="0"/>
                <w:i w:val="0"/>
                <w:color w:val="000000"/>
                <w:sz w:val="20"/>
                <w:vertAlign w:val="subscript"/>
              </w:rPr>
              <w:t>violated</w:t>
            </w:r>
            <w:r>
              <w:rPr>
                <w:rFonts w:ascii="Times New Roman" w:hAnsi="Times New Roman" w:cs="Times New Roman" w:eastAsia="Times New Roman"/>
                <w:b w:val="0"/>
                <w:i w:val="0"/>
                <w:color w:val="000000"/>
                <w:sz w:val="20"/>
              </w:rPr>
              <w:t>| (or 1 − false_block)</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w:t>
            </w:r>
          </w:p>
        </w:tc>
        <w:tc>
          <w:tcPr>
            <w:tcW w:type="dxa" w:w="244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Proportion [0, 1] of active policy rules properly enforced</w:t>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Exemplar leakage (ELR)</w:t>
            </w:r>
          </w:p>
        </w:tc>
        <w:tc>
          <w:tcPr>
            <w:tcW w:type="dxa" w:w="410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w:t>
            </w:r>
            <w:r>
              <w:rPr>
                <w:rFonts w:ascii="Times New Roman" w:hAnsi="Times New Roman" w:cs="Times New Roman" w:eastAsia="Times New Roman"/>
                <w:b w:val="0"/>
                <w:i/>
                <w:color w:val="000000"/>
                <w:sz w:val="20"/>
              </w:rPr>
              <w:t>E</w:t>
            </w:r>
            <w:r>
              <w:rPr>
                <w:rFonts w:ascii="Times New Roman" w:hAnsi="Times New Roman" w:cs="Times New Roman" w:eastAsia="Times New Roman"/>
                <w:b w:val="0"/>
                <w:i w:val="0"/>
                <w:color w:val="000000"/>
                <w:sz w:val="20"/>
                <w:vertAlign w:val="subscript"/>
              </w:rPr>
              <w:t>resp</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E</w:t>
            </w:r>
            <w:r>
              <w:rPr>
                <w:rFonts w:ascii="Times New Roman" w:hAnsi="Times New Roman" w:cs="Times New Roman" w:eastAsia="Times New Roman"/>
                <w:b w:val="0"/>
                <w:i w:val="0"/>
                <w:color w:val="000000"/>
                <w:sz w:val="20"/>
                <w:vertAlign w:val="subscript"/>
              </w:rPr>
              <w:t>ex</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E</w:t>
            </w:r>
            <w:r>
              <w:rPr>
                <w:rFonts w:ascii="Times New Roman" w:hAnsi="Times New Roman" w:cs="Times New Roman" w:eastAsia="Times New Roman"/>
                <w:b w:val="0"/>
                <w:i w:val="0"/>
                <w:color w:val="000000"/>
                <w:sz w:val="20"/>
                <w:vertAlign w:val="subscript"/>
              </w:rPr>
              <w:t>diag</w:t>
            </w:r>
            <w:r>
              <w:rPr>
                <w:rFonts w:ascii="Times New Roman" w:hAnsi="Times New Roman" w:cs="Times New Roman" w:eastAsia="Times New Roman"/>
                <w:b w:val="0"/>
                <w:i w:val="0"/>
                <w:color w:val="000000"/>
                <w:sz w:val="20"/>
              </w:rPr>
              <w:t>)| / max(1, |</w:t>
            </w:r>
            <w:r>
              <w:rPr>
                <w:rFonts w:ascii="Times New Roman" w:hAnsi="Times New Roman" w:cs="Times New Roman" w:eastAsia="Times New Roman"/>
                <w:b w:val="0"/>
                <w:i/>
                <w:color w:val="000000"/>
                <w:sz w:val="20"/>
              </w:rPr>
              <w:t>E</w:t>
            </w:r>
            <w:r>
              <w:rPr>
                <w:rFonts w:ascii="Times New Roman" w:hAnsi="Times New Roman" w:cs="Times New Roman" w:eastAsia="Times New Roman"/>
                <w:b w:val="0"/>
                <w:i w:val="0"/>
                <w:color w:val="000000"/>
                <w:sz w:val="20"/>
                <w:vertAlign w:val="subscript"/>
              </w:rPr>
              <w:t>resp</w:t>
            </w:r>
            <w:r>
              <w:rPr>
                <w:rFonts w:ascii="Times New Roman" w:hAnsi="Times New Roman" w:cs="Times New Roman" w:eastAsia="Times New Roman"/>
                <w:b w:val="0"/>
                <w:i w:val="0"/>
                <w:color w:val="000000"/>
                <w:sz w:val="20"/>
              </w:rPr>
              <w:t>|)</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w:t>
            </w:r>
          </w:p>
        </w:tc>
        <w:tc>
          <w:tcPr>
            <w:tcW w:type="dxa" w:w="244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Proportion [0, 1] of response entities leaked from prompt exemplars</w:t>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Slot coverage F</w:t>
            </w:r>
            <w:r>
              <w:rPr>
                <w:rFonts w:ascii="Times New Roman" w:hAnsi="Times New Roman" w:cs="Times New Roman" w:eastAsia="Times New Roman"/>
                <w:b w:val="0"/>
                <w:i w:val="0"/>
                <w:color w:val="000000"/>
                <w:sz w:val="20"/>
                <w:vertAlign w:val="subscript"/>
              </w:rPr>
              <w:t>1</w:t>
            </w:r>
          </w:p>
        </w:tc>
        <w:tc>
          <w:tcPr>
            <w:tcW w:type="dxa" w:w="410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2 · Precision · Recall / (Precision + Recall) over active state slots</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w:t>
            </w:r>
          </w:p>
        </w:tc>
        <w:tc>
          <w:tcPr>
            <w:tcW w:type="dxa" w:w="244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Proportion [0, 1] of active booking slots grounded in response</w:t>
            </w:r>
          </w:p>
        </w:tc>
      </w:tr>
      <w:tr>
        <w:trPr>
          <w:cantSplit/>
        </w:trPr>
        <w:tc>
          <w:tcPr>
            <w:tcW w:type="dxa" w:w="208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Turns to goal &amp; RER</w:t>
            </w:r>
          </w:p>
        </w:tc>
        <w:tc>
          <w:tcPr>
            <w:tcW w:type="dxa" w:w="410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TGC = turns to [ACCEPT_BOOKING]; RER = </w:t>
            </w:r>
            <w:r>
              <w:rPr>
                <w:rFonts w:ascii="Times New Roman" w:hAnsi="Times New Roman" w:cs="Times New Roman" w:eastAsia="Times New Roman"/>
                <w:b w:val="0"/>
                <w:i/>
                <w:color w:val="000000"/>
                <w:sz w:val="20"/>
              </w:rPr>
              <w:t>A</w:t>
            </w:r>
            <w:r>
              <w:rPr>
                <w:rFonts w:ascii="Times New Roman" w:hAnsi="Times New Roman" w:cs="Times New Roman" w:eastAsia="Times New Roman"/>
                <w:b w:val="0"/>
                <w:i w:val="0"/>
                <w:color w:val="000000"/>
                <w:sz w:val="20"/>
                <w:vertAlign w:val="subscript"/>
              </w:rPr>
              <w:t>redundant</w:t>
            </w:r>
            <w:r>
              <w:rPr>
                <w:rFonts w:ascii="Times New Roman" w:hAnsi="Times New Roman" w:cs="Times New Roman" w:eastAsia="Times New Roman"/>
                <w:b w:val="0"/>
                <w:i w:val="0"/>
                <w:color w:val="000000"/>
                <w:sz w:val="20"/>
              </w:rPr>
              <w:t xml:space="preserve"> / </w:t>
            </w:r>
            <w:r>
              <w:rPr>
                <w:rFonts w:ascii="Times New Roman" w:hAnsi="Times New Roman" w:cs="Times New Roman" w:eastAsia="Times New Roman"/>
                <w:b w:val="0"/>
                <w:i/>
                <w:color w:val="000000"/>
                <w:sz w:val="20"/>
              </w:rPr>
              <w:t>A</w:t>
            </w:r>
            <w:r>
              <w:rPr>
                <w:rFonts w:ascii="Times New Roman" w:hAnsi="Times New Roman" w:cs="Times New Roman" w:eastAsia="Times New Roman"/>
                <w:b w:val="0"/>
                <w:i w:val="0"/>
                <w:color w:val="000000"/>
                <w:sz w:val="20"/>
                <w:vertAlign w:val="subscript"/>
              </w:rPr>
              <w:t>total</w:t>
            </w:r>
          </w:p>
        </w:tc>
        <w:tc>
          <w:tcPr>
            <w:tcW w:type="dxa" w:w="72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4</w:t>
            </w:r>
          </w:p>
        </w:tc>
        <w:tc>
          <w:tcPr>
            <w:tcW w:type="dxa" w:w="244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Lower log turns and lower RER indicate superior turn economy</w:t>
            </w:r>
          </w:p>
        </w:tc>
      </w:tr>
    </w:tbl>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Parametric ANOVAs are paired with Welch/HC3 and non-parametric (Kruskal–Wallis, Friedman, Mann–Whitney, ART; Wobbrock et al., 2011) checks.</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Architecture and Workflow</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System Architecture and Algorithmic Workflows</w:t>
      </w:r>
    </w:p>
    <w:p>
      <w:pPr>
        <w:keepNext w:val="0"/>
        <w:widowControl/>
        <w:spacing w:line="480" w:lineRule="auto" w:before="0" w:after="0"/>
        <w:ind w:firstLine="720" w:left="0"/>
        <w:jc w:val="left"/>
      </w:pPr>
      <w:r>
        <w:fldChar w:fldCharType="begin"/>
      </w:r>
      <w:r>
        <w:instrText xml:space="preserve"> REF _RefFig4 \h \* MERGEFORMAT </w:instrText>
      </w:r>
      <w:r>
        <w:fldChar w:fldCharType="separate"/>
      </w:r>
      <w:r>
        <w:rPr>
          <w:rFonts w:ascii="Times New Roman" w:hAnsi="Times New Roman" w:cs="Times New Roman" w:eastAsia="Times New Roman"/>
          <w:b w:val="0"/>
          <w:i w:val="0"/>
          <w:color w:val="000000"/>
          <w:sz w:val="24"/>
        </w:rPr>
        <w:t>Figure 4</w:t>
      </w:r>
      <w:r>
        <w:fldChar w:fldCharType="end"/>
      </w:r>
      <w:r>
        <w:rPr>
          <w:rFonts w:ascii="Times New Roman" w:hAnsi="Times New Roman" w:cs="Times New Roman" w:eastAsia="Times New Roman"/>
          <w:b w:val="0"/>
          <w:i w:val="0"/>
          <w:color w:val="000000"/>
          <w:sz w:val="24"/>
        </w:rPr>
        <w:t xml:space="preserve"> illustrates the five-layer neuro-symbolic system architecture, and </w:t>
      </w:r>
      <w:r>
        <w:fldChar w:fldCharType="begin"/>
      </w:r>
      <w:r>
        <w:instrText xml:space="preserve"> REF _RefFig5 \h \* MERGEFORMAT </w:instrText>
      </w:r>
      <w:r>
        <w:fldChar w:fldCharType="separate"/>
      </w:r>
      <w:r>
        <w:rPr>
          <w:rFonts w:ascii="Times New Roman" w:hAnsi="Times New Roman" w:cs="Times New Roman" w:eastAsia="Times New Roman"/>
          <w:b w:val="0"/>
          <w:i w:val="0"/>
          <w:color w:val="000000"/>
          <w:sz w:val="24"/>
        </w:rPr>
        <w:t>Figure 5</w:t>
      </w:r>
      <w:r>
        <w:fldChar w:fldCharType="end"/>
      </w:r>
      <w:r>
        <w:rPr>
          <w:rFonts w:ascii="Times New Roman" w:hAnsi="Times New Roman" w:cs="Times New Roman" w:eastAsia="Times New Roman"/>
          <w:b w:val="0"/>
          <w:i w:val="0"/>
          <w:color w:val="000000"/>
          <w:sz w:val="24"/>
        </w:rPr>
        <w:t xml:space="preserve"> details the step-by-step execution workflows for RQ1 through RQ4. Offline discovery and indexing (Layers 1–2) operate strictly on the golden partition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vertAlign w:val="subscript"/>
        </w:rPr>
        <w:t>gold</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933): raw dialogues are parsed into two-tier Pydantic trajectories, prefix embeddings (</w:t>
      </w:r>
      <w:r>
        <w:rPr>
          <w:rFonts w:ascii="Times New Roman" w:hAnsi="Times New Roman" w:cs="Times New Roman" w:eastAsia="Times New Roman"/>
          <w:b w:val="0"/>
          <w:i/>
          <w:color w:val="000000"/>
          <w:sz w:val="24"/>
        </w:rPr>
        <w:t>gemini-embedding-001</w:t>
      </w:r>
      <w:r>
        <w:rPr>
          <w:rFonts w:ascii="Times New Roman" w:hAnsi="Times New Roman" w:cs="Times New Roman" w:eastAsia="Times New Roman"/>
          <w:b w:val="0"/>
          <w:i w:val="0"/>
          <w:color w:val="000000"/>
          <w:sz w:val="24"/>
        </w:rPr>
        <w:t xml:space="preserve">) and 16-field LLM behavioral profiles are combined into the </w:t>
      </w:r>
      <w:r>
        <w:rPr>
          <w:rFonts w:ascii="Times New Roman" w:hAnsi="Times New Roman" w:cs="Times New Roman" w:eastAsia="Times New Roman"/>
          <w:b w:val="0"/>
          <w:i/>
          <w:color w:val="000000"/>
          <w:sz w:val="24"/>
        </w:rPr>
        <w:t>Blocks</w:t>
      </w:r>
      <w:r>
        <w:rPr>
          <w:rFonts w:ascii="Times New Roman" w:hAnsi="Times New Roman" w:cs="Times New Roman" w:eastAsia="Times New Roman"/>
          <w:b w:val="0"/>
          <w:i w:val="0"/>
          <w:color w:val="000000"/>
          <w:sz w:val="24"/>
        </w:rPr>
        <w:t xml:space="preserve"> representation on the first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9 user messages, and three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 xml:space="preserve">-Means centroids, three archetype-specific FAISS </w:t>
      </w:r>
      <w:r>
        <w:rPr>
          <w:rFonts w:ascii="Times New Roman" w:hAnsi="Times New Roman" w:cs="Times New Roman" w:eastAsia="Times New Roman"/>
          <w:b w:val="0"/>
          <w:i/>
          <w:color w:val="000000"/>
          <w:sz w:val="24"/>
        </w:rPr>
        <w:t>IndexFlatIP</w:t>
      </w:r>
      <w:r>
        <w:rPr>
          <w:rFonts w:ascii="Times New Roman" w:hAnsi="Times New Roman" w:cs="Times New Roman" w:eastAsia="Times New Roman"/>
          <w:b w:val="0"/>
          <w:i w:val="0"/>
          <w:color w:val="000000"/>
          <w:sz w:val="24"/>
        </w:rPr>
        <w:t xml:space="preserve"> sub-indices, and the L1-regularized prefix router are frozen. Online runtime and evaluation (Layers 3–5) operate on held-out test dialogues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vertAlign w:val="subscript"/>
        </w:rPr>
        <w:t>test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401): incoming prefixes are projected into the golden </w:t>
      </w:r>
      <w:r>
        <w:rPr>
          <w:rFonts w:ascii="Times New Roman" w:hAnsi="Times New Roman" w:cs="Times New Roman" w:eastAsia="Times New Roman"/>
          <w:b w:val="0"/>
          <w:i/>
          <w:color w:val="000000"/>
          <w:sz w:val="24"/>
        </w:rPr>
        <w:t>Blocks</w:t>
      </w:r>
      <w:r>
        <w:rPr>
          <w:rFonts w:ascii="Times New Roman" w:hAnsi="Times New Roman" w:cs="Times New Roman" w:eastAsia="Times New Roman"/>
          <w:b w:val="0"/>
          <w:i w:val="0"/>
          <w:color w:val="000000"/>
          <w:sz w:val="24"/>
        </w:rPr>
        <w:t xml:space="preserve"> space and routed to their predicted archetype,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 xml:space="preserve"> = 3 slot-masked exemplars are retrieved, the Verified Informed Slot Ledger and declarative YAML rule engine evaluate state constraints, </w:t>
      </w:r>
      <w:r>
        <w:rPr>
          <w:rFonts w:ascii="Times New Roman" w:hAnsi="Times New Roman" w:cs="Times New Roman" w:eastAsia="Times New Roman"/>
          <w:b w:val="0"/>
          <w:i/>
          <w:color w:val="000000"/>
          <w:sz w:val="24"/>
        </w:rPr>
        <w:t>gemini-2.5-flash</w:t>
      </w:r>
      <w:r>
        <w:rPr>
          <w:rFonts w:ascii="Times New Roman" w:hAnsi="Times New Roman" w:cs="Times New Roman" w:eastAsia="Times New Roman"/>
          <w:b w:val="0"/>
          <w:i w:val="0"/>
          <w:color w:val="000000"/>
          <w:sz w:val="24"/>
        </w:rPr>
        <w:t xml:space="preserve"> generates the response with post-generation entity-leakage sanitization, and outputs are scored and cross-validated by an independent </w:t>
      </w:r>
      <w:r>
        <w:rPr>
          <w:rFonts w:ascii="Times New Roman" w:hAnsi="Times New Roman" w:cs="Times New Roman" w:eastAsia="Times New Roman"/>
          <w:b w:val="0"/>
          <w:i/>
          <w:color w:val="000000"/>
          <w:sz w:val="24"/>
        </w:rPr>
        <w:t>gemini-2.5-pro</w:t>
      </w:r>
      <w:r>
        <w:rPr>
          <w:rFonts w:ascii="Times New Roman" w:hAnsi="Times New Roman" w:cs="Times New Roman" w:eastAsia="Times New Roman"/>
          <w:b w:val="0"/>
          <w:i w:val="0"/>
          <w:color w:val="000000"/>
          <w:sz w:val="24"/>
        </w:rPr>
        <w:t xml:space="preserve"> judge.</w:t>
      </w:r>
    </w:p>
    <w:p>
      <w:pPr>
        <w:keepNext/>
        <w:widowControl/>
        <w:spacing w:line="480" w:lineRule="auto" w:before="120" w:after="0"/>
        <w:ind w:firstLine="0" w:left="0"/>
        <w:jc w:val="left"/>
      </w:pPr>
      <w:bookmarkStart w:name="_RefFig4" w:id="223"/>
      <w:r>
        <w:rPr>
          <w:rFonts w:ascii="Times New Roman" w:hAnsi="Times New Roman" w:cs="Times New Roman" w:eastAsia="Times New Roman"/>
          <w:b/>
          <w:color w:val="000000"/>
          <w:sz w:val="24"/>
        </w:rPr>
        <w:t xml:space="preserve">Figure </w:t>
      </w:r>
      <w:bookmarkStart w:name="_RefFigN4" w:id="224"/>
      <w:r>
        <w:rPr>
          <w:rFonts w:ascii="Times New Roman" w:hAnsi="Times New Roman" w:cs="Times New Roman" w:eastAsia="Times New Roman"/>
          <w:b/>
          <w:color w:val="000000"/>
          <w:sz w:val="24"/>
        </w:rPr>
        <w:t>4</w:t>
      </w:r>
      <w:bookmarkEnd w:id="224"/>
      <w:bookmarkEnd w:id="223"/>
    </w:p>
    <w:p>
      <w:pPr>
        <w:keepNext/>
        <w:widowControl/>
        <w:spacing w:line="480" w:lineRule="auto" w:before="0" w:after="0"/>
        <w:ind w:firstLine="0" w:left="0"/>
        <w:jc w:val="left"/>
      </w:pPr>
      <w:r>
        <w:rPr>
          <w:rFonts w:ascii="Times New Roman" w:hAnsi="Times New Roman" w:cs="Times New Roman" w:eastAsia="Times New Roman"/>
          <w:b w:val="0"/>
          <w:i/>
          <w:color w:val="000000"/>
          <w:sz w:val="24"/>
        </w:rPr>
        <w:t>End-to-End Neuro-Symbolic Cluster-Adaptive Conversational System Architecture</w:t>
      </w:r>
    </w:p>
    <w:p>
      <w:pPr>
        <w:keepNext/>
        <w:widowControl/>
        <w:spacing w:line="240" w:lineRule="auto" w:before="0" w:after="0"/>
        <w:ind w:firstLine="0" w:left="0"/>
        <w:jc w:val="center"/>
      </w:pPr>
      <w:r>
        <w:drawing>
          <wp:inline xmlns:a="http://schemas.openxmlformats.org/drawingml/2006/main" xmlns:pic="http://schemas.openxmlformats.org/drawingml/2006/picture">
            <wp:extent cx="4114800" cy="1843430"/>
            <wp:docPr id="4" name="Picture 4"/>
            <wp:cNvGraphicFramePr>
              <a:graphicFrameLocks noChangeAspect="1"/>
            </wp:cNvGraphicFramePr>
            <a:graphic>
              <a:graphicData uri="http://schemas.openxmlformats.org/drawingml/2006/picture">
                <pic:pic>
                  <pic:nvPicPr>
                    <pic:cNvPr id="0" name="fig_system_architecture.png"/>
                    <pic:cNvPicPr/>
                  </pic:nvPicPr>
                  <pic:blipFill>
                    <a:blip r:embed="rId14"/>
                    <a:stretch>
                      <a:fillRect/>
                    </a:stretch>
                  </pic:blipFill>
                  <pic:spPr>
                    <a:xfrm>
                      <a:off x="0" y="0"/>
                      <a:ext cx="4114800" cy="1843430"/>
                    </a:xfrm>
                    <a:prstGeom prst="rect"/>
                  </pic:spPr>
                </pic:pic>
              </a:graphicData>
            </a:graphic>
          </wp:inline>
        </w:drawing>
      </w:r>
    </w:p>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Offline fitting uses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vertAlign w:val="subscript"/>
        </w:rPr>
        <w:t>gold</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933); online routing, retrieval, rule verification, and evaluation use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vertAlign w:val="subscript"/>
        </w:rPr>
        <w:t>test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401).</w:t>
      </w:r>
    </w:p>
    <w:p>
      <w:pPr>
        <w:keepNext/>
        <w:widowControl/>
        <w:spacing w:line="480" w:lineRule="auto" w:before="120" w:after="0"/>
        <w:ind w:firstLine="0" w:left="0"/>
        <w:jc w:val="left"/>
      </w:pPr>
      <w:bookmarkStart w:name="_RefFig5" w:id="225"/>
      <w:r>
        <w:rPr>
          <w:rFonts w:ascii="Times New Roman" w:hAnsi="Times New Roman" w:cs="Times New Roman" w:eastAsia="Times New Roman"/>
          <w:b/>
          <w:color w:val="000000"/>
          <w:sz w:val="24"/>
        </w:rPr>
        <w:t xml:space="preserve">Figure </w:t>
      </w:r>
      <w:bookmarkStart w:name="_RefFigN5" w:id="226"/>
      <w:r>
        <w:rPr>
          <w:rFonts w:ascii="Times New Roman" w:hAnsi="Times New Roman" w:cs="Times New Roman" w:eastAsia="Times New Roman"/>
          <w:b/>
          <w:color w:val="000000"/>
          <w:sz w:val="24"/>
        </w:rPr>
        <w:t>5</w:t>
      </w:r>
      <w:bookmarkEnd w:id="226"/>
      <w:bookmarkEnd w:id="225"/>
    </w:p>
    <w:p>
      <w:pPr>
        <w:keepNext/>
        <w:widowControl/>
        <w:spacing w:line="480" w:lineRule="auto" w:before="0" w:after="0"/>
        <w:ind w:firstLine="0" w:left="0"/>
        <w:jc w:val="left"/>
      </w:pPr>
      <w:r>
        <w:rPr>
          <w:rFonts w:ascii="Times New Roman" w:hAnsi="Times New Roman" w:cs="Times New Roman" w:eastAsia="Times New Roman"/>
          <w:b w:val="0"/>
          <w:i/>
          <w:color w:val="000000"/>
          <w:sz w:val="24"/>
        </w:rPr>
        <w:t>Algorithmic Execution Workflows Across Research Questions RQ1 to RQ4</w:t>
      </w:r>
    </w:p>
    <w:p>
      <w:pPr>
        <w:keepNext/>
        <w:widowControl/>
        <w:spacing w:line="240" w:lineRule="auto" w:before="0" w:after="0"/>
        <w:ind w:firstLine="0" w:left="0"/>
        <w:jc w:val="center"/>
      </w:pPr>
      <w:r>
        <w:drawing>
          <wp:inline xmlns:a="http://schemas.openxmlformats.org/drawingml/2006/main" xmlns:pic="http://schemas.openxmlformats.org/drawingml/2006/picture">
            <wp:extent cx="4114800" cy="2443162"/>
            <wp:docPr id="5" name="Picture 5"/>
            <wp:cNvGraphicFramePr>
              <a:graphicFrameLocks noChangeAspect="1"/>
            </wp:cNvGraphicFramePr>
            <a:graphic>
              <a:graphicData uri="http://schemas.openxmlformats.org/drawingml/2006/picture">
                <pic:pic>
                  <pic:nvPicPr>
                    <pic:cNvPr id="0" name="fig_rq_workflows_4panel.png"/>
                    <pic:cNvPicPr/>
                  </pic:nvPicPr>
                  <pic:blipFill>
                    <a:blip r:embed="rId15"/>
                    <a:stretch>
                      <a:fillRect/>
                    </a:stretch>
                  </pic:blipFill>
                  <pic:spPr>
                    <a:xfrm>
                      <a:off x="0" y="0"/>
                      <a:ext cx="4114800" cy="2443162"/>
                    </a:xfrm>
                    <a:prstGeom prst="rect"/>
                  </pic:spPr>
                </pic:pic>
              </a:graphicData>
            </a:graphic>
          </wp:inline>
        </w:drawing>
      </w:r>
    </w:p>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Step-by-step experimental pipelines and statistical hypothesis tests for RQ1 (Panel A), RQ2 (Panel B), RQ3 (Panel C), and RQ4 (Panel D).</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Pipeline Component Specifications and Technology Stack</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The software stack is implemented in Python 3.11 across </w:t>
      </w:r>
      <w:r>
        <w:rPr>
          <w:rFonts w:ascii="Times New Roman" w:hAnsi="Times New Roman" w:cs="Times New Roman" w:eastAsia="Times New Roman"/>
          <w:b w:val="0"/>
          <w:i/>
          <w:color w:val="000000"/>
          <w:sz w:val="24"/>
        </w:rPr>
        <w:t>src/interim_pipeline/</w:t>
      </w:r>
      <w:r>
        <w:rPr>
          <w:rFonts w:ascii="Times New Roman" w:hAnsi="Times New Roman" w:cs="Times New Roman" w:eastAsia="Times New Roman"/>
          <w:b w:val="0"/>
          <w:i w:val="0"/>
          <w:color w:val="000000"/>
          <w:sz w:val="24"/>
        </w:rPr>
        <w:t xml:space="preserve"> and </w:t>
      </w:r>
      <w:r>
        <w:rPr>
          <w:rFonts w:ascii="Times New Roman" w:hAnsi="Times New Roman" w:cs="Times New Roman" w:eastAsia="Times New Roman"/>
          <w:b w:val="0"/>
          <w:i/>
          <w:color w:val="000000"/>
          <w:sz w:val="24"/>
        </w:rPr>
        <w:t>src/final_pipeline/</w:t>
      </w:r>
      <w:r>
        <w:rPr>
          <w:rFonts w:ascii="Times New Roman" w:hAnsi="Times New Roman" w:cs="Times New Roman" w:eastAsia="Times New Roman"/>
          <w:b w:val="0"/>
          <w:i w:val="0"/>
          <w:color w:val="000000"/>
          <w:sz w:val="24"/>
        </w:rPr>
        <w:t xml:space="preserve"> using </w:t>
      </w:r>
      <w:r>
        <w:rPr>
          <w:rFonts w:ascii="Times New Roman" w:hAnsi="Times New Roman" w:cs="Times New Roman" w:eastAsia="Times New Roman"/>
          <w:b w:val="0"/>
          <w:i/>
          <w:color w:val="000000"/>
          <w:sz w:val="24"/>
        </w:rPr>
        <w:t>pandas</w:t>
      </w:r>
      <w:r>
        <w:rPr>
          <w:rFonts w:ascii="Times New Roman" w:hAnsi="Times New Roman" w:cs="Times New Roman" w:eastAsia="Times New Roman"/>
          <w:b w:val="0"/>
          <w:i w:val="0"/>
          <w:color w:val="000000"/>
          <w:sz w:val="24"/>
        </w:rPr>
        <w:t xml:space="preserve"> 2.2, </w:t>
      </w:r>
      <w:r>
        <w:rPr>
          <w:rFonts w:ascii="Times New Roman" w:hAnsi="Times New Roman" w:cs="Times New Roman" w:eastAsia="Times New Roman"/>
          <w:b w:val="0"/>
          <w:i/>
          <w:color w:val="000000"/>
          <w:sz w:val="24"/>
        </w:rPr>
        <w:t>numpy</w:t>
      </w:r>
      <w:r>
        <w:rPr>
          <w:rFonts w:ascii="Times New Roman" w:hAnsi="Times New Roman" w:cs="Times New Roman" w:eastAsia="Times New Roman"/>
          <w:b w:val="0"/>
          <w:i w:val="0"/>
          <w:color w:val="000000"/>
          <w:sz w:val="24"/>
        </w:rPr>
        <w:t xml:space="preserve"> 1.26, and </w:t>
      </w:r>
      <w:r>
        <w:rPr>
          <w:rFonts w:ascii="Times New Roman" w:hAnsi="Times New Roman" w:cs="Times New Roman" w:eastAsia="Times New Roman"/>
          <w:b w:val="0"/>
          <w:i/>
          <w:color w:val="000000"/>
          <w:sz w:val="24"/>
        </w:rPr>
        <w:t>pydantic</w:t>
      </w:r>
      <w:r>
        <w:rPr>
          <w:rFonts w:ascii="Times New Roman" w:hAnsi="Times New Roman" w:cs="Times New Roman" w:eastAsia="Times New Roman"/>
          <w:b w:val="0"/>
          <w:i w:val="0"/>
          <w:color w:val="000000"/>
          <w:sz w:val="24"/>
        </w:rPr>
        <w:t xml:space="preserve"> 2.9 for data validation; </w:t>
      </w:r>
      <w:r>
        <w:rPr>
          <w:rFonts w:ascii="Times New Roman" w:hAnsi="Times New Roman" w:cs="Times New Roman" w:eastAsia="Times New Roman"/>
          <w:b w:val="0"/>
          <w:i/>
          <w:color w:val="000000"/>
          <w:sz w:val="24"/>
        </w:rPr>
        <w:t>sentence-transformers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all-MiniLM-L6-v2</w:t>
      </w:r>
      <w:r>
        <w:rPr>
          <w:rFonts w:ascii="Times New Roman" w:hAnsi="Times New Roman" w:cs="Times New Roman" w:eastAsia="Times New Roman"/>
          <w:b w:val="0"/>
          <w:i w:val="0"/>
          <w:color w:val="000000"/>
          <w:sz w:val="24"/>
        </w:rPr>
        <w:t xml:space="preserve">), Google </w:t>
      </w:r>
      <w:r>
        <w:rPr>
          <w:rFonts w:ascii="Times New Roman" w:hAnsi="Times New Roman" w:cs="Times New Roman" w:eastAsia="Times New Roman"/>
          <w:b w:val="0"/>
          <w:i/>
          <w:color w:val="000000"/>
          <w:sz w:val="24"/>
        </w:rPr>
        <w:t>genai</w:t>
      </w:r>
      <w:r>
        <w:rPr>
          <w:rFonts w:ascii="Times New Roman" w:hAnsi="Times New Roman" w:cs="Times New Roman" w:eastAsia="Times New Roman"/>
          <w:b w:val="0"/>
          <w:i w:val="0"/>
          <w:color w:val="000000"/>
          <w:sz w:val="24"/>
        </w:rPr>
        <w:t xml:space="preserve"> SDK (</w:t>
      </w:r>
      <w:r>
        <w:rPr>
          <w:rFonts w:ascii="Times New Roman" w:hAnsi="Times New Roman" w:cs="Times New Roman" w:eastAsia="Times New Roman"/>
          <w:b w:val="0"/>
          <w:i/>
          <w:color w:val="000000"/>
          <w:sz w:val="24"/>
        </w:rPr>
        <w:t>gemini-embedding-001</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gemini-2.5-flash</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gemini-2.5-pro</w:t>
      </w:r>
      <w:r>
        <w:rPr>
          <w:rFonts w:ascii="Times New Roman" w:hAnsi="Times New Roman" w:cs="Times New Roman" w:eastAsia="Times New Roman"/>
          <w:b w:val="0"/>
          <w:i w:val="0"/>
          <w:color w:val="000000"/>
          <w:sz w:val="24"/>
        </w:rPr>
        <w:t xml:space="preserve">), and </w:t>
      </w:r>
      <w:r>
        <w:rPr>
          <w:rFonts w:ascii="Times New Roman" w:hAnsi="Times New Roman" w:cs="Times New Roman" w:eastAsia="Times New Roman"/>
          <w:b w:val="0"/>
          <w:i/>
          <w:color w:val="000000"/>
          <w:sz w:val="24"/>
        </w:rPr>
        <w:t>faiss-cpu</w:t>
      </w:r>
      <w:r>
        <w:rPr>
          <w:rFonts w:ascii="Times New Roman" w:hAnsi="Times New Roman" w:cs="Times New Roman" w:eastAsia="Times New Roman"/>
          <w:b w:val="0"/>
          <w:i w:val="0"/>
          <w:color w:val="000000"/>
          <w:sz w:val="24"/>
        </w:rPr>
        <w:t xml:space="preserve"> for vector indexing and generation; </w:t>
      </w:r>
      <w:r>
        <w:rPr>
          <w:rFonts w:ascii="Times New Roman" w:hAnsi="Times New Roman" w:cs="Times New Roman" w:eastAsia="Times New Roman"/>
          <w:b w:val="0"/>
          <w:i/>
          <w:color w:val="000000"/>
          <w:sz w:val="24"/>
        </w:rPr>
        <w:t>scikit-learn</w:t>
      </w:r>
      <w:r>
        <w:rPr>
          <w:rFonts w:ascii="Times New Roman" w:hAnsi="Times New Roman" w:cs="Times New Roman" w:eastAsia="Times New Roman"/>
          <w:b w:val="0"/>
          <w:i w:val="0"/>
          <w:color w:val="000000"/>
          <w:sz w:val="24"/>
        </w:rPr>
        <w:t xml:space="preserve"> 1.5, </w:t>
      </w:r>
      <w:r>
        <w:rPr>
          <w:rFonts w:ascii="Times New Roman" w:hAnsi="Times New Roman" w:cs="Times New Roman" w:eastAsia="Times New Roman"/>
          <w:b w:val="0"/>
          <w:i/>
          <w:color w:val="000000"/>
          <w:sz w:val="24"/>
        </w:rPr>
        <w:t>hdbscan</w:t>
      </w:r>
      <w:r>
        <w:rPr>
          <w:rFonts w:ascii="Times New Roman" w:hAnsi="Times New Roman" w:cs="Times New Roman" w:eastAsia="Times New Roman"/>
          <w:b w:val="0"/>
          <w:i w:val="0"/>
          <w:color w:val="000000"/>
          <w:sz w:val="24"/>
        </w:rPr>
        <w:t xml:space="preserve">, and </w:t>
      </w:r>
      <w:r>
        <w:rPr>
          <w:rFonts w:ascii="Times New Roman" w:hAnsi="Times New Roman" w:cs="Times New Roman" w:eastAsia="Times New Roman"/>
          <w:b w:val="0"/>
          <w:i/>
          <w:color w:val="000000"/>
          <w:sz w:val="24"/>
        </w:rPr>
        <w:t>umap-learn</w:t>
      </w:r>
      <w:r>
        <w:rPr>
          <w:rFonts w:ascii="Times New Roman" w:hAnsi="Times New Roman" w:cs="Times New Roman" w:eastAsia="Times New Roman"/>
          <w:b w:val="0"/>
          <w:i w:val="0"/>
          <w:color w:val="000000"/>
          <w:sz w:val="24"/>
        </w:rPr>
        <w:t xml:space="preserve"> for clustering; </w:t>
      </w:r>
      <w:r>
        <w:rPr>
          <w:rFonts w:ascii="Times New Roman" w:hAnsi="Times New Roman" w:cs="Times New Roman" w:eastAsia="Times New Roman"/>
          <w:b w:val="0"/>
          <w:i/>
          <w:color w:val="000000"/>
          <w:sz w:val="24"/>
        </w:rPr>
        <w:t>scipy.stats</w:t>
      </w:r>
      <w:r>
        <w:rPr>
          <w:rFonts w:ascii="Times New Roman" w:hAnsi="Times New Roman" w:cs="Times New Roman" w:eastAsia="Times New Roman"/>
          <w:b w:val="0"/>
          <w:i w:val="0"/>
          <w:color w:val="000000"/>
          <w:sz w:val="24"/>
        </w:rPr>
        <w:t xml:space="preserve"> and </w:t>
      </w:r>
      <w:r>
        <w:rPr>
          <w:rFonts w:ascii="Times New Roman" w:hAnsi="Times New Roman" w:cs="Times New Roman" w:eastAsia="Times New Roman"/>
          <w:b w:val="0"/>
          <w:i/>
          <w:color w:val="000000"/>
          <w:sz w:val="24"/>
        </w:rPr>
        <w:t>statsmodels</w:t>
      </w:r>
      <w:r>
        <w:rPr>
          <w:rFonts w:ascii="Times New Roman" w:hAnsi="Times New Roman" w:cs="Times New Roman" w:eastAsia="Times New Roman"/>
          <w:b w:val="0"/>
          <w:i w:val="0"/>
          <w:color w:val="000000"/>
          <w:sz w:val="24"/>
        </w:rPr>
        <w:t xml:space="preserve"> (Seabold &amp; Perktold, 2010) for OLS, HC3, and Aligned Rank Transform ANOVA; and </w:t>
      </w:r>
      <w:r>
        <w:rPr>
          <w:rFonts w:ascii="Times New Roman" w:hAnsi="Times New Roman" w:cs="Times New Roman" w:eastAsia="Times New Roman"/>
          <w:b w:val="0"/>
          <w:i/>
          <w:color w:val="000000"/>
          <w:sz w:val="24"/>
        </w:rPr>
        <w:t>python-docx</w:t>
      </w:r>
      <w:r>
        <w:rPr>
          <w:rFonts w:ascii="Times New Roman" w:hAnsi="Times New Roman" w:cs="Times New Roman" w:eastAsia="Times New Roman"/>
          <w:b w:val="0"/>
          <w:i w:val="0"/>
          <w:color w:val="000000"/>
          <w:sz w:val="24"/>
        </w:rPr>
        <w:t xml:space="preserve"> and </w:t>
      </w:r>
      <w:r>
        <w:rPr>
          <w:rFonts w:ascii="Times New Roman" w:hAnsi="Times New Roman" w:cs="Times New Roman" w:eastAsia="Times New Roman"/>
          <w:b w:val="0"/>
          <w:i/>
          <w:color w:val="000000"/>
          <w:sz w:val="24"/>
        </w:rPr>
        <w:t>pymupdf</w:t>
      </w:r>
      <w:r>
        <w:rPr>
          <w:rFonts w:ascii="Times New Roman" w:hAnsi="Times New Roman" w:cs="Times New Roman" w:eastAsia="Times New Roman"/>
          <w:b w:val="0"/>
          <w:i w:val="0"/>
          <w:color w:val="000000"/>
          <w:sz w:val="24"/>
        </w:rPr>
        <w:t xml:space="preserve"> for automated APA 7 document compilation.</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Results, Analysis, and Synthesis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Consolidated Model Performance and Hypothesis Testing Summary</w:t>
      </w:r>
    </w:p>
    <w:p>
      <w:pPr>
        <w:keepNext w:val="0"/>
        <w:widowControl/>
        <w:spacing w:line="480" w:lineRule="auto" w:before="0" w:after="0"/>
        <w:ind w:firstLine="720" w:left="0"/>
        <w:jc w:val="left"/>
      </w:pPr>
      <w:r>
        <w:fldChar w:fldCharType="begin"/>
      </w:r>
      <w:r>
        <w:instrText xml:space="preserve"> REF _RefTab11 \h \* MERGEFORMAT </w:instrText>
      </w:r>
      <w:r>
        <w:fldChar w:fldCharType="separate"/>
      </w:r>
      <w:r>
        <w:rPr>
          <w:rFonts w:ascii="Times New Roman" w:hAnsi="Times New Roman" w:cs="Times New Roman" w:eastAsia="Times New Roman"/>
          <w:b w:val="0"/>
          <w:i w:val="0"/>
          <w:color w:val="000000"/>
          <w:sz w:val="24"/>
        </w:rPr>
        <w:t>Table 11</w:t>
      </w:r>
      <w:r>
        <w:fldChar w:fldCharType="end"/>
      </w:r>
      <w:r>
        <w:rPr>
          <w:rFonts w:ascii="Times New Roman" w:hAnsi="Times New Roman" w:cs="Times New Roman" w:eastAsia="Times New Roman"/>
          <w:b w:val="0"/>
          <w:i w:val="0"/>
          <w:color w:val="000000"/>
          <w:sz w:val="24"/>
        </w:rPr>
        <w:t xml:space="preserve"> summarizes the empirical results, parametric test statistics, heteroscedasticity-robust (Welch/HC3) and non-parametric (Kruskal–Wallis, Friedman, Mann–Whitney, and Aligned Rank Transform [ART]) checks, effect sizes, and hypothesis decisions across RQ1–RQ4. Every pre-registered null hypothesis (</w:t>
      </w:r>
      <w:r>
        <w:rPr>
          <w:rFonts w:ascii="Times New Roman" w:hAnsi="Times New Roman" w:cs="Times New Roman" w:eastAsia="Times New Roman"/>
          <w:b w:val="0"/>
          <w:i/>
          <w:color w:val="000000"/>
          <w:sz w:val="24"/>
        </w:rPr>
        <w:t>H</w:t>
      </w:r>
      <w:r>
        <w:rPr>
          <w:rFonts w:ascii="Times New Roman" w:hAnsi="Times New Roman" w:cs="Times New Roman" w:eastAsia="Times New Roman"/>
          <w:b w:val="0"/>
          <w:i w:val="0"/>
          <w:color w:val="000000"/>
          <w:sz w:val="24"/>
          <w:vertAlign w:val="subscript"/>
        </w:rPr>
        <w:t>01</w:t>
      </w:r>
      <w:r>
        <w:rPr>
          <w:rFonts w:ascii="Times New Roman" w:hAnsi="Times New Roman" w:cs="Times New Roman" w:eastAsia="Times New Roman"/>
          <w:b w:val="0"/>
          <w:i w:val="0"/>
          <w:color w:val="000000"/>
          <w:sz w:val="24"/>
        </w:rPr>
        <w:t>–</w:t>
      </w:r>
      <w:r>
        <w:rPr>
          <w:rFonts w:ascii="Times New Roman" w:hAnsi="Times New Roman" w:cs="Times New Roman" w:eastAsia="Times New Roman"/>
          <w:b w:val="0"/>
          <w:i/>
          <w:color w:val="000000"/>
          <w:sz w:val="24"/>
        </w:rPr>
        <w:t>H</w:t>
      </w:r>
      <w:r>
        <w:rPr>
          <w:rFonts w:ascii="Times New Roman" w:hAnsi="Times New Roman" w:cs="Times New Roman" w:eastAsia="Times New Roman"/>
          <w:b w:val="0"/>
          <w:i w:val="0"/>
          <w:color w:val="000000"/>
          <w:sz w:val="24"/>
          <w:vertAlign w:val="subscript"/>
        </w:rPr>
        <w:t>04</w:t>
      </w:r>
      <w:r>
        <w:rPr>
          <w:rFonts w:ascii="Times New Roman" w:hAnsi="Times New Roman" w:cs="Times New Roman" w:eastAsia="Times New Roman"/>
          <w:b w:val="0"/>
          <w:i w:val="0"/>
          <w:color w:val="000000"/>
          <w:sz w:val="24"/>
        </w:rPr>
        <w:t xml:space="preserve">) is rejected at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on the refined user archetype pipeline.</w:t>
      </w:r>
    </w:p>
    <w:p>
      <w:pPr>
        <w:keepNext/>
        <w:widowControl/>
        <w:spacing w:line="480" w:lineRule="auto" w:before="120" w:after="0"/>
        <w:ind w:firstLine="0" w:left="0"/>
        <w:jc w:val="left"/>
      </w:pPr>
      <w:bookmarkStart w:name="_RefTab11" w:id="227"/>
      <w:r>
        <w:rPr>
          <w:rFonts w:ascii="Times New Roman" w:hAnsi="Times New Roman" w:cs="Times New Roman" w:eastAsia="Times New Roman"/>
          <w:b/>
          <w:color w:val="000000"/>
          <w:sz w:val="24"/>
        </w:rPr>
        <w:t xml:space="preserve">Table </w:t>
      </w:r>
      <w:bookmarkStart w:name="_RefTabN11" w:id="228"/>
      <w:r>
        <w:rPr>
          <w:rFonts w:ascii="Times New Roman" w:hAnsi="Times New Roman" w:cs="Times New Roman" w:eastAsia="Times New Roman"/>
          <w:b/>
          <w:color w:val="000000"/>
          <w:sz w:val="24"/>
        </w:rPr>
        <w:t>11</w:t>
      </w:r>
      <w:bookmarkEnd w:id="228"/>
      <w:bookmarkEnd w:id="227"/>
    </w:p>
    <w:p>
      <w:pPr>
        <w:keepNext/>
        <w:widowControl/>
        <w:spacing w:line="480" w:lineRule="auto" w:before="0" w:after="0"/>
        <w:ind w:firstLine="0" w:left="0"/>
        <w:jc w:val="left"/>
      </w:pPr>
      <w:r>
        <w:rPr>
          <w:rFonts w:ascii="Times New Roman" w:hAnsi="Times New Roman" w:cs="Times New Roman" w:eastAsia="Times New Roman"/>
          <w:b w:val="0"/>
          <w:i/>
          <w:color w:val="000000"/>
          <w:sz w:val="24"/>
        </w:rPr>
        <w:t>Consolidated Summary of Empirical Results and Hypothesis Outcomes Across RQ1–RQ4</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560"/>
        <w:gridCol w:w="1560"/>
        <w:gridCol w:w="1560"/>
        <w:gridCol w:w="1560"/>
        <w:gridCol w:w="1560"/>
        <w:gridCol w:w="1560"/>
      </w:tblGrid>
      <w:tr>
        <w:trPr>
          <w:cantSplit/>
          <w:tblHeader/>
        </w:trPr>
        <w:tc>
          <w:tcPr>
            <w:tcW w:type="dxa" w:w="165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RQ and outcome</w:t>
            </w:r>
          </w:p>
        </w:tc>
        <w:tc>
          <w:tcPr>
            <w:tcW w:type="dxa" w:w="136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Sample &amp; design</w:t>
            </w:r>
          </w:p>
        </w:tc>
        <w:tc>
          <w:tcPr>
            <w:tcW w:type="dxa" w:w="208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Baseline vs. proposed performance</w:t>
            </w:r>
          </w:p>
        </w:tc>
        <w:tc>
          <w:tcPr>
            <w:tcW w:type="dxa" w:w="180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Primary parametric test &amp; effect size</w:t>
            </w:r>
          </w:p>
        </w:tc>
        <w:tc>
          <w:tcPr>
            <w:tcW w:type="dxa" w:w="158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Robust / non-parametric check</w:t>
            </w:r>
          </w:p>
        </w:tc>
        <w:tc>
          <w:tcPr>
            <w:tcW w:type="dxa" w:w="86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Decision</w:t>
            </w:r>
          </w:p>
        </w:tc>
      </w:tr>
      <w:tr>
        <w:trPr>
          <w:cantSplit/>
        </w:trPr>
        <w:tc>
          <w:tcPr>
            <w:tcW w:type="dxa" w:w="1656"/>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RQ1: Algorithm separation &amp; refined archetypes</w:t>
            </w:r>
          </w:p>
        </w:tc>
        <w:tc>
          <w:tcPr>
            <w:tcW w:type="dxa" w:w="1368"/>
          </w:tcPr>
          <w:p>
            <w:pPr>
              <w:keepNext/>
              <w:widowControl/>
              <w:spacing w:line="240" w:lineRule="auto" w:before="30" w:after="30"/>
              <w:ind w:firstLine="0" w:left="0"/>
              <w:jc w:val="left"/>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159 runs (</w:t>
            </w:r>
            <w:r>
              <w:rPr>
                <w:rFonts w:ascii="Times New Roman" w:hAnsi="Times New Roman" w:cs="Times New Roman" w:eastAsia="Times New Roman"/>
                <w:b w:val="0"/>
                <w:i/>
                <w:color w:val="000000"/>
                <w:sz w:val="20"/>
              </w:rPr>
              <w:t>D</w:t>
            </w:r>
            <w:r>
              <w:rPr>
                <w:rFonts w:ascii="Times New Roman" w:hAnsi="Times New Roman" w:cs="Times New Roman" w:eastAsia="Times New Roman"/>
                <w:b w:val="0"/>
                <w:i w:val="0"/>
                <w:color w:val="000000"/>
                <w:sz w:val="20"/>
                <w:vertAlign w:val="subscript"/>
              </w:rPr>
              <w:t>gold</w:t>
            </w:r>
            <w:r>
              <w:rPr>
                <w:rFonts w:ascii="Times New Roman" w:hAnsi="Times New Roman" w:cs="Times New Roman" w:eastAsia="Times New Roman"/>
                <w:b w:val="0"/>
                <w:i w:val="0"/>
                <w:color w:val="000000"/>
                <w:sz w:val="20"/>
              </w:rPr>
              <w:t xml:space="preserve"> = 933; </w:t>
            </w:r>
            <w:r>
              <w:rPr>
                <w:rFonts w:ascii="Times New Roman" w:hAnsi="Times New Roman" w:cs="Times New Roman" w:eastAsia="Times New Roman"/>
                <w:b w:val="0"/>
                <w:i/>
                <w:color w:val="000000"/>
                <w:sz w:val="20"/>
              </w:rPr>
              <w:t>D</w:t>
            </w:r>
            <w:r>
              <w:rPr>
                <w:rFonts w:ascii="Times New Roman" w:hAnsi="Times New Roman" w:cs="Times New Roman" w:eastAsia="Times New Roman"/>
                <w:b w:val="0"/>
                <w:i w:val="0"/>
                <w:color w:val="000000"/>
                <w:sz w:val="20"/>
                <w:vertAlign w:val="subscript"/>
              </w:rPr>
              <w:t>test</w:t>
            </w:r>
            <w:r>
              <w:rPr>
                <w:rFonts w:ascii="Times New Roman" w:hAnsi="Times New Roman" w:cs="Times New Roman" w:eastAsia="Times New Roman"/>
                <w:b w:val="0"/>
                <w:i w:val="0"/>
                <w:color w:val="000000"/>
                <w:sz w:val="20"/>
              </w:rPr>
              <w:t xml:space="preserve"> = 401)</w:t>
            </w:r>
          </w:p>
        </w:tc>
        <w:tc>
          <w:tcPr>
            <w:tcW w:type="dxa" w:w="208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Perm. Sil = −.001 vs. KM = .099, HDB = .170; Refined ARI = .76, routing κ = .535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=5) to .958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=9)</w:t>
            </w:r>
          </w:p>
        </w:tc>
        <w:tc>
          <w:tcPr>
            <w:tcW w:type="dxa" w:w="1800"/>
          </w:tcPr>
          <w:p>
            <w:pPr>
              <w:keepNext/>
              <w:widowControl/>
              <w:spacing w:line="240" w:lineRule="auto" w:before="30" w:after="30"/>
              <w:ind w:firstLine="0" w:left="0"/>
              <w:jc w:val="left"/>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(2, 156) = 91.33,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 η</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 xml:space="preserve"> = .54 (Gemini: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 = 127.47, η</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 xml:space="preserve"> = .62)</w:t>
            </w:r>
          </w:p>
        </w:tc>
        <w:tc>
          <w:tcPr>
            <w:tcW w:type="dxa" w:w="158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Welch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 = 66.98,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 Kruskal </w:t>
            </w:r>
            <w:r>
              <w:rPr>
                <w:rFonts w:ascii="Times New Roman" w:hAnsi="Times New Roman" w:cs="Times New Roman" w:eastAsia="Times New Roman"/>
                <w:b w:val="0"/>
                <w:i/>
                <w:color w:val="000000"/>
                <w:sz w:val="20"/>
              </w:rPr>
              <w:t>H</w:t>
            </w:r>
            <w:r>
              <w:rPr>
                <w:rFonts w:ascii="Times New Roman" w:hAnsi="Times New Roman" w:cs="Times New Roman" w:eastAsia="Times New Roman"/>
                <w:b w:val="0"/>
                <w:i w:val="0"/>
                <w:color w:val="000000"/>
                <w:sz w:val="20"/>
              </w:rPr>
              <w:t xml:space="preserve">(2) = 86.82,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w:t>
            </w:r>
          </w:p>
        </w:tc>
        <w:tc>
          <w:tcPr>
            <w:tcW w:type="dxa" w:w="86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Reject </w:t>
            </w:r>
            <w:r>
              <w:rPr>
                <w:rFonts w:ascii="Times New Roman" w:hAnsi="Times New Roman" w:cs="Times New Roman" w:eastAsia="Times New Roman"/>
                <w:b w:val="0"/>
                <w:i/>
                <w:color w:val="000000"/>
                <w:sz w:val="20"/>
              </w:rPr>
              <w:t>H</w:t>
            </w:r>
            <w:r>
              <w:rPr>
                <w:rFonts w:ascii="Times New Roman" w:hAnsi="Times New Roman" w:cs="Times New Roman" w:eastAsia="Times New Roman"/>
                <w:b w:val="0"/>
                <w:i w:val="0"/>
                <w:color w:val="000000"/>
                <w:sz w:val="20"/>
                <w:vertAlign w:val="subscript"/>
              </w:rPr>
              <w:t>01</w:t>
            </w:r>
          </w:p>
        </w:tc>
      </w:tr>
      <w:tr>
        <w:trPr>
          <w:cantSplit/>
        </w:trPr>
        <w:tc>
          <w:tcPr>
            <w:tcW w:type="dxa" w:w="165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RQ2: Style convergence (Refined archetypes)</w:t>
            </w:r>
          </w:p>
        </w:tc>
        <w:tc>
          <w:tcPr>
            <w:tcW w:type="dxa" w:w="1368"/>
          </w:tcPr>
          <w:p>
            <w:pPr>
              <w:keepNext w:val="0"/>
              <w:widowControl/>
              <w:spacing w:line="240" w:lineRule="auto" w:before="30" w:after="30"/>
              <w:ind w:firstLine="0" w:left="0"/>
              <w:jc w:val="left"/>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33 dialogues × 3 conditions (99 calls)</w:t>
            </w:r>
          </w:p>
        </w:tc>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Static = .453, Zero-Shot = .530 vs. Cluster-Adaptive = .597</w:t>
            </w:r>
          </w:p>
        </w:tc>
        <w:tc>
          <w:tcPr>
            <w:tcW w:type="dxa" w:w="18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RM-ANOVA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(1.88, 60.29) = 9.79,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 xml:space="preserve"> = .23</w:t>
            </w:r>
          </w:p>
        </w:tc>
        <w:tc>
          <w:tcPr>
            <w:tcW w:type="dxa" w:w="158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Friedman χ</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 xml:space="preserve">(2) = 12.50,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 .002; Holm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 vs. Static</w:t>
            </w:r>
          </w:p>
        </w:tc>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Reject </w:t>
            </w:r>
            <w:r>
              <w:rPr>
                <w:rFonts w:ascii="Times New Roman" w:hAnsi="Times New Roman" w:cs="Times New Roman" w:eastAsia="Times New Roman"/>
                <w:b w:val="0"/>
                <w:i/>
                <w:color w:val="000000"/>
                <w:sz w:val="20"/>
              </w:rPr>
              <w:t>H</w:t>
            </w:r>
            <w:r>
              <w:rPr>
                <w:rFonts w:ascii="Times New Roman" w:hAnsi="Times New Roman" w:cs="Times New Roman" w:eastAsia="Times New Roman"/>
                <w:b w:val="0"/>
                <w:i w:val="0"/>
                <w:color w:val="000000"/>
                <w:sz w:val="20"/>
                <w:vertAlign w:val="subscript"/>
              </w:rPr>
              <w:t>02</w:t>
            </w:r>
          </w:p>
        </w:tc>
      </w:tr>
      <w:tr>
        <w:trPr>
          <w:cantSplit/>
        </w:trPr>
        <w:tc>
          <w:tcPr>
            <w:tcW w:type="dxa" w:w="165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RQ2: Pacing calibration error (words)</w:t>
            </w:r>
          </w:p>
        </w:tc>
        <w:tc>
          <w:tcPr>
            <w:tcW w:type="dxa" w:w="1368"/>
          </w:tcPr>
          <w:p>
            <w:pPr>
              <w:keepNext w:val="0"/>
              <w:widowControl/>
              <w:spacing w:line="240" w:lineRule="auto" w:before="30" w:after="30"/>
              <w:ind w:firstLine="0" w:left="0"/>
              <w:jc w:val="left"/>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33 dialogues × 3 conditions (99 calls)</w:t>
            </w:r>
          </w:p>
        </w:tc>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Zero-Shot = 10.12w, Static = 6.33w vs. Cluster-Adaptive = 3.87w</w:t>
            </w:r>
          </w:p>
        </w:tc>
        <w:tc>
          <w:tcPr>
            <w:tcW w:type="dxa" w:w="18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RM-ANOVA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(1.30, 41.70) = 7.10,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 .007,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 xml:space="preserve"> = .18</w:t>
            </w:r>
          </w:p>
        </w:tc>
        <w:tc>
          <w:tcPr>
            <w:tcW w:type="dxa" w:w="158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Friedman χ</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 xml:space="preserve">(2) = 14.27,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 Holm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 .004 vs. Zero-Shot</w:t>
            </w:r>
          </w:p>
        </w:tc>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Reject </w:t>
            </w:r>
            <w:r>
              <w:rPr>
                <w:rFonts w:ascii="Times New Roman" w:hAnsi="Times New Roman" w:cs="Times New Roman" w:eastAsia="Times New Roman"/>
                <w:b w:val="0"/>
                <w:i/>
                <w:color w:val="000000"/>
                <w:sz w:val="20"/>
              </w:rPr>
              <w:t>H</w:t>
            </w:r>
            <w:r>
              <w:rPr>
                <w:rFonts w:ascii="Times New Roman" w:hAnsi="Times New Roman" w:cs="Times New Roman" w:eastAsia="Times New Roman"/>
                <w:b w:val="0"/>
                <w:i w:val="0"/>
                <w:color w:val="000000"/>
                <w:sz w:val="20"/>
                <w:vertAlign w:val="subscript"/>
              </w:rPr>
              <w:t>02</w:t>
            </w:r>
          </w:p>
        </w:tc>
      </w:tr>
      <w:tr>
        <w:trPr>
          <w:cantSplit/>
        </w:trPr>
        <w:tc>
          <w:tcPr>
            <w:tcW w:type="dxa" w:w="165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RQ3: Policy rule adherence rate (RAR)</w:t>
            </w:r>
          </w:p>
        </w:tc>
        <w:tc>
          <w:tcPr>
            <w:tcW w:type="dxa" w:w="1368"/>
          </w:tcPr>
          <w:p>
            <w:pPr>
              <w:keepNext w:val="0"/>
              <w:widowControl/>
              <w:spacing w:line="240" w:lineRule="auto" w:before="30" w:after="30"/>
              <w:ind w:firstLine="0" w:left="0"/>
              <w:jc w:val="left"/>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144 (2 × 2,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36/cell; κ</w:t>
            </w:r>
            <w:r>
              <w:rPr>
                <w:rFonts w:ascii="Times New Roman" w:hAnsi="Times New Roman" w:cs="Times New Roman" w:eastAsia="Times New Roman"/>
                <w:b w:val="0"/>
                <w:i w:val="0"/>
                <w:color w:val="000000"/>
                <w:sz w:val="20"/>
                <w:vertAlign w:val="subscript"/>
              </w:rPr>
              <w:t>judge</w:t>
            </w:r>
            <w:r>
              <w:rPr>
                <w:rFonts w:ascii="Times New Roman" w:hAnsi="Times New Roman" w:cs="Times New Roman" w:eastAsia="Times New Roman"/>
                <w:b w:val="0"/>
                <w:i w:val="0"/>
                <w:color w:val="000000"/>
                <w:sz w:val="20"/>
              </w:rPr>
              <w:t xml:space="preserve"> = .917)</w:t>
            </w:r>
          </w:p>
        </w:tc>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Rules Off = .500 (5.6% on violating) vs. Rules Active = .938 (98.6% on violating)</w:t>
            </w:r>
          </w:p>
        </w:tc>
        <w:tc>
          <w:tcPr>
            <w:tcW w:type="dxa" w:w="18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Rules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(1, 140) = 43.92,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 xml:space="preserve"> = .24</w:t>
            </w:r>
          </w:p>
        </w:tc>
        <w:tc>
          <w:tcPr>
            <w:tcW w:type="dxa" w:w="158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HC3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 = 42.71,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 ART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 = 39.12,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w:t>
            </w:r>
          </w:p>
        </w:tc>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Reject </w:t>
            </w:r>
            <w:r>
              <w:rPr>
                <w:rFonts w:ascii="Times New Roman" w:hAnsi="Times New Roman" w:cs="Times New Roman" w:eastAsia="Times New Roman"/>
                <w:b w:val="0"/>
                <w:i/>
                <w:color w:val="000000"/>
                <w:sz w:val="20"/>
              </w:rPr>
              <w:t>H</w:t>
            </w:r>
            <w:r>
              <w:rPr>
                <w:rFonts w:ascii="Times New Roman" w:hAnsi="Times New Roman" w:cs="Times New Roman" w:eastAsia="Times New Roman"/>
                <w:b w:val="0"/>
                <w:i w:val="0"/>
                <w:color w:val="000000"/>
                <w:sz w:val="20"/>
                <w:vertAlign w:val="subscript"/>
              </w:rPr>
              <w:t>03</w:t>
            </w:r>
          </w:p>
        </w:tc>
      </w:tr>
      <w:tr>
        <w:trPr>
          <w:cantSplit/>
        </w:trPr>
        <w:tc>
          <w:tcPr>
            <w:tcW w:type="dxa" w:w="165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RQ3: Exemplar entity leakage &amp; Slot F</w:t>
            </w:r>
            <w:r>
              <w:rPr>
                <w:rFonts w:ascii="Times New Roman" w:hAnsi="Times New Roman" w:cs="Times New Roman" w:eastAsia="Times New Roman"/>
                <w:b w:val="0"/>
                <w:i w:val="0"/>
                <w:color w:val="000000"/>
                <w:sz w:val="20"/>
                <w:vertAlign w:val="subscript"/>
              </w:rPr>
              <w:t>1</w:t>
            </w:r>
          </w:p>
        </w:tc>
        <w:tc>
          <w:tcPr>
            <w:tcW w:type="dxa" w:w="1368"/>
          </w:tcPr>
          <w:p>
            <w:pPr>
              <w:keepNext w:val="0"/>
              <w:widowControl/>
              <w:spacing w:line="240" w:lineRule="auto" w:before="30" w:after="30"/>
              <w:ind w:firstLine="0" w:left="0"/>
              <w:jc w:val="left"/>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144 (2 × 2,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36/cell)</w:t>
            </w:r>
          </w:p>
        </w:tc>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Leakage: Rules Off Cluster = .359 (55.6% cases) vs. Rules Active Cluster = .000; Slot F</w:t>
            </w:r>
            <w:r>
              <w:rPr>
                <w:rFonts w:ascii="Times New Roman" w:hAnsi="Times New Roman" w:cs="Times New Roman" w:eastAsia="Times New Roman"/>
                <w:b w:val="0"/>
                <w:i w:val="0"/>
                <w:color w:val="000000"/>
                <w:sz w:val="20"/>
                <w:vertAlign w:val="subscript"/>
              </w:rPr>
              <w:t>1</w:t>
            </w:r>
            <w:r>
              <w:rPr>
                <w:rFonts w:ascii="Times New Roman" w:hAnsi="Times New Roman" w:cs="Times New Roman" w:eastAsia="Times New Roman"/>
                <w:b w:val="0"/>
                <w:i w:val="0"/>
                <w:color w:val="000000"/>
                <w:sz w:val="20"/>
              </w:rPr>
              <w:t>: .485 → .952</w:t>
            </w:r>
          </w:p>
        </w:tc>
        <w:tc>
          <w:tcPr>
            <w:tcW w:type="dxa" w:w="18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Leakage Int.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(1, 140) = 34.82,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 Slot F</w:t>
            </w:r>
            <w:r>
              <w:rPr>
                <w:rFonts w:ascii="Times New Roman" w:hAnsi="Times New Roman" w:cs="Times New Roman" w:eastAsia="Times New Roman"/>
                <w:b w:val="0"/>
                <w:i w:val="0"/>
                <w:color w:val="000000"/>
                <w:sz w:val="20"/>
                <w:vertAlign w:val="subscript"/>
              </w:rPr>
              <w:t>1</w:t>
            </w:r>
            <w:r>
              <w:rPr>
                <w:rFonts w:ascii="Times New Roman" w:hAnsi="Times New Roman" w:cs="Times New Roman" w:eastAsia="Times New Roman"/>
                <w:b w:val="0"/>
                <w:i w:val="0"/>
                <w:color w:val="000000"/>
                <w:sz w:val="20"/>
              </w:rPr>
              <w:t xml:space="preserve"> Rules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 = 489.52,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w:t>
            </w:r>
          </w:p>
        </w:tc>
        <w:tc>
          <w:tcPr>
            <w:tcW w:type="dxa" w:w="158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Leakage HC3 Int.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 = 33.85,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 ART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 = 2,148.81,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w:t>
            </w:r>
          </w:p>
        </w:tc>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Reject </w:t>
            </w:r>
            <w:r>
              <w:rPr>
                <w:rFonts w:ascii="Times New Roman" w:hAnsi="Times New Roman" w:cs="Times New Roman" w:eastAsia="Times New Roman"/>
                <w:b w:val="0"/>
                <w:i/>
                <w:color w:val="000000"/>
                <w:sz w:val="20"/>
              </w:rPr>
              <w:t>H</w:t>
            </w:r>
            <w:r>
              <w:rPr>
                <w:rFonts w:ascii="Times New Roman" w:hAnsi="Times New Roman" w:cs="Times New Roman" w:eastAsia="Times New Roman"/>
                <w:b w:val="0"/>
                <w:i w:val="0"/>
                <w:color w:val="000000"/>
                <w:sz w:val="20"/>
                <w:vertAlign w:val="subscript"/>
              </w:rPr>
              <w:t>03</w:t>
            </w:r>
          </w:p>
        </w:tc>
      </w:tr>
      <w:tr>
        <w:trPr>
          <w:cantSplit/>
        </w:trPr>
        <w:tc>
          <w:tcPr>
            <w:tcW w:type="dxa" w:w="1656"/>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RQ4: Log turns to goal completion &amp; RER</w:t>
            </w:r>
          </w:p>
        </w:tc>
        <w:tc>
          <w:tcPr>
            <w:tcW w:type="dxa" w:w="1368"/>
          </w:tcPr>
          <w:p>
            <w:pPr>
              <w:keepNext/>
              <w:widowControl/>
              <w:spacing w:line="240" w:lineRule="auto" w:before="30" w:after="30"/>
              <w:ind w:firstLine="0" w:left="0"/>
              <w:jc w:val="left"/>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180 (2 × 3,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30/cell; κ</w:t>
            </w:r>
            <w:r>
              <w:rPr>
                <w:rFonts w:ascii="Times New Roman" w:hAnsi="Times New Roman" w:cs="Times New Roman" w:eastAsia="Times New Roman"/>
                <w:b w:val="0"/>
                <w:i w:val="0"/>
                <w:color w:val="000000"/>
                <w:sz w:val="20"/>
                <w:vertAlign w:val="subscript"/>
              </w:rPr>
              <w:t>persona</w:t>
            </w:r>
            <w:r>
              <w:rPr>
                <w:rFonts w:ascii="Times New Roman" w:hAnsi="Times New Roman" w:cs="Times New Roman" w:eastAsia="Times New Roman"/>
                <w:b w:val="0"/>
                <w:i w:val="0"/>
                <w:color w:val="000000"/>
                <w:sz w:val="20"/>
              </w:rPr>
              <w:t xml:space="preserve"> = .933)</w:t>
            </w:r>
          </w:p>
        </w:tc>
        <w:tc>
          <w:tcPr>
            <w:tcW w:type="dxa" w:w="208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Turns reduced −34.2% (DB), −29.5% (OE), −42.7% (RCS); RER .109 → .000</w:t>
            </w:r>
          </w:p>
        </w:tc>
        <w:tc>
          <w:tcPr>
            <w:tcW w:type="dxa" w:w="180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Prompt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(1, 174) = 664.43,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 Int.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(2, 174) = 10.89,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 xml:space="preserve"> = .11</w:t>
            </w:r>
          </w:p>
        </w:tc>
        <w:tc>
          <w:tcPr>
            <w:tcW w:type="dxa" w:w="158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HC3 Int.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 = 8.58,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 ART Int.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 = 209.46,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w:t>
            </w:r>
          </w:p>
        </w:tc>
        <w:tc>
          <w:tcPr>
            <w:tcW w:type="dxa" w:w="86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Reject </w:t>
            </w:r>
            <w:r>
              <w:rPr>
                <w:rFonts w:ascii="Times New Roman" w:hAnsi="Times New Roman" w:cs="Times New Roman" w:eastAsia="Times New Roman"/>
                <w:b w:val="0"/>
                <w:i/>
                <w:color w:val="000000"/>
                <w:sz w:val="20"/>
              </w:rPr>
              <w:t>H</w:t>
            </w:r>
            <w:r>
              <w:rPr>
                <w:rFonts w:ascii="Times New Roman" w:hAnsi="Times New Roman" w:cs="Times New Roman" w:eastAsia="Times New Roman"/>
                <w:b w:val="0"/>
                <w:i w:val="0"/>
                <w:color w:val="000000"/>
                <w:sz w:val="20"/>
                <w:vertAlign w:val="subscript"/>
              </w:rPr>
              <w:t>04</w:t>
            </w:r>
          </w:p>
        </w:tc>
      </w:tr>
    </w:tbl>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DB = Decisive Booker; OE = Open Explorer; RCS = Rigid-Constraint Seeker; Perm. = permutation baseline.</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RQ1 Results: Trajectory Clustering, Refined Archetypes, and Prefix Routing</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Primary algorithm benchmark and embedding invariance.</w:t>
      </w:r>
      <w:r>
        <w:rPr>
          <w:rFonts w:ascii="Times New Roman" w:hAnsi="Times New Roman" w:cs="Times New Roman" w:eastAsia="Times New Roman"/>
          <w:b w:val="0"/>
          <w:i w:val="0"/>
          <w:color w:val="000000"/>
          <w:sz w:val="24"/>
        </w:rPr>
        <w:t xml:space="preserve"> </w:t>
      </w:r>
      <w:r>
        <w:fldChar w:fldCharType="begin"/>
      </w:r>
      <w:r>
        <w:instrText xml:space="preserve"> REF _RefTab12 \h \* MERGEFORMAT </w:instrText>
      </w:r>
      <w:r>
        <w:fldChar w:fldCharType="separate"/>
      </w:r>
      <w:r>
        <w:rPr>
          <w:rFonts w:ascii="Times New Roman" w:hAnsi="Times New Roman" w:cs="Times New Roman" w:eastAsia="Times New Roman"/>
          <w:b w:val="0"/>
          <w:i w:val="0"/>
          <w:color w:val="000000"/>
          <w:sz w:val="24"/>
        </w:rPr>
        <w:t>Table 12</w:t>
      </w:r>
      <w:r>
        <w:fldChar w:fldCharType="end"/>
      </w:r>
      <w:r>
        <w:rPr>
          <w:rFonts w:ascii="Times New Roman" w:hAnsi="Times New Roman" w:cs="Times New Roman" w:eastAsia="Times New Roman"/>
          <w:b w:val="0"/>
          <w:i w:val="0"/>
          <w:color w:val="000000"/>
          <w:sz w:val="24"/>
        </w:rPr>
        <w:t xml:space="preserve"> summarizes the 159-run clustering benchmark across </w:t>
      </w:r>
      <w:r>
        <w:rPr>
          <w:rFonts w:ascii="Times New Roman" w:hAnsi="Times New Roman" w:cs="Times New Roman" w:eastAsia="Times New Roman"/>
          <w:b w:val="0"/>
          <w:i/>
          <w:color w:val="000000"/>
          <w:sz w:val="24"/>
        </w:rPr>
        <w:t>all-MiniLM-L6-v2</w:t>
      </w:r>
      <w:r>
        <w:rPr>
          <w:rFonts w:ascii="Times New Roman" w:hAnsi="Times New Roman" w:cs="Times New Roman" w:eastAsia="Times New Roman"/>
          <w:b w:val="0"/>
          <w:i w:val="0"/>
          <w:color w:val="000000"/>
          <w:sz w:val="24"/>
        </w:rPr>
        <w:t xml:space="preserve"> (384-d) and </w:t>
      </w:r>
      <w:r>
        <w:rPr>
          <w:rFonts w:ascii="Times New Roman" w:hAnsi="Times New Roman" w:cs="Times New Roman" w:eastAsia="Times New Roman"/>
          <w:b w:val="0"/>
          <w:i/>
          <w:color w:val="000000"/>
          <w:sz w:val="24"/>
        </w:rPr>
        <w:t>gemini-embedding-001</w:t>
      </w:r>
      <w:r>
        <w:rPr>
          <w:rFonts w:ascii="Times New Roman" w:hAnsi="Times New Roman" w:cs="Times New Roman" w:eastAsia="Times New Roman"/>
          <w:b w:val="0"/>
          <w:i w:val="0"/>
          <w:color w:val="000000"/>
          <w:sz w:val="24"/>
        </w:rPr>
        <w:t xml:space="preserve"> (3,072-d) representations (cluster-number diagnostics, Tukey/Games–Howell post hoc contrasts, and UMAP plots are in Appendix D, </w:t>
      </w:r>
      <w:r>
        <w:rPr>
          <w:rFonts w:ascii="Times New Roman" w:hAnsi="Times New Roman" w:cs="Times New Roman" w:eastAsia="Times New Roman"/>
          <w:b w:val="0"/>
          <w:i w:val="0"/>
          <w:color w:val="000000"/>
          <w:sz w:val="24"/>
        </w:rPr>
        <w:t xml:space="preserve">Tables </w:t>
      </w:r>
      <w:r>
        <w:fldChar w:fldCharType="begin"/>
      </w:r>
      <w:r>
        <w:instrText xml:space="preserve"> REF _RefTabND1 \h \* MERGEFORMAT </w:instrText>
      </w:r>
      <w:r>
        <w:fldChar w:fldCharType="separate"/>
      </w:r>
      <w:r>
        <w:rPr>
          <w:rFonts w:ascii="Times New Roman" w:hAnsi="Times New Roman" w:cs="Times New Roman" w:eastAsia="Times New Roman"/>
          <w:b w:val="0"/>
          <w:i w:val="0"/>
          <w:color w:val="000000"/>
          <w:sz w:val="24"/>
        </w:rPr>
        <w:t>D1</w:t>
      </w:r>
      <w:r>
        <w:fldChar w:fldCharType="end"/>
      </w:r>
      <w:r>
        <w:rPr>
          <w:rFonts w:ascii="Times New Roman" w:hAnsi="Times New Roman" w:cs="Times New Roman" w:eastAsia="Times New Roman"/>
          <w:b w:val="0"/>
          <w:i w:val="0"/>
          <w:color w:val="000000"/>
          <w:sz w:val="24"/>
        </w:rPr>
        <w:t>–</w:t>
      </w:r>
      <w:r>
        <w:fldChar w:fldCharType="begin"/>
      </w:r>
      <w:r>
        <w:instrText xml:space="preserve"> REF _RefTabND4 \h \* MERGEFORMAT </w:instrText>
      </w:r>
      <w:r>
        <w:fldChar w:fldCharType="separate"/>
      </w:r>
      <w:r>
        <w:rPr>
          <w:rFonts w:ascii="Times New Roman" w:hAnsi="Times New Roman" w:cs="Times New Roman" w:eastAsia="Times New Roman"/>
          <w:b w:val="0"/>
          <w:i w:val="0"/>
          <w:color w:val="000000"/>
          <w:sz w:val="24"/>
        </w:rPr>
        <w:t>D4</w:t>
      </w:r>
      <w:r>
        <w:fldChar w:fldCharType="end"/>
      </w:r>
      <w:r>
        <w:rPr>
          <w:rFonts w:ascii="Times New Roman" w:hAnsi="Times New Roman" w:cs="Times New Roman" w:eastAsia="Times New Roman"/>
          <w:b w:val="0"/>
          <w:i w:val="0"/>
          <w:color w:val="000000"/>
          <w:sz w:val="24"/>
        </w:rPr>
        <w:t xml:space="preserve"> and </w:t>
      </w:r>
      <w:r>
        <w:rPr>
          <w:rFonts w:ascii="Times New Roman" w:hAnsi="Times New Roman" w:cs="Times New Roman" w:eastAsia="Times New Roman"/>
          <w:b w:val="0"/>
          <w:i w:val="0"/>
          <w:color w:val="000000"/>
          <w:sz w:val="24"/>
        </w:rPr>
        <w:t xml:space="preserve">Figures </w:t>
      </w:r>
      <w:r>
        <w:fldChar w:fldCharType="begin"/>
      </w:r>
      <w:r>
        <w:instrText xml:space="preserve"> REF _RefFigND1 \h \* MERGEFORMAT </w:instrText>
      </w:r>
      <w:r>
        <w:fldChar w:fldCharType="separate"/>
      </w:r>
      <w:r>
        <w:rPr>
          <w:rFonts w:ascii="Times New Roman" w:hAnsi="Times New Roman" w:cs="Times New Roman" w:eastAsia="Times New Roman"/>
          <w:b w:val="0"/>
          <w:i w:val="0"/>
          <w:color w:val="000000"/>
          <w:sz w:val="24"/>
        </w:rPr>
        <w:t>D1</w:t>
      </w:r>
      <w:r>
        <w:fldChar w:fldCharType="end"/>
      </w:r>
      <w:r>
        <w:rPr>
          <w:rFonts w:ascii="Times New Roman" w:hAnsi="Times New Roman" w:cs="Times New Roman" w:eastAsia="Times New Roman"/>
          <w:b w:val="0"/>
          <w:i w:val="0"/>
          <w:color w:val="000000"/>
          <w:sz w:val="24"/>
        </w:rPr>
        <w:t>–</w:t>
      </w:r>
      <w:r>
        <w:fldChar w:fldCharType="begin"/>
      </w:r>
      <w:r>
        <w:instrText xml:space="preserve"> REF _RefFigND3 \h \* MERGEFORMAT </w:instrText>
      </w:r>
      <w:r>
        <w:fldChar w:fldCharType="separate"/>
      </w:r>
      <w:r>
        <w:rPr>
          <w:rFonts w:ascii="Times New Roman" w:hAnsi="Times New Roman" w:cs="Times New Roman" w:eastAsia="Times New Roman"/>
          <w:b w:val="0"/>
          <w:i w:val="0"/>
          <w:color w:val="000000"/>
          <w:sz w:val="24"/>
        </w:rPr>
        <w:t>D3</w:t>
      </w:r>
      <w:r>
        <w:fldChar w:fldCharType="end"/>
      </w:r>
      <w:r>
        <w:rPr>
          <w:rFonts w:ascii="Times New Roman" w:hAnsi="Times New Roman" w:cs="Times New Roman" w:eastAsia="Times New Roman"/>
          <w:b w:val="0"/>
          <w:i w:val="0"/>
          <w:color w:val="000000"/>
          <w:sz w:val="24"/>
        </w:rPr>
        <w:t>). On MiniLM embeddings, HDBSCAN achieved the highest Silhouette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.211, </w:t>
      </w:r>
      <w:r>
        <w:rPr>
          <w:rFonts w:ascii="Times New Roman" w:hAnsi="Times New Roman" w:cs="Times New Roman" w:eastAsia="Times New Roman"/>
          <w:b w:val="0"/>
          <w:i/>
          <w:color w:val="000000"/>
          <w:sz w:val="24"/>
        </w:rPr>
        <w:t>SD</w:t>
      </w:r>
      <w:r>
        <w:rPr>
          <w:rFonts w:ascii="Times New Roman" w:hAnsi="Times New Roman" w:cs="Times New Roman" w:eastAsia="Times New Roman"/>
          <w:b w:val="0"/>
          <w:i w:val="0"/>
          <w:color w:val="000000"/>
          <w:sz w:val="24"/>
        </w:rPr>
        <w:t xml:space="preserve"> = .044), followed by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-Means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.147, </w:t>
      </w:r>
      <w:r>
        <w:rPr>
          <w:rFonts w:ascii="Times New Roman" w:hAnsi="Times New Roman" w:cs="Times New Roman" w:eastAsia="Times New Roman"/>
          <w:b w:val="0"/>
          <w:i/>
          <w:color w:val="000000"/>
          <w:sz w:val="24"/>
        </w:rPr>
        <w:t>SD</w:t>
      </w:r>
      <w:r>
        <w:rPr>
          <w:rFonts w:ascii="Times New Roman" w:hAnsi="Times New Roman" w:cs="Times New Roman" w:eastAsia="Times New Roman"/>
          <w:b w:val="0"/>
          <w:i w:val="0"/>
          <w:color w:val="000000"/>
          <w:sz w:val="24"/>
        </w:rPr>
        <w:t xml:space="preserve"> = .019) and Ward agglomerative clustering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.118, </w:t>
      </w:r>
      <w:r>
        <w:rPr>
          <w:rFonts w:ascii="Times New Roman" w:hAnsi="Times New Roman" w:cs="Times New Roman" w:eastAsia="Times New Roman"/>
          <w:b w:val="0"/>
          <w:i/>
          <w:color w:val="000000"/>
          <w:sz w:val="24"/>
        </w:rPr>
        <w:t>SD</w:t>
      </w:r>
      <w:r>
        <w:rPr>
          <w:rFonts w:ascii="Times New Roman" w:hAnsi="Times New Roman" w:cs="Times New Roman" w:eastAsia="Times New Roman"/>
          <w:b w:val="0"/>
          <w:i w:val="0"/>
          <w:color w:val="000000"/>
          <w:sz w:val="24"/>
        </w:rPr>
        <w:t xml:space="preserve"> = .040), all exceeding the label-shuffled permutation baseline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−.013). The one-way ANOVA was significant,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(2, 156) = 91.33,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η</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.54, confirmed by Welch's test,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(2, 89.15) = 66.98,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and Kruskal–Wallis </w:t>
      </w:r>
      <w:r>
        <w:rPr>
          <w:rFonts w:ascii="Times New Roman" w:hAnsi="Times New Roman" w:cs="Times New Roman" w:eastAsia="Times New Roman"/>
          <w:b w:val="0"/>
          <w:i/>
          <w:color w:val="000000"/>
          <w:sz w:val="24"/>
        </w:rPr>
        <w:t>H</w:t>
      </w:r>
      <w:r>
        <w:rPr>
          <w:rFonts w:ascii="Times New Roman" w:hAnsi="Times New Roman" w:cs="Times New Roman" w:eastAsia="Times New Roman"/>
          <w:b w:val="0"/>
          <w:i w:val="0"/>
          <w:color w:val="000000"/>
          <w:sz w:val="24"/>
        </w:rPr>
        <w:t xml:space="preserve">(2) = 86.82,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Replicating on 3,072-d Gemini embeddings reproduced the same ordering with stronger separation (η</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.50 for turn-pooled and η</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.62 for document vectors,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Because HDBSCAN failed at default settings in 53/53 runs and discarded 39.1% of dialogues as noise when relaxed,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-Means (</w:t>
      </w:r>
      <w:r>
        <w:rPr>
          <w:rFonts w:ascii="Times New Roman" w:hAnsi="Times New Roman" w:cs="Times New Roman" w:eastAsia="Times New Roman"/>
          <w:b w:val="0"/>
          <w:i/>
          <w:color w:val="000000"/>
          <w:sz w:val="24"/>
        </w:rPr>
        <w:t>k</w:t>
      </w:r>
      <w:r>
        <w:rPr>
          <w:rFonts w:ascii="Times New Roman" w:hAnsi="Times New Roman" w:cs="Times New Roman" w:eastAsia="Times New Roman"/>
          <w:b w:val="0"/>
          <w:i w:val="0"/>
          <w:color w:val="000000"/>
          <w:sz w:val="24"/>
        </w:rPr>
        <w:t xml:space="preserve"> = 3) was selected for complete centroid routing. Golden centroids generalized to held-out Frames dialogues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(754.9) = 0.42,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.676) but differed from MultiWOZ 2.2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(576.2) = 38.29,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w:t>
      </w:r>
      <w:r>
        <w:fldChar w:fldCharType="begin"/>
      </w:r>
      <w:r>
        <w:instrText xml:space="preserve"> REF _RefTabD4 \h \* MERGEFORMAT </w:instrText>
      </w:r>
      <w:r>
        <w:fldChar w:fldCharType="separate"/>
      </w:r>
      <w:r>
        <w:rPr>
          <w:rFonts w:ascii="Times New Roman" w:hAnsi="Times New Roman" w:cs="Times New Roman" w:eastAsia="Times New Roman"/>
          <w:b w:val="0"/>
          <w:i w:val="0"/>
          <w:color w:val="000000"/>
          <w:sz w:val="24"/>
        </w:rPr>
        <w:t>Table D4</w:t>
      </w:r>
      <w:r>
        <w:fldChar w:fldCharType="end"/>
      </w:r>
      <w:r>
        <w:rPr>
          <w:rFonts w:ascii="Times New Roman" w:hAnsi="Times New Roman" w:cs="Times New Roman" w:eastAsia="Times New Roman"/>
          <w:b w:val="0"/>
          <w:i w:val="0"/>
          <w:color w:val="000000"/>
          <w:sz w:val="24"/>
        </w:rPr>
        <w:t>).</w:t>
      </w:r>
    </w:p>
    <w:p>
      <w:pPr>
        <w:keepNext/>
        <w:widowControl/>
        <w:spacing w:line="480" w:lineRule="auto" w:before="120" w:after="0"/>
        <w:ind w:firstLine="0" w:left="0"/>
        <w:jc w:val="left"/>
      </w:pPr>
      <w:bookmarkStart w:name="_RefTab12" w:id="229"/>
      <w:r>
        <w:rPr>
          <w:rFonts w:ascii="Times New Roman" w:hAnsi="Times New Roman" w:cs="Times New Roman" w:eastAsia="Times New Roman"/>
          <w:b/>
          <w:color w:val="000000"/>
          <w:sz w:val="24"/>
        </w:rPr>
        <w:t xml:space="preserve">Table </w:t>
      </w:r>
      <w:bookmarkStart w:name="_RefTabN12" w:id="230"/>
      <w:r>
        <w:rPr>
          <w:rFonts w:ascii="Times New Roman" w:hAnsi="Times New Roman" w:cs="Times New Roman" w:eastAsia="Times New Roman"/>
          <w:b/>
          <w:color w:val="000000"/>
          <w:sz w:val="24"/>
        </w:rPr>
        <w:t>12</w:t>
      </w:r>
      <w:bookmarkEnd w:id="230"/>
      <w:bookmarkEnd w:id="229"/>
    </w:p>
    <w:p>
      <w:pPr>
        <w:keepNext/>
        <w:widowControl/>
        <w:spacing w:line="480" w:lineRule="auto" w:before="0" w:after="0"/>
        <w:ind w:firstLine="0" w:left="0"/>
        <w:jc w:val="left"/>
      </w:pPr>
      <w:r>
        <w:rPr>
          <w:rFonts w:ascii="Times New Roman" w:hAnsi="Times New Roman" w:cs="Times New Roman" w:eastAsia="Times New Roman"/>
          <w:b w:val="0"/>
          <w:i/>
          <w:color w:val="000000"/>
          <w:sz w:val="24"/>
        </w:rPr>
        <w:t>Cluster Quality by Algorithm and Embedding Family Across 159 Subsample Runs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560"/>
        <w:gridCol w:w="1560"/>
        <w:gridCol w:w="1560"/>
        <w:gridCol w:w="1560"/>
        <w:gridCol w:w="1560"/>
        <w:gridCol w:w="1560"/>
      </w:tblGrid>
      <w:tr>
        <w:trPr>
          <w:cantSplit/>
          <w:tblHeader/>
        </w:trPr>
        <w:tc>
          <w:tcPr>
            <w:tcW w:type="dxa" w:w="352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Representation and algorithm</w:t>
            </w:r>
          </w:p>
        </w:tc>
        <w:tc>
          <w:tcPr>
            <w:tcW w:type="dxa" w:w="79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runs</w:t>
            </w:r>
          </w:p>
        </w:tc>
        <w:tc>
          <w:tcPr>
            <w:tcW w:type="dxa" w:w="187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Silhouette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129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Davies–Bouldin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122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Omnibus ANOVA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w:t>
            </w:r>
          </w:p>
        </w:tc>
        <w:tc>
          <w:tcPr>
            <w:tcW w:type="dxa" w:w="64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Effect size η</w:t>
            </w:r>
            <w:r>
              <w:rPr>
                <w:rFonts w:ascii="Times New Roman" w:hAnsi="Times New Roman" w:cs="Times New Roman" w:eastAsia="Times New Roman"/>
                <w:b w:val="0"/>
                <w:i w:val="0"/>
                <w:color w:val="000000"/>
                <w:sz w:val="20"/>
                <w:vertAlign w:val="superscript"/>
              </w:rPr>
              <w:t>2</w:t>
            </w:r>
          </w:p>
        </w:tc>
      </w:tr>
      <w:tr>
        <w:trPr>
          <w:cantSplit/>
        </w:trPr>
        <w:tc>
          <w:tcPr>
            <w:tcW w:type="dxa" w:w="352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MiniLM-L6-v2 (384-d) — K-Means (</w:t>
            </w:r>
            <w:r>
              <w:rPr>
                <w:rFonts w:ascii="Times New Roman" w:hAnsi="Times New Roman" w:cs="Times New Roman" w:eastAsia="Times New Roman"/>
                <w:b w:val="0"/>
                <w:i/>
                <w:color w:val="000000"/>
                <w:sz w:val="20"/>
              </w:rPr>
              <w:t>k</w:t>
            </w:r>
            <w:r>
              <w:rPr>
                <w:rFonts w:ascii="Times New Roman" w:hAnsi="Times New Roman" w:cs="Times New Roman" w:eastAsia="Times New Roman"/>
                <w:b w:val="0"/>
                <w:i w:val="0"/>
                <w:color w:val="000000"/>
                <w:sz w:val="20"/>
              </w:rPr>
              <w:t xml:space="preserve"> = 3)</w:t>
            </w:r>
          </w:p>
        </w:tc>
        <w:tc>
          <w:tcPr>
            <w:tcW w:type="dxa" w:w="79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53</w:t>
            </w:r>
          </w:p>
        </w:tc>
        <w:tc>
          <w:tcPr>
            <w:tcW w:type="dxa" w:w="187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.147 (.019)</w:t>
            </w:r>
          </w:p>
        </w:tc>
        <w:tc>
          <w:tcPr>
            <w:tcW w:type="dxa" w:w="129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3.129 (0.113)</w:t>
            </w:r>
          </w:p>
        </w:tc>
        <w:tc>
          <w:tcPr>
            <w:tcW w:type="dxa" w:w="1224"/>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(2, 156) = 91.33 (&lt; .001)</w:t>
            </w:r>
          </w:p>
        </w:tc>
        <w:tc>
          <w:tcPr>
            <w:tcW w:type="dxa" w:w="64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.54</w:t>
            </w:r>
          </w:p>
        </w:tc>
      </w:tr>
      <w:tr>
        <w:trPr>
          <w:cantSplit/>
        </w:trPr>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MiniLM-L6-v2 (384-d) — Agglomerative (Ward)</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53</w:t>
            </w:r>
          </w:p>
        </w:tc>
        <w:tc>
          <w:tcPr>
            <w:tcW w:type="dxa" w:w="187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.118 (.040)</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3.550 (0.269)</w:t>
            </w:r>
          </w:p>
        </w:tc>
        <w:tc>
          <w:tcPr>
            <w:tcW w:type="dxa" w:w="1224"/>
          </w:tcPr>
          <w:p>
            <w:pPr>
              <w:keepNext w:val="0"/>
              <w:widowControl/>
              <w:spacing w:line="240" w:lineRule="auto" w:before="30" w:after="30"/>
              <w:ind w:firstLine="0" w:left="0"/>
              <w:jc w:val="center"/>
            </w:pPr>
          </w:p>
        </w:tc>
        <w:tc>
          <w:tcPr>
            <w:tcW w:type="dxa" w:w="648"/>
          </w:tcPr>
          <w:p>
            <w:pPr>
              <w:keepNext w:val="0"/>
              <w:widowControl/>
              <w:spacing w:line="240" w:lineRule="auto" w:before="30" w:after="30"/>
              <w:ind w:firstLine="0" w:left="0"/>
              <w:jc w:val="center"/>
            </w:pPr>
          </w:p>
        </w:tc>
      </w:tr>
      <w:tr>
        <w:trPr>
          <w:cantSplit/>
        </w:trPr>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MiniLM-L6-v2 (384-d) — HDBSCAN (relaxed)</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53</w:t>
            </w:r>
          </w:p>
        </w:tc>
        <w:tc>
          <w:tcPr>
            <w:tcW w:type="dxa" w:w="187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.211 (.044)</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2.657 (0.241)</w:t>
            </w:r>
          </w:p>
        </w:tc>
        <w:tc>
          <w:tcPr>
            <w:tcW w:type="dxa" w:w="1224"/>
          </w:tcPr>
          <w:p>
            <w:pPr>
              <w:keepNext w:val="0"/>
              <w:widowControl/>
              <w:spacing w:line="240" w:lineRule="auto" w:before="30" w:after="30"/>
              <w:ind w:firstLine="0" w:left="0"/>
              <w:jc w:val="center"/>
            </w:pPr>
          </w:p>
        </w:tc>
        <w:tc>
          <w:tcPr>
            <w:tcW w:type="dxa" w:w="648"/>
          </w:tcPr>
          <w:p>
            <w:pPr>
              <w:keepNext w:val="0"/>
              <w:widowControl/>
              <w:spacing w:line="240" w:lineRule="auto" w:before="30" w:after="30"/>
              <w:ind w:firstLine="0" w:left="0"/>
              <w:jc w:val="center"/>
            </w:pPr>
          </w:p>
        </w:tc>
      </w:tr>
      <w:tr>
        <w:trPr>
          <w:cantSplit/>
        </w:trPr>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MiniLM-L6-v2 (384-d) — Permutation baseline</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53</w:t>
            </w:r>
          </w:p>
        </w:tc>
        <w:tc>
          <w:tcPr>
            <w:tcW w:type="dxa" w:w="187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−.013 (.006)</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c>
          <w:tcPr>
            <w:tcW w:type="dxa" w:w="1224"/>
          </w:tcPr>
          <w:p>
            <w:pPr>
              <w:keepNext w:val="0"/>
              <w:widowControl/>
              <w:spacing w:line="240" w:lineRule="auto" w:before="30" w:after="30"/>
              <w:ind w:firstLine="0" w:left="0"/>
              <w:jc w:val="center"/>
            </w:pPr>
          </w:p>
        </w:tc>
        <w:tc>
          <w:tcPr>
            <w:tcW w:type="dxa" w:w="648"/>
          </w:tcPr>
          <w:p>
            <w:pPr>
              <w:keepNext w:val="0"/>
              <w:widowControl/>
              <w:spacing w:line="240" w:lineRule="auto" w:before="30" w:after="30"/>
              <w:ind w:firstLine="0" w:left="0"/>
              <w:jc w:val="center"/>
            </w:pPr>
          </w:p>
        </w:tc>
      </w:tr>
      <w:tr>
        <w:trPr>
          <w:cantSplit/>
        </w:trPr>
        <w:tc>
          <w:tcPr>
            <w:tcW w:type="dxa" w:w="35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Gemini-001 (3,072-d turn pool) — K-Means / Ward / HDB</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159</w:t>
            </w:r>
          </w:p>
        </w:tc>
        <w:tc>
          <w:tcPr>
            <w:tcW w:type="dxa" w:w="187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.158 / .150 / .289</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(2, 156) = 77.09 (&lt; .001)</w:t>
            </w:r>
          </w:p>
        </w:tc>
        <w:tc>
          <w:tcPr>
            <w:tcW w:type="dxa" w:w="64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.50</w:t>
            </w:r>
          </w:p>
        </w:tc>
      </w:tr>
      <w:tr>
        <w:trPr>
          <w:cantSplit/>
        </w:trPr>
        <w:tc>
          <w:tcPr>
            <w:tcW w:type="dxa" w:w="352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Gemini-001 (3,072-d document) — K-Means / Ward / HDB</w:t>
            </w:r>
          </w:p>
        </w:tc>
        <w:tc>
          <w:tcPr>
            <w:tcW w:type="dxa" w:w="79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159</w:t>
            </w:r>
          </w:p>
        </w:tc>
        <w:tc>
          <w:tcPr>
            <w:tcW w:type="dxa" w:w="187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.161 / .213 / .345</w:t>
            </w:r>
          </w:p>
        </w:tc>
        <w:tc>
          <w:tcPr>
            <w:tcW w:type="dxa" w:w="129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c>
          <w:tcPr>
            <w:tcW w:type="dxa" w:w="1224"/>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(2, 156) = 127.47 (&lt; .001)</w:t>
            </w:r>
          </w:p>
        </w:tc>
        <w:tc>
          <w:tcPr>
            <w:tcW w:type="dxa" w:w="64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.62</w:t>
            </w:r>
          </w:p>
        </w:tc>
      </w:tr>
    </w:tbl>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Each run clusters an independent random subsample of 500 golden dialogues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vertAlign w:val="subscript"/>
        </w:rPr>
        <w:t>gold</w:t>
      </w:r>
      <w:r>
        <w:rPr>
          <w:rFonts w:ascii="Times New Roman" w:hAnsi="Times New Roman" w:cs="Times New Roman" w:eastAsia="Times New Roman"/>
          <w:b w:val="0"/>
          <w:i w:val="0"/>
          <w:color w:val="000000"/>
          <w:sz w:val="24"/>
        </w:rPr>
        <w:t>).</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Sensitivity analysis, refined user archetypes, and hybrid prefix routing breakthrough.</w:t>
      </w:r>
      <w:r>
        <w:rPr>
          <w:rFonts w:ascii="Times New Roman" w:hAnsi="Times New Roman" w:cs="Times New Roman" w:eastAsia="Times New Roman"/>
          <w:b w:val="0"/>
          <w:i w:val="0"/>
          <w:color w:val="000000"/>
          <w:sz w:val="24"/>
        </w:rPr>
        <w:t xml:space="preserve"> Auditing the primary whole-dialogue archetypes (</w:t>
      </w:r>
      <w:r>
        <w:rPr>
          <w:rFonts w:ascii="Times New Roman" w:hAnsi="Times New Roman" w:cs="Times New Roman" w:eastAsia="Times New Roman"/>
          <w:b w:val="0"/>
          <w:i/>
          <w:color w:val="000000"/>
          <w:sz w:val="24"/>
        </w:rPr>
        <w:t>Direct Transactional</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Constraint Negotiator</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Guided Explorer</w:t>
      </w:r>
      <w:r>
        <w:rPr>
          <w:rFonts w:ascii="Times New Roman" w:hAnsi="Times New Roman" w:cs="Times New Roman" w:eastAsia="Times New Roman"/>
          <w:b w:val="0"/>
          <w:i w:val="0"/>
          <w:color w:val="000000"/>
          <w:sz w:val="24"/>
        </w:rPr>
        <w:t xml:space="preserve">; </w:t>
      </w:r>
      <w:r>
        <w:fldChar w:fldCharType="begin"/>
      </w:r>
      <w:r>
        <w:instrText xml:space="preserve"> REF _RefTabD3 \h \* MERGEFORMAT </w:instrText>
      </w:r>
      <w:r>
        <w:fldChar w:fldCharType="separate"/>
      </w:r>
      <w:r>
        <w:rPr>
          <w:rFonts w:ascii="Times New Roman" w:hAnsi="Times New Roman" w:cs="Times New Roman" w:eastAsia="Times New Roman"/>
          <w:b w:val="0"/>
          <w:i w:val="0"/>
          <w:color w:val="000000"/>
          <w:sz w:val="24"/>
        </w:rPr>
        <w:t>Table D3</w:t>
      </w:r>
      <w:r>
        <w:fldChar w:fldCharType="end"/>
      </w:r>
      <w:r>
        <w:rPr>
          <w:rFonts w:ascii="Times New Roman" w:hAnsi="Times New Roman" w:cs="Times New Roman" w:eastAsia="Times New Roman"/>
          <w:b w:val="0"/>
          <w:i w:val="0"/>
          <w:color w:val="000000"/>
          <w:sz w:val="24"/>
        </w:rPr>
        <w:t xml:space="preserve">) showed that whole-dialogue vectors conflate user and wizard turns, correlate with role-players (Cramér's </w:t>
      </w:r>
      <w:r>
        <w:rPr>
          <w:rFonts w:ascii="Times New Roman" w:hAnsi="Times New Roman" w:cs="Times New Roman" w:eastAsia="Times New Roman"/>
          <w:b w:val="0"/>
          <w:i/>
          <w:color w:val="000000"/>
          <w:sz w:val="24"/>
        </w:rPr>
        <w:t>V</w:t>
      </w:r>
      <w:r>
        <w:rPr>
          <w:rFonts w:ascii="Times New Roman" w:hAnsi="Times New Roman" w:cs="Times New Roman" w:eastAsia="Times New Roman"/>
          <w:b w:val="0"/>
          <w:i w:val="0"/>
          <w:color w:val="000000"/>
          <w:sz w:val="24"/>
        </w:rPr>
        <w:t xml:space="preserve"> = .19), and yield low early-turn routing agreement (κ = .11). Evaluating the hybrid </w:t>
      </w:r>
      <w:r>
        <w:rPr>
          <w:rFonts w:ascii="Times New Roman" w:hAnsi="Times New Roman" w:cs="Times New Roman" w:eastAsia="Times New Roman"/>
          <w:b w:val="0"/>
          <w:i/>
          <w:color w:val="000000"/>
          <w:sz w:val="24"/>
        </w:rPr>
        <w:t>Blocks</w:t>
      </w:r>
      <w:r>
        <w:rPr>
          <w:rFonts w:ascii="Times New Roman" w:hAnsi="Times New Roman" w:cs="Times New Roman" w:eastAsia="Times New Roman"/>
          <w:b w:val="0"/>
          <w:i w:val="0"/>
          <w:color w:val="000000"/>
          <w:sz w:val="24"/>
        </w:rPr>
        <w:t xml:space="preserve"> representation (PCA-20 Gemini user prefix embedding + 16-field LLM behavioral schema: 10 ordinal 1–5 scales, 3 categorical goal/tone clustering fields, and 3 audit-only fields) across truncation horizons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{3, 5, 7, 9, whole} (Appendix D, </w:t>
      </w:r>
      <w:r>
        <w:rPr>
          <w:rFonts w:ascii="Times New Roman" w:hAnsi="Times New Roman" w:cs="Times New Roman" w:eastAsia="Times New Roman"/>
          <w:b w:val="0"/>
          <w:i w:val="0"/>
          <w:color w:val="000000"/>
          <w:sz w:val="24"/>
        </w:rPr>
        <w:t xml:space="preserve">Tables </w:t>
      </w:r>
      <w:r>
        <w:fldChar w:fldCharType="begin"/>
      </w:r>
      <w:r>
        <w:instrText xml:space="preserve"> REF _RefTabND5 \h \* MERGEFORMAT </w:instrText>
      </w:r>
      <w:r>
        <w:fldChar w:fldCharType="separate"/>
      </w:r>
      <w:r>
        <w:rPr>
          <w:rFonts w:ascii="Times New Roman" w:hAnsi="Times New Roman" w:cs="Times New Roman" w:eastAsia="Times New Roman"/>
          <w:b w:val="0"/>
          <w:i w:val="0"/>
          <w:color w:val="000000"/>
          <w:sz w:val="24"/>
        </w:rPr>
        <w:t>D5</w:t>
      </w:r>
      <w:r>
        <w:fldChar w:fldCharType="end"/>
      </w:r>
      <w:r>
        <w:rPr>
          <w:rFonts w:ascii="Times New Roman" w:hAnsi="Times New Roman" w:cs="Times New Roman" w:eastAsia="Times New Roman"/>
          <w:b w:val="0"/>
          <w:i w:val="0"/>
          <w:color w:val="000000"/>
          <w:sz w:val="24"/>
        </w:rPr>
        <w:t>–</w:t>
      </w:r>
      <w:r>
        <w:fldChar w:fldCharType="begin"/>
      </w:r>
      <w:r>
        <w:instrText xml:space="preserve"> REF _RefTabND6 \h \* MERGEFORMAT </w:instrText>
      </w:r>
      <w:r>
        <w:fldChar w:fldCharType="separate"/>
      </w:r>
      <w:r>
        <w:rPr>
          <w:rFonts w:ascii="Times New Roman" w:hAnsi="Times New Roman" w:cs="Times New Roman" w:eastAsia="Times New Roman"/>
          <w:b w:val="0"/>
          <w:i w:val="0"/>
          <w:color w:val="000000"/>
          <w:sz w:val="24"/>
        </w:rPr>
        <w:t>D6</w:t>
      </w:r>
      <w:r>
        <w:fldChar w:fldCharType="end"/>
      </w:r>
      <w:r>
        <w:rPr>
          <w:rFonts w:ascii="Times New Roman" w:hAnsi="Times New Roman" w:cs="Times New Roman" w:eastAsia="Times New Roman"/>
          <w:b w:val="0"/>
          <w:i w:val="0"/>
          <w:color w:val="000000"/>
          <w:sz w:val="24"/>
        </w:rPr>
        <w:t xml:space="preserve"> and </w:t>
      </w:r>
      <w:r>
        <w:fldChar w:fldCharType="begin"/>
      </w:r>
      <w:r>
        <w:instrText xml:space="preserve"> REF _RefFigD4 \h \* MERGEFORMAT </w:instrText>
      </w:r>
      <w:r>
        <w:fldChar w:fldCharType="separate"/>
      </w:r>
      <w:r>
        <w:rPr>
          <w:rFonts w:ascii="Times New Roman" w:hAnsi="Times New Roman" w:cs="Times New Roman" w:eastAsia="Times New Roman"/>
          <w:b w:val="0"/>
          <w:i w:val="0"/>
          <w:color w:val="000000"/>
          <w:sz w:val="24"/>
        </w:rPr>
        <w:t>Figure D4</w:t>
      </w:r>
      <w:r>
        <w:fldChar w:fldCharType="end"/>
      </w:r>
      <w:r>
        <w:rPr>
          <w:rFonts w:ascii="Times New Roman" w:hAnsi="Times New Roman" w:cs="Times New Roman" w:eastAsia="Times New Roman"/>
          <w:b w:val="0"/>
          <w:i w:val="0"/>
          <w:color w:val="000000"/>
          <w:sz w:val="24"/>
        </w:rPr>
        <w:t xml:space="preserve">) proved that truncating to the first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9 user messages yields a stable three-cluster partition (bootstrap ARI = .87; 89.2% core membership; smallest cluster 25.5%). Importantly, total dialogue turns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 user plus wizard turns,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14.93, </w:t>
      </w:r>
      <w:r>
        <w:rPr>
          <w:rFonts w:ascii="Times New Roman" w:hAnsi="Times New Roman" w:cs="Times New Roman" w:eastAsia="Times New Roman"/>
          <w:b w:val="0"/>
          <w:i/>
          <w:color w:val="000000"/>
          <w:sz w:val="24"/>
        </w:rPr>
        <w:t>Mdn</w:t>
      </w:r>
      <w:r>
        <w:rPr>
          <w:rFonts w:ascii="Times New Roman" w:hAnsi="Times New Roman" w:cs="Times New Roman" w:eastAsia="Times New Roman"/>
          <w:b w:val="0"/>
          <w:i w:val="0"/>
          <w:color w:val="000000"/>
          <w:sz w:val="24"/>
        </w:rPr>
        <w:t xml:space="preserve"> = 14.0; 96.4% ≥ 5 turns and 83.2% ≥ 9 turns) must be distinguished from user-only messages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customer turns only,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7.78, </w:t>
      </w:r>
      <w:r>
        <w:rPr>
          <w:rFonts w:ascii="Times New Roman" w:hAnsi="Times New Roman" w:cs="Times New Roman" w:eastAsia="Times New Roman"/>
          <w:b w:val="0"/>
          <w:i/>
          <w:color w:val="000000"/>
          <w:sz w:val="24"/>
        </w:rPr>
        <w:t>Mdn</w:t>
      </w:r>
      <w:r>
        <w:rPr>
          <w:rFonts w:ascii="Times New Roman" w:hAnsi="Times New Roman" w:cs="Times New Roman" w:eastAsia="Times New Roman"/>
          <w:b w:val="0"/>
          <w:i w:val="0"/>
          <w:color w:val="000000"/>
          <w:sz w:val="24"/>
        </w:rPr>
        <w:t xml:space="preserve"> = 7.0; 83.2% ≥ 5 user messages and 37.6% ≥ 9 user messages). Offline cluster discovery applies an upper cap of min(user_turns, 9) user messages so that late checkout/abandonment turns are stripped from the 38.6% of long golden dialogues (&gt; 9 user messages) while shorter dialogues retain all user messages. At runtime, projecting held-out test prefixes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vertAlign w:val="subscript"/>
        </w:rPr>
        <w:t>test</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401) into the golden-fitted </w:t>
      </w:r>
      <w:r>
        <w:rPr>
          <w:rFonts w:ascii="Times New Roman" w:hAnsi="Times New Roman" w:cs="Times New Roman" w:eastAsia="Times New Roman"/>
          <w:b w:val="0"/>
          <w:i/>
          <w:color w:val="000000"/>
          <w:sz w:val="24"/>
        </w:rPr>
        <w:t>Blocks</w:t>
      </w:r>
      <w:r>
        <w:rPr>
          <w:rFonts w:ascii="Times New Roman" w:hAnsi="Times New Roman" w:cs="Times New Roman" w:eastAsia="Times New Roman"/>
          <w:b w:val="0"/>
          <w:i w:val="0"/>
          <w:color w:val="000000"/>
          <w:sz w:val="24"/>
        </w:rPr>
        <w:t xml:space="preserve"> space via </w:t>
      </w:r>
      <w:r>
        <w:rPr>
          <w:rFonts w:ascii="Times New Roman" w:hAnsi="Times New Roman" w:cs="Times New Roman" w:eastAsia="Times New Roman"/>
          <w:b w:val="0"/>
          <w:i/>
          <w:color w:val="000000"/>
          <w:sz w:val="24"/>
        </w:rPr>
        <w:t>RefinedArchetypeRouter</w:t>
      </w:r>
      <w:r>
        <w:rPr>
          <w:rFonts w:ascii="Times New Roman" w:hAnsi="Times New Roman" w:cs="Times New Roman" w:eastAsia="Times New Roman"/>
          <w:b w:val="0"/>
          <w:i w:val="0"/>
          <w:color w:val="000000"/>
          <w:sz w:val="24"/>
        </w:rPr>
        <w:t xml:space="preserve"> yields progressive out-of-sample routing accuracy (and Cohen's κ) of 59.4% (κ = .359) at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3 user messages (≈ 5 total turns; 87.5% on dialogues with &lt; 3 user messages), 70.1% (κ = .535) at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5 user messages (≈ 9 total turns, the runtime cut-off used in RQ2; 81.8% on &lt; 5 and 67.8% on ≥ 5 user messages), 82.0% (κ = .722) at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7 (≈ 13 total turns; 93.2% on &lt; 7 and 74.6% on ≥ 7 user messages), and 97.3% (κ = .958) at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9 user messages (≈ 17 total turns; 96.0% on ≤ 9 and 99.3% on ≥ 9 user messages). </w:t>
      </w:r>
      <w:r>
        <w:fldChar w:fldCharType="begin"/>
      </w:r>
      <w:r>
        <w:instrText xml:space="preserve"> REF _RefTab13 \h \* MERGEFORMAT </w:instrText>
      </w:r>
      <w:r>
        <w:fldChar w:fldCharType="separate"/>
      </w:r>
      <w:r>
        <w:rPr>
          <w:rFonts w:ascii="Times New Roman" w:hAnsi="Times New Roman" w:cs="Times New Roman" w:eastAsia="Times New Roman"/>
          <w:b w:val="0"/>
          <w:i w:val="0"/>
          <w:color w:val="000000"/>
          <w:sz w:val="24"/>
        </w:rPr>
        <w:t>Table 13</w:t>
      </w:r>
      <w:r>
        <w:fldChar w:fldCharType="end"/>
      </w:r>
      <w:r>
        <w:rPr>
          <w:rFonts w:ascii="Times New Roman" w:hAnsi="Times New Roman" w:cs="Times New Roman" w:eastAsia="Times New Roman"/>
          <w:b w:val="0"/>
          <w:i w:val="0"/>
          <w:color w:val="000000"/>
          <w:sz w:val="24"/>
        </w:rPr>
        <w:t xml:space="preserve"> profiles the three refined user archetypes across all 16 schema fields: </w:t>
      </w:r>
      <w:r>
        <w:rPr>
          <w:rFonts w:ascii="Times New Roman" w:hAnsi="Times New Roman" w:cs="Times New Roman" w:eastAsia="Times New Roman"/>
          <w:b w:val="0"/>
          <w:i/>
          <w:color w:val="000000"/>
          <w:sz w:val="24"/>
        </w:rPr>
        <w:t>Decisive Booker</w:t>
      </w:r>
      <w:r>
        <w:rPr>
          <w:rFonts w:ascii="Times New Roman" w:hAnsi="Times New Roman" w:cs="Times New Roman" w:eastAsia="Times New Roman"/>
          <w:b w:val="0"/>
          <w:i w:val="0"/>
          <w:color w:val="000000"/>
          <w:sz w:val="24"/>
        </w:rPr>
        <w:t xml:space="preserve"> (45.0%; high decisiveness = 3.97, politeness = 4.26, 99.3% booking goal), </w:t>
      </w:r>
      <w:r>
        <w:rPr>
          <w:rFonts w:ascii="Times New Roman" w:hAnsi="Times New Roman" w:cs="Times New Roman" w:eastAsia="Times New Roman"/>
          <w:b w:val="0"/>
          <w:i/>
          <w:color w:val="000000"/>
          <w:sz w:val="24"/>
        </w:rPr>
        <w:t>Open Explorer</w:t>
      </w:r>
      <w:r>
        <w:rPr>
          <w:rFonts w:ascii="Times New Roman" w:hAnsi="Times New Roman" w:cs="Times New Roman" w:eastAsia="Times New Roman"/>
          <w:b w:val="0"/>
          <w:i w:val="0"/>
          <w:color w:val="000000"/>
          <w:sz w:val="24"/>
        </w:rPr>
        <w:t xml:space="preserve"> (25.5%; high destination flexibility = 3.49 and exploration breadth = 2.96, longest dialogues = 20.78 turns), and </w:t>
      </w:r>
      <w:r>
        <w:rPr>
          <w:rFonts w:ascii="Times New Roman" w:hAnsi="Times New Roman" w:cs="Times New Roman" w:eastAsia="Times New Roman"/>
          <w:b w:val="0"/>
          <w:i/>
          <w:color w:val="000000"/>
          <w:sz w:val="24"/>
        </w:rPr>
        <w:t>Rigid-Constraint Seeker</w:t>
      </w:r>
      <w:r>
        <w:rPr>
          <w:rFonts w:ascii="Times New Roman" w:hAnsi="Times New Roman" w:cs="Times New Roman" w:eastAsia="Times New Roman"/>
          <w:b w:val="0"/>
          <w:i w:val="0"/>
          <w:color w:val="000000"/>
          <w:sz w:val="24"/>
        </w:rPr>
        <w:t xml:space="preserve"> (29.5%; fixed destination/date constraints = 2.20/2.18, concise 10.60-turn sessions where 68.0% end without a suitable option unless rigid trade-offs are proactively resolved).</w:t>
      </w:r>
    </w:p>
    <w:p>
      <w:pPr>
        <w:keepNext/>
        <w:widowControl/>
        <w:spacing w:line="480" w:lineRule="auto" w:before="120" w:after="0"/>
        <w:ind w:firstLine="0" w:left="0"/>
        <w:jc w:val="left"/>
      </w:pPr>
      <w:bookmarkStart w:name="_RefTab13" w:id="231"/>
      <w:r>
        <w:rPr>
          <w:rFonts w:ascii="Times New Roman" w:hAnsi="Times New Roman" w:cs="Times New Roman" w:eastAsia="Times New Roman"/>
          <w:b/>
          <w:color w:val="000000"/>
          <w:sz w:val="24"/>
        </w:rPr>
        <w:t xml:space="preserve">Table </w:t>
      </w:r>
      <w:bookmarkStart w:name="_RefTabN13" w:id="232"/>
      <w:r>
        <w:rPr>
          <w:rFonts w:ascii="Times New Roman" w:hAnsi="Times New Roman" w:cs="Times New Roman" w:eastAsia="Times New Roman"/>
          <w:b/>
          <w:color w:val="000000"/>
          <w:sz w:val="24"/>
        </w:rPr>
        <w:t>13</w:t>
      </w:r>
      <w:bookmarkEnd w:id="232"/>
      <w:bookmarkEnd w:id="231"/>
    </w:p>
    <w:p>
      <w:pPr>
        <w:keepNext/>
        <w:widowControl/>
        <w:spacing w:line="480" w:lineRule="auto" w:before="0" w:after="0"/>
        <w:ind w:firstLine="0" w:left="0"/>
        <w:jc w:val="left"/>
      </w:pPr>
      <w:r>
        <w:rPr>
          <w:rFonts w:ascii="Times New Roman" w:hAnsi="Times New Roman" w:cs="Times New Roman" w:eastAsia="Times New Roman"/>
          <w:b w:val="0"/>
          <w:i/>
          <w:color w:val="000000"/>
          <w:sz w:val="24"/>
        </w:rPr>
        <w:t>Profiles of the Three Refined User Archetypes Across All 16 Behavioral Schema Fields and Prefix Routing Performance</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367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Behavioral schema field or routing attribute</w:t>
            </w:r>
          </w:p>
        </w:tc>
        <w:tc>
          <w:tcPr>
            <w:tcW w:type="dxa" w:w="1901"/>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Decisive Booker</w:t>
            </w:r>
          </w:p>
        </w:tc>
        <w:tc>
          <w:tcPr>
            <w:tcW w:type="dxa" w:w="1901"/>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Open Explorer</w:t>
            </w:r>
          </w:p>
        </w:tc>
        <w:tc>
          <w:tcPr>
            <w:tcW w:type="dxa" w:w="188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Rigid-Constraint Seeker</w:t>
            </w:r>
          </w:p>
        </w:tc>
      </w:tr>
      <w:tr>
        <w:trPr>
          <w:cantSplit/>
        </w:trPr>
        <w:tc>
          <w:tcPr>
            <w:tcW w:type="dxa" w:w="367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Golden / Held-out test size,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w:t>
            </w:r>
          </w:p>
        </w:tc>
        <w:tc>
          <w:tcPr>
            <w:tcW w:type="dxa" w:w="1901"/>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420 (45.0%) / 175</w:t>
            </w:r>
          </w:p>
        </w:tc>
        <w:tc>
          <w:tcPr>
            <w:tcW w:type="dxa" w:w="1901"/>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238 (25.5%) / 99</w:t>
            </w:r>
          </w:p>
        </w:tc>
        <w:tc>
          <w:tcPr>
            <w:tcW w:type="dxa" w:w="188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275 (29.5%) / 127</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Dialogue turns / User messages, </w:t>
            </w:r>
            <w:r>
              <w:rPr>
                <w:rFonts w:ascii="Times New Roman" w:hAnsi="Times New Roman" w:cs="Times New Roman" w:eastAsia="Times New Roman"/>
                <w:b w:val="0"/>
                <w:i/>
                <w:color w:val="000000"/>
                <w:sz w:val="20"/>
              </w:rPr>
              <w:t>M</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14.49 (4.54) / 7.58</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20.78 (6.95) / 10.73</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10.60 (5.73) / 5.55</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 Destination flexibility (1–5 ordinal)</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2.54</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3.49</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2.20</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2. Date flexibility (1–5 ordinal)</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2.57</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2.77</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2.18</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3. Exploration breadth (1–5 ordinal)</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1.97</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2.96</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1.59</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4. Decisiveness (1–5 ordinal)</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3.97</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2.58</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3.23</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5. Detail orientation (1–5 ordinal)</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2.39</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2.87</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1.46</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6. Revision tendency (1–5 ordinal)</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2.00</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3.03</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2.40</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7. Question asking (1–5 ordinal)</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2.05</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2.72</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1.43</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8. Politeness (1–5 ordinal)</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4.26</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3.80</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3.07</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9. Price sensitivity (1–5 ordinal)</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3.20</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3.18</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3.12</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10. Information given up front (1–5 ordinal)</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2.18</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1.82</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2.16</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11. Primary goal: explore / book trip (%)</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0.5% / 99.3%</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39.1% / 50.8%</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2.2% / 89.8%</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12. Secondary goals present (%)</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42.4%</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56.3%</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16.4%</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13. Emotional tone: positive / neutral (%)</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52.4% / 46.7%</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21.0% / 69.3%</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7.6% / 59.6%</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14. Session outcome (audit): booked / no option (%)</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90.5% / 6.2%</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68.1% / 18.5%</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28.0% / 68.0%</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15. Party type (audit): solo or couple (%)</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37.1%</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44.5%</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34.5%</w:t>
            </w:r>
          </w:p>
        </w:tc>
      </w:tr>
      <w:tr>
        <w:trPr>
          <w:cantSplit/>
        </w:trPr>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16. Unusual conversation flag (audit, %)</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1.0%</w:t>
            </w:r>
          </w:p>
        </w:tc>
        <w:tc>
          <w:tcPr>
            <w:tcW w:type="dxa" w:w="1901"/>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1.7%</w:t>
            </w:r>
          </w:p>
        </w:tc>
        <w:tc>
          <w:tcPr>
            <w:tcW w:type="dxa" w:w="188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6.9%</w:t>
            </w:r>
          </w:p>
        </w:tc>
      </w:tr>
      <w:tr>
        <w:trPr>
          <w:cantSplit/>
        </w:trPr>
        <w:tc>
          <w:tcPr>
            <w:tcW w:type="dxa" w:w="367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Frames wizard task success (%)</w:t>
            </w:r>
          </w:p>
        </w:tc>
        <w:tc>
          <w:tcPr>
            <w:tcW w:type="dxa" w:w="1901"/>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94.5%</w:t>
            </w:r>
          </w:p>
        </w:tc>
        <w:tc>
          <w:tcPr>
            <w:tcW w:type="dxa" w:w="1901"/>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96.2%</w:t>
            </w:r>
          </w:p>
        </w:tc>
        <w:tc>
          <w:tcPr>
            <w:tcW w:type="dxa" w:w="188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92.0%</w:t>
            </w:r>
          </w:p>
        </w:tc>
      </w:tr>
    </w:tbl>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Golden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933; held-out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401 (χ</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(2) = 0.93,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.628). Fields 1–13 are used in clustering (</w:t>
      </w:r>
      <w:r>
        <w:rPr>
          <w:rFonts w:ascii="Times New Roman" w:hAnsi="Times New Roman" w:cs="Times New Roman" w:eastAsia="Times New Roman"/>
          <w:b w:val="0"/>
          <w:i/>
          <w:color w:val="000000"/>
          <w:sz w:val="24"/>
        </w:rPr>
        <w:t>llm_matrix</w:t>
      </w:r>
      <w:r>
        <w:rPr>
          <w:rFonts w:ascii="Times New Roman" w:hAnsi="Times New Roman" w:cs="Times New Roman" w:eastAsia="Times New Roman"/>
          <w:b w:val="0"/>
          <w:i w:val="0"/>
          <w:color w:val="000000"/>
          <w:sz w:val="24"/>
        </w:rPr>
        <w:t xml:space="preserve">); Fields 14–16 are audit-only (excluded from clustering to prevent outcome leakage). Held-out </w:t>
      </w:r>
      <w:r>
        <w:rPr>
          <w:rFonts w:ascii="Times New Roman" w:hAnsi="Times New Roman" w:cs="Times New Roman" w:eastAsia="Times New Roman"/>
          <w:b w:val="0"/>
          <w:i/>
          <w:color w:val="000000"/>
          <w:sz w:val="24"/>
        </w:rPr>
        <w:t>Blocks</w:t>
      </w:r>
      <w:r>
        <w:rPr>
          <w:rFonts w:ascii="Times New Roman" w:hAnsi="Times New Roman" w:cs="Times New Roman" w:eastAsia="Times New Roman"/>
          <w:b w:val="0"/>
          <w:i w:val="0"/>
          <w:color w:val="000000"/>
          <w:sz w:val="24"/>
        </w:rPr>
        <w:t xml:space="preserve"> prefix routing accuracy (κ):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=3: 59.4% (.359);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=5: 70.1% (.535);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=7: 82.0% (.722);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=9: 97.3% (.958).</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RQ2 Results: Cluster-Adaptive Few-Shot Prompting on Primary Versus Refined Archetypes</w:t>
      </w:r>
    </w:p>
    <w:p>
      <w:pPr>
        <w:keepNext w:val="0"/>
        <w:widowControl/>
        <w:spacing w:line="480" w:lineRule="auto" w:before="0" w:after="0"/>
        <w:ind w:firstLine="720" w:left="0"/>
        <w:jc w:val="left"/>
      </w:pPr>
      <w:r>
        <w:fldChar w:fldCharType="begin"/>
      </w:r>
      <w:r>
        <w:instrText xml:space="preserve"> REF _RefTab14 \h \* MERGEFORMAT </w:instrText>
      </w:r>
      <w:r>
        <w:fldChar w:fldCharType="separate"/>
      </w:r>
      <w:r>
        <w:rPr>
          <w:rFonts w:ascii="Times New Roman" w:hAnsi="Times New Roman" w:cs="Times New Roman" w:eastAsia="Times New Roman"/>
          <w:b w:val="0"/>
          <w:i w:val="0"/>
          <w:color w:val="000000"/>
          <w:sz w:val="24"/>
        </w:rPr>
        <w:t>Table 14</w:t>
      </w:r>
      <w:r>
        <w:fldChar w:fldCharType="end"/>
      </w:r>
      <w:r>
        <w:rPr>
          <w:rFonts w:ascii="Times New Roman" w:hAnsi="Times New Roman" w:cs="Times New Roman" w:eastAsia="Times New Roman"/>
          <w:b w:val="0"/>
          <w:i w:val="0"/>
          <w:color w:val="000000"/>
          <w:sz w:val="24"/>
        </w:rPr>
        <w:t xml:space="preserve"> compares the repeated-measures prompting experiment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33 held-out dialogues × 3 conditions = 99 Gemini 2.5 Flash generations) on the coarse primary archetypes versus the refined user archetypes, and </w:t>
      </w:r>
      <w:r>
        <w:fldChar w:fldCharType="begin"/>
      </w:r>
      <w:r>
        <w:instrText xml:space="preserve"> REF _RefFig6 \h \* MERGEFORMAT </w:instrText>
      </w:r>
      <w:r>
        <w:fldChar w:fldCharType="separate"/>
      </w:r>
      <w:r>
        <w:rPr>
          <w:rFonts w:ascii="Times New Roman" w:hAnsi="Times New Roman" w:cs="Times New Roman" w:eastAsia="Times New Roman"/>
          <w:b w:val="0"/>
          <w:i w:val="0"/>
          <w:color w:val="000000"/>
          <w:sz w:val="24"/>
        </w:rPr>
        <w:t>Figure 6</w:t>
      </w:r>
      <w:r>
        <w:fldChar w:fldCharType="end"/>
      </w:r>
      <w:r>
        <w:rPr>
          <w:rFonts w:ascii="Times New Roman" w:hAnsi="Times New Roman" w:cs="Times New Roman" w:eastAsia="Times New Roman"/>
          <w:b w:val="0"/>
          <w:i w:val="0"/>
          <w:color w:val="000000"/>
          <w:sz w:val="24"/>
        </w:rPr>
        <w:t xml:space="preserve"> displays the refined distributions (Holm contrasts in Appendix E, </w:t>
      </w:r>
      <w:r>
        <w:fldChar w:fldCharType="begin"/>
      </w:r>
      <w:r>
        <w:instrText xml:space="preserve"> REF _RefTabE3 \h \* MERGEFORMAT </w:instrText>
      </w:r>
      <w:r>
        <w:fldChar w:fldCharType="separate"/>
      </w:r>
      <w:r>
        <w:rPr>
          <w:rFonts w:ascii="Times New Roman" w:hAnsi="Times New Roman" w:cs="Times New Roman" w:eastAsia="Times New Roman"/>
          <w:b w:val="0"/>
          <w:i w:val="0"/>
          <w:color w:val="000000"/>
          <w:sz w:val="24"/>
        </w:rPr>
        <w:t>Table E3</w:t>
      </w:r>
      <w:r>
        <w:fldChar w:fldCharType="end"/>
      </w:r>
      <w:r>
        <w:rPr>
          <w:rFonts w:ascii="Times New Roman" w:hAnsi="Times New Roman" w:cs="Times New Roman" w:eastAsia="Times New Roman"/>
          <w:b w:val="0"/>
          <w:i w:val="0"/>
          <w:color w:val="000000"/>
          <w:sz w:val="24"/>
        </w:rPr>
        <w:t xml:space="preserve">). On coarse primary archetypes with an unprojected 3-turn router (39.4% accuracy, κ = .24), style convergence was non-significant,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(1.90, 60.95) = 1.08,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.342, η</w:t>
      </w:r>
      <w:r>
        <w:rPr>
          <w:rFonts w:ascii="Times New Roman" w:hAnsi="Times New Roman" w:cs="Times New Roman" w:eastAsia="Times New Roman"/>
          <w:b w:val="0"/>
          <w:i/>
          <w:color w:val="000000"/>
          <w:sz w:val="24"/>
          <w:vertAlign w:val="subscript"/>
        </w:rPr>
        <w:t>p</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.03, though few-shot prompting calibrated length (15.1–16.3 vs. 27.6 words,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34.36,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w:t>
      </w:r>
      <w:r>
        <w:fldChar w:fldCharType="begin"/>
      </w:r>
      <w:r>
        <w:instrText xml:space="preserve"> REF _RefFigE2 \h \* MERGEFORMAT </w:instrText>
      </w:r>
      <w:r>
        <w:fldChar w:fldCharType="separate"/>
      </w:r>
      <w:r>
        <w:rPr>
          <w:rFonts w:ascii="Times New Roman" w:hAnsi="Times New Roman" w:cs="Times New Roman" w:eastAsia="Times New Roman"/>
          <w:b w:val="0"/>
          <w:i w:val="0"/>
          <w:color w:val="000000"/>
          <w:sz w:val="24"/>
        </w:rPr>
        <w:t>Figure E2</w:t>
      </w:r>
      <w:r>
        <w:fldChar w:fldCharType="end"/>
      </w:r>
      <w:r>
        <w:rPr>
          <w:rFonts w:ascii="Times New Roman" w:hAnsi="Times New Roman" w:cs="Times New Roman" w:eastAsia="Times New Roman"/>
          <w:b w:val="0"/>
          <w:i w:val="0"/>
          <w:color w:val="000000"/>
          <w:sz w:val="24"/>
        </w:rPr>
        <w:t xml:space="preserve">). Re-running on the </w:t>
      </w:r>
      <w:r>
        <w:rPr>
          <w:rFonts w:ascii="Times New Roman" w:hAnsi="Times New Roman" w:cs="Times New Roman" w:eastAsia="Times New Roman"/>
          <w:b/>
          <w:i w:val="0"/>
          <w:color w:val="000000"/>
          <w:sz w:val="24"/>
        </w:rPr>
        <w:t>Refined User Archetypes</w:t>
      </w:r>
      <w:r>
        <w:rPr>
          <w:rFonts w:ascii="Times New Roman" w:hAnsi="Times New Roman" w:cs="Times New Roman" w:eastAsia="Times New Roman"/>
          <w:b w:val="0"/>
          <w:i w:val="0"/>
          <w:color w:val="000000"/>
          <w:sz w:val="24"/>
        </w:rPr>
        <w:t xml:space="preserve"> with the </w:t>
      </w:r>
      <w:r>
        <w:rPr>
          <w:rFonts w:ascii="Times New Roman" w:hAnsi="Times New Roman" w:cs="Times New Roman" w:eastAsia="Times New Roman"/>
          <w:b w:val="0"/>
          <w:i/>
          <w:color w:val="000000"/>
          <w:sz w:val="24"/>
        </w:rPr>
        <w:t>Blocks</w:t>
      </w:r>
      <w:r>
        <w:rPr>
          <w:rFonts w:ascii="Times New Roman" w:hAnsi="Times New Roman" w:cs="Times New Roman" w:eastAsia="Times New Roman"/>
          <w:b w:val="0"/>
          <w:i w:val="0"/>
          <w:color w:val="000000"/>
          <w:sz w:val="24"/>
        </w:rPr>
        <w:t xml:space="preserve"> router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5 user messages, 70.1% accuracy, κ = .535) </w:t>
      </w:r>
      <w:r>
        <w:rPr>
          <w:rFonts w:ascii="Times New Roman" w:hAnsi="Times New Roman" w:cs="Times New Roman" w:eastAsia="Times New Roman"/>
          <w:b/>
          <w:i w:val="0"/>
          <w:color w:val="000000"/>
          <w:sz w:val="24"/>
        </w:rPr>
        <w:t xml:space="preserve">decisively rejected </w:t>
      </w:r>
      <w:r>
        <w:rPr>
          <w:rFonts w:ascii="Times New Roman" w:hAnsi="Times New Roman" w:cs="Times New Roman" w:eastAsia="Times New Roman"/>
          <w:b/>
          <w:i/>
          <w:color w:val="000000"/>
          <w:sz w:val="24"/>
        </w:rPr>
        <w:t>H</w:t>
      </w:r>
      <w:r>
        <w:rPr>
          <w:rFonts w:ascii="Times New Roman" w:hAnsi="Times New Roman" w:cs="Times New Roman" w:eastAsia="Times New Roman"/>
          <w:b/>
          <w:i w:val="0"/>
          <w:color w:val="000000"/>
          <w:sz w:val="24"/>
          <w:vertAlign w:val="subscript"/>
        </w:rPr>
        <w:t>02</w:t>
      </w:r>
      <w:r>
        <w:rPr>
          <w:rFonts w:ascii="Times New Roman" w:hAnsi="Times New Roman" w:cs="Times New Roman" w:eastAsia="Times New Roman"/>
          <w:b/>
          <w:i w:val="0"/>
          <w:color w:val="000000"/>
          <w:sz w:val="24"/>
        </w:rPr>
        <w:t xml:space="preserve"> (</w:t>
      </w:r>
      <w:r>
        <w:rPr>
          <w:rFonts w:ascii="Times New Roman" w:hAnsi="Times New Roman" w:cs="Times New Roman" w:eastAsia="Times New Roman"/>
          <w:b/>
          <w:i/>
          <w:color w:val="000000"/>
          <w:sz w:val="24"/>
        </w:rPr>
        <w:t>p</w:t>
      </w:r>
      <w:r>
        <w:rPr>
          <w:rFonts w:ascii="Times New Roman" w:hAnsi="Times New Roman" w:cs="Times New Roman" w:eastAsia="Times New Roman"/>
          <w:b/>
          <w:i w:val="0"/>
          <w:color w:val="000000"/>
          <w:sz w:val="24"/>
        </w:rPr>
        <w:t xml:space="preserve"> &lt; .001)</w:t>
      </w:r>
      <w:r>
        <w:rPr>
          <w:rFonts w:ascii="Times New Roman" w:hAnsi="Times New Roman" w:cs="Times New Roman" w:eastAsia="Times New Roman"/>
          <w:b w:val="0"/>
          <w:i w:val="0"/>
          <w:color w:val="000000"/>
          <w:sz w:val="24"/>
        </w:rPr>
        <w:t xml:space="preserve">: style convergence differed significantly under Greenhouse–Geisser correction (Greenhouse &amp; Geisser, 1959),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(1.88, 60.29) = 9.79,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η</w:t>
      </w:r>
      <w:r>
        <w:rPr>
          <w:rFonts w:ascii="Times New Roman" w:hAnsi="Times New Roman" w:cs="Times New Roman" w:eastAsia="Times New Roman"/>
          <w:b w:val="0"/>
          <w:i/>
          <w:color w:val="000000"/>
          <w:sz w:val="24"/>
          <w:vertAlign w:val="subscript"/>
        </w:rPr>
        <w:t>p</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.23, and Friedman testing, χ</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(2) = 12.50,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.002. Cluster-Adaptive Few-Shot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.597, </w:t>
      </w:r>
      <w:r>
        <w:rPr>
          <w:rFonts w:ascii="Times New Roman" w:hAnsi="Times New Roman" w:cs="Times New Roman" w:eastAsia="Times New Roman"/>
          <w:b w:val="0"/>
          <w:i/>
          <w:color w:val="000000"/>
          <w:sz w:val="24"/>
        </w:rPr>
        <w:t>SD</w:t>
      </w:r>
      <w:r>
        <w:rPr>
          <w:rFonts w:ascii="Times New Roman" w:hAnsi="Times New Roman" w:cs="Times New Roman" w:eastAsia="Times New Roman"/>
          <w:b w:val="0"/>
          <w:i w:val="0"/>
          <w:color w:val="000000"/>
          <w:sz w:val="24"/>
        </w:rPr>
        <w:t xml:space="preserve"> = .086) significantly outperformed Static Few-Shot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.453,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(32) = 4.24,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vertAlign w:val="subscript"/>
        </w:rPr>
        <w:t>Holm</w:t>
      </w:r>
      <w:r>
        <w:rPr>
          <w:rFonts w:ascii="Times New Roman" w:hAnsi="Times New Roman" w:cs="Times New Roman" w:eastAsia="Times New Roman"/>
          <w:b w:val="0"/>
          <w:i w:val="0"/>
          <w:color w:val="000000"/>
          <w:sz w:val="24"/>
        </w:rPr>
        <w:t xml:space="preserve"> &lt; .001,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color w:val="000000"/>
          <w:sz w:val="24"/>
          <w:vertAlign w:val="subscript"/>
        </w:rPr>
        <w:t>z</w:t>
      </w:r>
      <w:r>
        <w:rPr>
          <w:rFonts w:ascii="Times New Roman" w:hAnsi="Times New Roman" w:cs="Times New Roman" w:eastAsia="Times New Roman"/>
          <w:b w:val="0"/>
          <w:i w:val="0"/>
          <w:color w:val="000000"/>
          <w:sz w:val="24"/>
        </w:rPr>
        <w:t xml:space="preserve"> = 0.74) and Zero-Shot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.530,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rPr>
        <w:t xml:space="preserve">(32) = 2.36,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vertAlign w:val="subscript"/>
        </w:rPr>
        <w:t>Holm</w:t>
      </w:r>
      <w:r>
        <w:rPr>
          <w:rFonts w:ascii="Times New Roman" w:hAnsi="Times New Roman" w:cs="Times New Roman" w:eastAsia="Times New Roman"/>
          <w:b w:val="0"/>
          <w:i w:val="0"/>
          <w:color w:val="000000"/>
          <w:sz w:val="24"/>
        </w:rPr>
        <w:t xml:space="preserve"> = .049,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color w:val="000000"/>
          <w:sz w:val="24"/>
          <w:vertAlign w:val="subscript"/>
        </w:rPr>
        <w:t>z</w:t>
      </w:r>
      <w:r>
        <w:rPr>
          <w:rFonts w:ascii="Times New Roman" w:hAnsi="Times New Roman" w:cs="Times New Roman" w:eastAsia="Times New Roman"/>
          <w:b w:val="0"/>
          <w:i w:val="0"/>
          <w:color w:val="000000"/>
          <w:sz w:val="24"/>
        </w:rPr>
        <w:t xml:space="preserve"> = 0.41), led on Gemini 3,072-d cosine (.375) and BERTScore F</w:t>
      </w:r>
      <w:r>
        <w:rPr>
          <w:rFonts w:ascii="Times New Roman" w:hAnsi="Times New Roman" w:cs="Times New Roman" w:eastAsia="Times New Roman"/>
          <w:b w:val="0"/>
          <w:i w:val="0"/>
          <w:color w:val="000000"/>
          <w:sz w:val="24"/>
          <w:vertAlign w:val="subscript"/>
        </w:rPr>
        <w:t>1</w:t>
      </w:r>
      <w:r>
        <w:rPr>
          <w:rFonts w:ascii="Times New Roman" w:hAnsi="Times New Roman" w:cs="Times New Roman" w:eastAsia="Times New Roman"/>
          <w:b w:val="0"/>
          <w:i w:val="0"/>
          <w:color w:val="000000"/>
          <w:sz w:val="24"/>
        </w:rPr>
        <w:t xml:space="preserve"> (.415), and cut archetype pacing error from 10.12 (Zero-Shot) and 6.33 (Static) to </w:t>
      </w:r>
      <w:r>
        <w:rPr>
          <w:rFonts w:ascii="Times New Roman" w:hAnsi="Times New Roman" w:cs="Times New Roman" w:eastAsia="Times New Roman"/>
          <w:b/>
          <w:i w:val="0"/>
          <w:color w:val="000000"/>
          <w:sz w:val="24"/>
        </w:rPr>
        <w:t>3.87 words</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7.10,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.007; Friedman χ</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(2) = 14.27,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w:t>
      </w:r>
    </w:p>
    <w:p>
      <w:pPr>
        <w:keepNext/>
        <w:widowControl/>
        <w:spacing w:line="480" w:lineRule="auto" w:before="120" w:after="0"/>
        <w:ind w:firstLine="0" w:left="0"/>
        <w:jc w:val="left"/>
      </w:pPr>
      <w:bookmarkStart w:name="_RefTab14" w:id="233"/>
      <w:r>
        <w:rPr>
          <w:rFonts w:ascii="Times New Roman" w:hAnsi="Times New Roman" w:cs="Times New Roman" w:eastAsia="Times New Roman"/>
          <w:b/>
          <w:color w:val="000000"/>
          <w:sz w:val="24"/>
        </w:rPr>
        <w:t xml:space="preserve">Table </w:t>
      </w:r>
      <w:bookmarkStart w:name="_RefTabN14" w:id="234"/>
      <w:r>
        <w:rPr>
          <w:rFonts w:ascii="Times New Roman" w:hAnsi="Times New Roman" w:cs="Times New Roman" w:eastAsia="Times New Roman"/>
          <w:b/>
          <w:color w:val="000000"/>
          <w:sz w:val="24"/>
        </w:rPr>
        <w:t>14</w:t>
      </w:r>
      <w:bookmarkEnd w:id="234"/>
      <w:bookmarkEnd w:id="233"/>
    </w:p>
    <w:p>
      <w:pPr>
        <w:keepNext/>
        <w:widowControl/>
        <w:spacing w:line="480" w:lineRule="auto" w:before="0" w:after="0"/>
        <w:ind w:firstLine="0" w:left="0"/>
        <w:jc w:val="left"/>
      </w:pPr>
      <w:r>
        <w:rPr>
          <w:rFonts w:ascii="Times New Roman" w:hAnsi="Times New Roman" w:cs="Times New Roman" w:eastAsia="Times New Roman"/>
          <w:b w:val="0"/>
          <w:i/>
          <w:color w:val="000000"/>
          <w:sz w:val="24"/>
        </w:rPr>
        <w:t>Repeated-Measures Comparison of Prompting Strategies on Primary Versus Refined User Archetypes (RQ2)</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337"/>
        <w:gridCol w:w="1337"/>
        <w:gridCol w:w="1337"/>
        <w:gridCol w:w="1337"/>
        <w:gridCol w:w="1337"/>
        <w:gridCol w:w="1337"/>
        <w:gridCol w:w="1337"/>
      </w:tblGrid>
      <w:tr>
        <w:trPr>
          <w:cantSplit/>
          <w:tblHeader/>
        </w:trPr>
        <w:tc>
          <w:tcPr>
            <w:tcW w:type="dxa" w:w="309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Experiment and outcome metric</w:t>
            </w:r>
          </w:p>
        </w:tc>
        <w:tc>
          <w:tcPr>
            <w:tcW w:type="dxa" w:w="136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Zero-Shot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136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Static Few-Shot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136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Cluster-Adaptive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72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RM-ANOVA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 (GG)</w:t>
            </w:r>
          </w:p>
        </w:tc>
        <w:tc>
          <w:tcPr>
            <w:tcW w:type="dxa" w:w="72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(GG)</w:t>
            </w:r>
          </w:p>
        </w:tc>
        <w:tc>
          <w:tcPr>
            <w:tcW w:type="dxa" w:w="72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p>
        </w:tc>
      </w:tr>
      <w:tr>
        <w:trPr>
          <w:cantSplit/>
        </w:trPr>
        <w:tc>
          <w:tcPr>
            <w:tcW w:type="dxa" w:w="3096"/>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Primary archetypes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=3 prefix, κ=.24) — Style cosine</w:t>
            </w:r>
          </w:p>
        </w:tc>
        <w:tc>
          <w:tcPr>
            <w:tcW w:type="dxa" w:w="136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.519 (.126)</w:t>
            </w:r>
          </w:p>
        </w:tc>
        <w:tc>
          <w:tcPr>
            <w:tcW w:type="dxa" w:w="136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.491 (.109)</w:t>
            </w:r>
          </w:p>
        </w:tc>
        <w:tc>
          <w:tcPr>
            <w:tcW w:type="dxa" w:w="136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.486 (.099)</w:t>
            </w:r>
          </w:p>
        </w:tc>
        <w:tc>
          <w:tcPr>
            <w:tcW w:type="dxa" w:w="72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1.08</w:t>
            </w:r>
          </w:p>
        </w:tc>
        <w:tc>
          <w:tcPr>
            <w:tcW w:type="dxa" w:w="72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.342</w:t>
            </w:r>
          </w:p>
        </w:tc>
        <w:tc>
          <w:tcPr>
            <w:tcW w:type="dxa" w:w="72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.03</w:t>
            </w:r>
          </w:p>
        </w:tc>
      </w:tr>
      <w:tr>
        <w:trPr>
          <w:cantSplit/>
        </w:trPr>
        <w:tc>
          <w:tcPr>
            <w:tcW w:type="dxa" w:w="309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Primary archetypes — Response length (words)</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25.2 (11.8)</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10.6 (7.0)</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12.3 (8.2)</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34.36</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.52</w:t>
            </w:r>
          </w:p>
        </w:tc>
      </w:tr>
      <w:tr>
        <w:trPr>
          <w:cantSplit/>
        </w:trPr>
        <w:tc>
          <w:tcPr>
            <w:tcW w:type="dxa" w:w="309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archetypes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=5 Blocks, κ=.535) — SBERT style cosine</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.530 (.132)</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.453 (.169)</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.597 (.086)</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9.79</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.23</w:t>
            </w:r>
          </w:p>
        </w:tc>
      </w:tr>
      <w:tr>
        <w:trPr>
          <w:cantSplit/>
        </w:trPr>
        <w:tc>
          <w:tcPr>
            <w:tcW w:type="dxa" w:w="309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archetypes — Gemini 3,072-d style cosine</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.348 (.133)</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.372 (.127)</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.375 (.105)</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0.61</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.534</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.02</w:t>
            </w:r>
          </w:p>
        </w:tc>
      </w:tr>
      <w:tr>
        <w:trPr>
          <w:cantSplit/>
        </w:trPr>
        <w:tc>
          <w:tcPr>
            <w:tcW w:type="dxa" w:w="309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archetypes — Token-level BERTScore F</w:t>
            </w:r>
            <w:r>
              <w:rPr>
                <w:rFonts w:ascii="Times New Roman" w:hAnsi="Times New Roman" w:cs="Times New Roman" w:eastAsia="Times New Roman"/>
                <w:b w:val="0"/>
                <w:i w:val="0"/>
                <w:color w:val="000000"/>
                <w:sz w:val="20"/>
                <w:vertAlign w:val="subscript"/>
              </w:rPr>
              <w:t>1</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.391 (.204)</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.360 (.245)</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.415 (.163)</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1.16</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.315</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.04</w:t>
            </w:r>
          </w:p>
        </w:tc>
      </w:tr>
      <w:tr>
        <w:trPr>
          <w:cantSplit/>
        </w:trPr>
        <w:tc>
          <w:tcPr>
            <w:tcW w:type="dxa" w:w="309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archetypes — Pacing calibration error (words)</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10.12 (11.17)</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6.33 (4.14)</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3.87 (3.23)</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7.10</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.007</w:t>
            </w:r>
          </w:p>
        </w:tc>
        <w:tc>
          <w:tcPr>
            <w:tcW w:type="dxa" w:w="72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.18</w:t>
            </w:r>
          </w:p>
        </w:tc>
      </w:tr>
      <w:tr>
        <w:trPr>
          <w:cantSplit/>
        </w:trPr>
        <w:tc>
          <w:tcPr>
            <w:tcW w:type="dxa" w:w="3096"/>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Refined archetypes — Response length (words)</w:t>
            </w:r>
          </w:p>
        </w:tc>
        <w:tc>
          <w:tcPr>
            <w:tcW w:type="dxa" w:w="136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20.6 (13.3)</w:t>
            </w:r>
          </w:p>
        </w:tc>
        <w:tc>
          <w:tcPr>
            <w:tcW w:type="dxa" w:w="136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9.7 (5.0)</w:t>
            </w:r>
          </w:p>
        </w:tc>
        <w:tc>
          <w:tcPr>
            <w:tcW w:type="dxa" w:w="136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16.5 (4.0)</w:t>
            </w:r>
          </w:p>
        </w:tc>
        <w:tc>
          <w:tcPr>
            <w:tcW w:type="dxa" w:w="72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14.72</w:t>
            </w:r>
          </w:p>
        </w:tc>
        <w:tc>
          <w:tcPr>
            <w:tcW w:type="dxa" w:w="72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72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r>
    </w:tbl>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33 held-out dialogues per experiment (99 generations each; </w:t>
      </w:r>
      <w:r>
        <w:rPr>
          <w:rFonts w:ascii="Times New Roman" w:hAnsi="Times New Roman" w:cs="Times New Roman" w:eastAsia="Times New Roman"/>
          <w:b w:val="0"/>
          <w:i/>
          <w:color w:val="000000"/>
          <w:sz w:val="24"/>
        </w:rPr>
        <w:t>gemini-2.5-flash</w:t>
      </w:r>
      <w:r>
        <w:rPr>
          <w:rFonts w:ascii="Times New Roman" w:hAnsi="Times New Roman" w:cs="Times New Roman" w:eastAsia="Times New Roman"/>
          <w:b w:val="0"/>
          <w:i w:val="0"/>
          <w:color w:val="000000"/>
          <w:sz w:val="24"/>
        </w:rPr>
        <w:t>). GG = Greenhouse–Geisser correction.</w:t>
      </w:r>
    </w:p>
    <w:p>
      <w:pPr>
        <w:keepNext/>
        <w:widowControl/>
        <w:spacing w:line="480" w:lineRule="auto" w:before="120" w:after="0"/>
        <w:ind w:firstLine="0" w:left="0"/>
        <w:jc w:val="left"/>
      </w:pPr>
      <w:bookmarkStart w:name="_RefFig6" w:id="235"/>
      <w:r>
        <w:rPr>
          <w:rFonts w:ascii="Times New Roman" w:hAnsi="Times New Roman" w:cs="Times New Roman" w:eastAsia="Times New Roman"/>
          <w:b/>
          <w:color w:val="000000"/>
          <w:sz w:val="24"/>
        </w:rPr>
        <w:t xml:space="preserve">Figure </w:t>
      </w:r>
      <w:bookmarkStart w:name="_RefFigN6" w:id="236"/>
      <w:r>
        <w:rPr>
          <w:rFonts w:ascii="Times New Roman" w:hAnsi="Times New Roman" w:cs="Times New Roman" w:eastAsia="Times New Roman"/>
          <w:b/>
          <w:color w:val="000000"/>
          <w:sz w:val="24"/>
        </w:rPr>
        <w:t>6</w:t>
      </w:r>
      <w:bookmarkEnd w:id="236"/>
      <w:bookmarkEnd w:id="235"/>
    </w:p>
    <w:p>
      <w:pPr>
        <w:keepNext/>
        <w:widowControl/>
        <w:spacing w:line="480" w:lineRule="auto" w:before="0" w:after="0"/>
        <w:ind w:firstLine="0" w:left="0"/>
        <w:jc w:val="left"/>
      </w:pPr>
      <w:r>
        <w:rPr>
          <w:rFonts w:ascii="Times New Roman" w:hAnsi="Times New Roman" w:cs="Times New Roman" w:eastAsia="Times New Roman"/>
          <w:b w:val="0"/>
          <w:i/>
          <w:color w:val="000000"/>
          <w:sz w:val="24"/>
        </w:rPr>
        <w:t>Style Convergence and Archetype Pacing Calibration Across Prompting Conditions on Refined User Archetypes</w:t>
      </w:r>
    </w:p>
    <w:p>
      <w:pPr>
        <w:keepNext/>
        <w:widowControl/>
        <w:spacing w:line="240" w:lineRule="auto" w:before="0" w:after="0"/>
        <w:ind w:firstLine="0" w:left="0"/>
        <w:jc w:val="center"/>
      </w:pPr>
      <w:r>
        <w:drawing>
          <wp:inline xmlns:a="http://schemas.openxmlformats.org/drawingml/2006/main" xmlns:pic="http://schemas.openxmlformats.org/drawingml/2006/picture">
            <wp:extent cx="4206240" cy="1358939"/>
            <wp:docPr id="6" name="Picture 6"/>
            <wp:cNvGraphicFramePr>
              <a:graphicFrameLocks noChangeAspect="1"/>
            </wp:cNvGraphicFramePr>
            <a:graphic>
              <a:graphicData uri="http://schemas.openxmlformats.org/drawingml/2006/picture">
                <pic:pic>
                  <pic:nvPicPr>
                    <pic:cNvPr id="0" name="fig_rq2_refined_results.png"/>
                    <pic:cNvPicPr/>
                  </pic:nvPicPr>
                  <pic:blipFill>
                    <a:blip r:embed="rId16"/>
                    <a:stretch>
                      <a:fillRect/>
                    </a:stretch>
                  </pic:blipFill>
                  <pic:spPr>
                    <a:xfrm>
                      <a:off x="0" y="0"/>
                      <a:ext cx="4206240" cy="1358939"/>
                    </a:xfrm>
                    <a:prstGeom prst="rect"/>
                  </pic:spPr>
                </pic:pic>
              </a:graphicData>
            </a:graphic>
          </wp:inline>
        </w:drawing>
      </w:r>
    </w:p>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33 held-out dialogues. Panel A: De-lexicalized SBERT style convergence cosine. Panel B: Absolute pacing error (words).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RQ3 Results: 2 × 2 Factorial Evaluation of Declarative Rules and Adaptive Prompting</w:t>
      </w:r>
    </w:p>
    <w:p>
      <w:pPr>
        <w:keepNext w:val="0"/>
        <w:widowControl/>
        <w:spacing w:line="480" w:lineRule="auto" w:before="0" w:after="0"/>
        <w:ind w:firstLine="720" w:left="0"/>
        <w:jc w:val="left"/>
      </w:pPr>
      <w:r>
        <w:fldChar w:fldCharType="begin"/>
      </w:r>
      <w:r>
        <w:instrText xml:space="preserve"> REF _RefTab15 \h \* MERGEFORMAT </w:instrText>
      </w:r>
      <w:r>
        <w:fldChar w:fldCharType="separate"/>
      </w:r>
      <w:r>
        <w:rPr>
          <w:rFonts w:ascii="Times New Roman" w:hAnsi="Times New Roman" w:cs="Times New Roman" w:eastAsia="Times New Roman"/>
          <w:b w:val="0"/>
          <w:i w:val="0"/>
          <w:color w:val="000000"/>
          <w:sz w:val="24"/>
        </w:rPr>
        <w:t>Table 15</w:t>
      </w:r>
      <w:r>
        <w:fldChar w:fldCharType="end"/>
      </w:r>
      <w:r>
        <w:rPr>
          <w:rFonts w:ascii="Times New Roman" w:hAnsi="Times New Roman" w:cs="Times New Roman" w:eastAsia="Times New Roman"/>
          <w:b w:val="0"/>
          <w:i w:val="0"/>
          <w:color w:val="000000"/>
          <w:sz w:val="24"/>
        </w:rPr>
        <w:t xml:space="preserve"> and </w:t>
      </w:r>
      <w:r>
        <w:fldChar w:fldCharType="begin"/>
      </w:r>
      <w:r>
        <w:instrText xml:space="preserve"> REF _RefFig7 \h \* MERGEFORMAT </w:instrText>
      </w:r>
      <w:r>
        <w:fldChar w:fldCharType="separate"/>
      </w:r>
      <w:r>
        <w:rPr>
          <w:rFonts w:ascii="Times New Roman" w:hAnsi="Times New Roman" w:cs="Times New Roman" w:eastAsia="Times New Roman"/>
          <w:b w:val="0"/>
          <w:i w:val="0"/>
          <w:color w:val="000000"/>
          <w:sz w:val="24"/>
        </w:rPr>
        <w:t>Figure 7</w:t>
      </w:r>
      <w:r>
        <w:fldChar w:fldCharType="end"/>
      </w:r>
      <w:r>
        <w:rPr>
          <w:rFonts w:ascii="Times New Roman" w:hAnsi="Times New Roman" w:cs="Times New Roman" w:eastAsia="Times New Roman"/>
          <w:b w:val="0"/>
          <w:i w:val="0"/>
          <w:color w:val="000000"/>
          <w:sz w:val="24"/>
        </w:rPr>
        <w:t xml:space="preserve"> present the 2 × 2 between-subjects factorial experiment across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144 held-out units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36/cell; 50% policy-violating, 50% compliant). Cross-model inter-rater reliability on a stratified 48-unit subsample between </w:t>
      </w:r>
      <w:r>
        <w:rPr>
          <w:rFonts w:ascii="Times New Roman" w:hAnsi="Times New Roman" w:cs="Times New Roman" w:eastAsia="Times New Roman"/>
          <w:b w:val="0"/>
          <w:i/>
          <w:color w:val="000000"/>
          <w:sz w:val="24"/>
        </w:rPr>
        <w:t>gemini-2.5-flash</w:t>
      </w:r>
      <w:r>
        <w:rPr>
          <w:rFonts w:ascii="Times New Roman" w:hAnsi="Times New Roman" w:cs="Times New Roman" w:eastAsia="Times New Roman"/>
          <w:b w:val="0"/>
          <w:i w:val="0"/>
          <w:color w:val="000000"/>
          <w:sz w:val="24"/>
        </w:rPr>
        <w:t xml:space="preserve"> and independent </w:t>
      </w:r>
      <w:r>
        <w:rPr>
          <w:rFonts w:ascii="Times New Roman" w:hAnsi="Times New Roman" w:cs="Times New Roman" w:eastAsia="Times New Roman"/>
          <w:b w:val="0"/>
          <w:i/>
          <w:color w:val="000000"/>
          <w:sz w:val="24"/>
        </w:rPr>
        <w:t>gemini-2.5-pro</w:t>
      </w:r>
      <w:r>
        <w:rPr>
          <w:rFonts w:ascii="Times New Roman" w:hAnsi="Times New Roman" w:cs="Times New Roman" w:eastAsia="Times New Roman"/>
          <w:b w:val="0"/>
          <w:i w:val="0"/>
          <w:color w:val="000000"/>
          <w:sz w:val="24"/>
        </w:rPr>
        <w:t xml:space="preserve"> reached 95.8% raw agreement and Cohen's κ = .917 (PABAK = .917; </w:t>
      </w:r>
      <w:r>
        <w:fldChar w:fldCharType="begin"/>
      </w:r>
      <w:r>
        <w:instrText xml:space="preserve"> REF _RefTabC3 \h \* MERGEFORMAT </w:instrText>
      </w:r>
      <w:r>
        <w:fldChar w:fldCharType="separate"/>
      </w:r>
      <w:r>
        <w:rPr>
          <w:rFonts w:ascii="Times New Roman" w:hAnsi="Times New Roman" w:cs="Times New Roman" w:eastAsia="Times New Roman"/>
          <w:b w:val="0"/>
          <w:i w:val="0"/>
          <w:color w:val="000000"/>
          <w:sz w:val="24"/>
        </w:rPr>
        <w:t>Table C3</w:t>
      </w:r>
      <w:r>
        <w:fldChar w:fldCharType="end"/>
      </w:r>
      <w:r>
        <w:rPr>
          <w:rFonts w:ascii="Times New Roman" w:hAnsi="Times New Roman" w:cs="Times New Roman" w:eastAsia="Times New Roman"/>
          <w:b w:val="0"/>
          <w:i w:val="0"/>
          <w:color w:val="000000"/>
          <w:sz w:val="24"/>
        </w:rPr>
        <w:t xml:space="preserve">). Four findings </w:t>
      </w:r>
      <w:r>
        <w:rPr>
          <w:rFonts w:ascii="Times New Roman" w:hAnsi="Times New Roman" w:cs="Times New Roman" w:eastAsia="Times New Roman"/>
          <w:b/>
          <w:i w:val="0"/>
          <w:color w:val="000000"/>
          <w:sz w:val="24"/>
        </w:rPr>
        <w:t xml:space="preserve">reject </w:t>
      </w:r>
      <w:r>
        <w:rPr>
          <w:rFonts w:ascii="Times New Roman" w:hAnsi="Times New Roman" w:cs="Times New Roman" w:eastAsia="Times New Roman"/>
          <w:b/>
          <w:i/>
          <w:color w:val="000000"/>
          <w:sz w:val="24"/>
        </w:rPr>
        <w:t>H</w:t>
      </w:r>
      <w:r>
        <w:rPr>
          <w:rFonts w:ascii="Times New Roman" w:hAnsi="Times New Roman" w:cs="Times New Roman" w:eastAsia="Times New Roman"/>
          <w:b/>
          <w:i w:val="0"/>
          <w:color w:val="000000"/>
          <w:sz w:val="24"/>
          <w:vertAlign w:val="subscript"/>
        </w:rPr>
        <w:t>03</w:t>
      </w:r>
      <w:r>
        <w:rPr>
          <w:rFonts w:ascii="Times New Roman" w:hAnsi="Times New Roman" w:cs="Times New Roman" w:eastAsia="Times New Roman"/>
          <w:b/>
          <w:i w:val="0"/>
          <w:color w:val="000000"/>
          <w:sz w:val="24"/>
        </w:rPr>
        <w:t xml:space="preserve"> (</w:t>
      </w:r>
      <w:r>
        <w:rPr>
          <w:rFonts w:ascii="Times New Roman" w:hAnsi="Times New Roman" w:cs="Times New Roman" w:eastAsia="Times New Roman"/>
          <w:b/>
          <w:i/>
          <w:color w:val="000000"/>
          <w:sz w:val="24"/>
        </w:rPr>
        <w:t>p</w:t>
      </w:r>
      <w:r>
        <w:rPr>
          <w:rFonts w:ascii="Times New Roman" w:hAnsi="Times New Roman" w:cs="Times New Roman" w:eastAsia="Times New Roman"/>
          <w:b/>
          <w:i w:val="0"/>
          <w:color w:val="000000"/>
          <w:sz w:val="24"/>
        </w:rPr>
        <w:t xml:space="preserve"> &lt; .001)</w:t>
      </w:r>
      <w:r>
        <w:rPr>
          <w:rFonts w:ascii="Times New Roman" w:hAnsi="Times New Roman" w:cs="Times New Roman" w:eastAsia="Times New Roman"/>
          <w:b w:val="0"/>
          <w:i w:val="0"/>
          <w:color w:val="000000"/>
          <w:sz w:val="24"/>
        </w:rPr>
        <w:t xml:space="preserve">: (1) </w:t>
      </w:r>
      <w:r>
        <w:rPr>
          <w:rFonts w:ascii="Times New Roman" w:hAnsi="Times New Roman" w:cs="Times New Roman" w:eastAsia="Times New Roman"/>
          <w:b/>
          <w:i w:val="0"/>
          <w:color w:val="000000"/>
          <w:sz w:val="24"/>
        </w:rPr>
        <w:t>Rule Adherence Rate</w:t>
      </w:r>
      <w:r>
        <w:rPr>
          <w:rFonts w:ascii="Times New Roman" w:hAnsi="Times New Roman" w:cs="Times New Roman" w:eastAsia="Times New Roman"/>
          <w:b w:val="0"/>
          <w:i w:val="0"/>
          <w:color w:val="000000"/>
          <w:sz w:val="24"/>
        </w:rPr>
        <w:t xml:space="preserve"> showed a large main effect of rules mode,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(1, 140) = 43.92,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η</w:t>
      </w:r>
      <w:r>
        <w:rPr>
          <w:rFonts w:ascii="Times New Roman" w:hAnsi="Times New Roman" w:cs="Times New Roman" w:eastAsia="Times New Roman"/>
          <w:b w:val="0"/>
          <w:i/>
          <w:color w:val="000000"/>
          <w:sz w:val="24"/>
          <w:vertAlign w:val="subscript"/>
        </w:rPr>
        <w:t>p</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.24 (HC3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42.71; ART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39.12, both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raising enforcement on violating states from 5.6% (Rules Off) to 100.0% (Rules Active × Zero-Shot) and 97.2% (Rules Active × Cluster-Adaptive), with zero prompting main effect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0.01,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.916); (2) </w:t>
      </w:r>
      <w:r>
        <w:rPr>
          <w:rFonts w:ascii="Times New Roman" w:hAnsi="Times New Roman" w:cs="Times New Roman" w:eastAsia="Times New Roman"/>
          <w:b/>
          <w:i w:val="0"/>
          <w:color w:val="000000"/>
          <w:sz w:val="24"/>
        </w:rPr>
        <w:t>Exemplar Entity Leakage Rate</w:t>
      </w:r>
      <w:r>
        <w:rPr>
          <w:rFonts w:ascii="Times New Roman" w:hAnsi="Times New Roman" w:cs="Times New Roman" w:eastAsia="Times New Roman"/>
          <w:b w:val="0"/>
          <w:i w:val="0"/>
          <w:color w:val="000000"/>
          <w:sz w:val="24"/>
        </w:rPr>
        <w:t xml:space="preserve"> showed a strong rules × prompting interaction,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(1, 140) = 34.82,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η</w:t>
      </w:r>
      <w:r>
        <w:rPr>
          <w:rFonts w:ascii="Times New Roman" w:hAnsi="Times New Roman" w:cs="Times New Roman" w:eastAsia="Times New Roman"/>
          <w:b w:val="0"/>
          <w:i/>
          <w:color w:val="000000"/>
          <w:sz w:val="24"/>
          <w:vertAlign w:val="subscript"/>
        </w:rPr>
        <w:t>p</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.20 (HC3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33.85; ART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2,148.81, both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where unguarded Cluster-Adaptive Few-Shot leaked stale exemplar entities at a .359 rate (55.6% incidence) but Rules Active eliminated leakage to </w:t>
      </w:r>
      <w:r>
        <w:rPr>
          <w:rFonts w:ascii="Times New Roman" w:hAnsi="Times New Roman" w:cs="Times New Roman" w:eastAsia="Times New Roman"/>
          <w:b/>
          <w:i w:val="0"/>
          <w:color w:val="000000"/>
          <w:sz w:val="24"/>
        </w:rPr>
        <w:t>0.0% (.000)</w:t>
      </w:r>
      <w:r>
        <w:rPr>
          <w:rFonts w:ascii="Times New Roman" w:hAnsi="Times New Roman" w:cs="Times New Roman" w:eastAsia="Times New Roman"/>
          <w:b w:val="0"/>
          <w:i w:val="0"/>
          <w:color w:val="000000"/>
          <w:sz w:val="24"/>
        </w:rPr>
        <w:t xml:space="preserve">; (3) </w:t>
      </w:r>
      <w:r>
        <w:rPr>
          <w:rFonts w:ascii="Times New Roman" w:hAnsi="Times New Roman" w:cs="Times New Roman" w:eastAsia="Times New Roman"/>
          <w:b/>
          <w:i w:val="0"/>
          <w:color w:val="000000"/>
          <w:sz w:val="24"/>
        </w:rPr>
        <w:t>Slot Coverage F</w:t>
      </w:r>
      <w:r>
        <w:rPr>
          <w:rFonts w:ascii="Times New Roman" w:hAnsi="Times New Roman" w:cs="Times New Roman" w:eastAsia="Times New Roman"/>
          <w:b/>
          <w:i w:val="0"/>
          <w:color w:val="000000"/>
          <w:sz w:val="24"/>
          <w:vertAlign w:val="subscript"/>
        </w:rPr>
        <w:t>1</w:t>
      </w:r>
      <w:r>
        <w:rPr>
          <w:rFonts w:ascii="Times New Roman" w:hAnsi="Times New Roman" w:cs="Times New Roman" w:eastAsia="Times New Roman"/>
          <w:b w:val="0"/>
          <w:i w:val="0"/>
          <w:color w:val="000000"/>
          <w:sz w:val="24"/>
        </w:rPr>
        <w:t xml:space="preserve"> rose from .208/.485 to </w:t>
      </w:r>
      <w:r>
        <w:rPr>
          <w:rFonts w:ascii="Times New Roman" w:hAnsi="Times New Roman" w:cs="Times New Roman" w:eastAsia="Times New Roman"/>
          <w:b/>
          <w:i w:val="0"/>
          <w:color w:val="000000"/>
          <w:sz w:val="24"/>
        </w:rPr>
        <w:t>.977/.952</w:t>
      </w:r>
      <w:r>
        <w:rPr>
          <w:rFonts w:ascii="Times New Roman" w:hAnsi="Times New Roman" w:cs="Times New Roman" w:eastAsia="Times New Roman"/>
          <w:b w:val="0"/>
          <w:i w:val="0"/>
          <w:color w:val="000000"/>
          <w:sz w:val="24"/>
        </w:rPr>
        <w:t xml:space="preserve"> under active rules,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(1, 140) = 489.52,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η</w:t>
      </w:r>
      <w:r>
        <w:rPr>
          <w:rFonts w:ascii="Times New Roman" w:hAnsi="Times New Roman" w:cs="Times New Roman" w:eastAsia="Times New Roman"/>
          <w:b w:val="0"/>
          <w:i/>
          <w:color w:val="000000"/>
          <w:sz w:val="24"/>
          <w:vertAlign w:val="subscript"/>
        </w:rPr>
        <w:t>p</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.78; and (4) </w:t>
      </w:r>
      <w:r>
        <w:rPr>
          <w:rFonts w:ascii="Times New Roman" w:hAnsi="Times New Roman" w:cs="Times New Roman" w:eastAsia="Times New Roman"/>
          <w:b/>
          <w:i w:val="0"/>
          <w:color w:val="000000"/>
          <w:sz w:val="24"/>
        </w:rPr>
        <w:t>Style Alignment</w:t>
      </w:r>
      <w:r>
        <w:rPr>
          <w:rFonts w:ascii="Times New Roman" w:hAnsi="Times New Roman" w:cs="Times New Roman" w:eastAsia="Times New Roman"/>
          <w:b w:val="0"/>
          <w:i w:val="0"/>
          <w:color w:val="000000"/>
          <w:sz w:val="24"/>
        </w:rPr>
        <w:t xml:space="preserve"> was significantly boosted by Cluster-Adaptive Few-Shot,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(1, 140) = 24.00,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η</w:t>
      </w:r>
      <w:r>
        <w:rPr>
          <w:rFonts w:ascii="Times New Roman" w:hAnsi="Times New Roman" w:cs="Times New Roman" w:eastAsia="Times New Roman"/>
          <w:b w:val="0"/>
          <w:i/>
          <w:color w:val="000000"/>
          <w:sz w:val="24"/>
          <w:vertAlign w:val="subscript"/>
        </w:rPr>
        <w:t>p</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.15, making </w:t>
      </w:r>
      <w:r>
        <w:rPr>
          <w:rFonts w:ascii="Times New Roman" w:hAnsi="Times New Roman" w:cs="Times New Roman" w:eastAsia="Times New Roman"/>
          <w:b/>
          <w:i w:val="0"/>
          <w:color w:val="000000"/>
          <w:sz w:val="24"/>
        </w:rPr>
        <w:t>Rules Active × Cluster-Adaptive Few-Shot</w:t>
      </w:r>
      <w:r>
        <w:rPr>
          <w:rFonts w:ascii="Times New Roman" w:hAnsi="Times New Roman" w:cs="Times New Roman" w:eastAsia="Times New Roman"/>
          <w:b w:val="0"/>
          <w:i w:val="0"/>
          <w:color w:val="000000"/>
          <w:sz w:val="24"/>
        </w:rPr>
        <w:t xml:space="preserve"> the unique Pareto-optimal cell.</w:t>
      </w:r>
    </w:p>
    <w:p>
      <w:pPr>
        <w:keepNext/>
        <w:widowControl/>
        <w:spacing w:line="480" w:lineRule="auto" w:before="120" w:after="0"/>
        <w:ind w:firstLine="0" w:left="0"/>
        <w:jc w:val="left"/>
      </w:pPr>
      <w:bookmarkStart w:name="_RefTab15" w:id="237"/>
      <w:r>
        <w:rPr>
          <w:rFonts w:ascii="Times New Roman" w:hAnsi="Times New Roman" w:cs="Times New Roman" w:eastAsia="Times New Roman"/>
          <w:b/>
          <w:color w:val="000000"/>
          <w:sz w:val="24"/>
        </w:rPr>
        <w:t xml:space="preserve">Table </w:t>
      </w:r>
      <w:bookmarkStart w:name="_RefTabN15" w:id="238"/>
      <w:r>
        <w:rPr>
          <w:rFonts w:ascii="Times New Roman" w:hAnsi="Times New Roman" w:cs="Times New Roman" w:eastAsia="Times New Roman"/>
          <w:b/>
          <w:color w:val="000000"/>
          <w:sz w:val="24"/>
        </w:rPr>
        <w:t>15</w:t>
      </w:r>
      <w:bookmarkEnd w:id="238"/>
      <w:bookmarkEnd w:id="237"/>
    </w:p>
    <w:p>
      <w:pPr>
        <w:keepNext/>
        <w:widowControl/>
        <w:spacing w:line="480" w:lineRule="auto" w:before="0" w:after="0"/>
        <w:ind w:firstLine="0" w:left="0"/>
        <w:jc w:val="left"/>
      </w:pPr>
      <w:r>
        <w:rPr>
          <w:rFonts w:ascii="Times New Roman" w:hAnsi="Times New Roman" w:cs="Times New Roman" w:eastAsia="Times New Roman"/>
          <w:b w:val="0"/>
          <w:i/>
          <w:color w:val="000000"/>
          <w:sz w:val="24"/>
        </w:rPr>
        <w:t>Cell Means and 2 × 2 Factorial ANOVA Results for RQ3 Outcomes (N = 144)</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560"/>
        <w:gridCol w:w="1560"/>
        <w:gridCol w:w="1560"/>
        <w:gridCol w:w="1560"/>
        <w:gridCol w:w="1560"/>
        <w:gridCol w:w="1560"/>
      </w:tblGrid>
      <w:tr>
        <w:trPr>
          <w:cantSplit/>
          <w:tblHeader/>
        </w:trPr>
        <w:tc>
          <w:tcPr>
            <w:tcW w:type="dxa" w:w="259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Experimental cell or ANOVA effect</w:t>
            </w:r>
          </w:p>
        </w:tc>
        <w:tc>
          <w:tcPr>
            <w:tcW w:type="dxa" w:w="79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or </w:t>
            </w:r>
            <w:r>
              <w:rPr>
                <w:rFonts w:ascii="Times New Roman" w:hAnsi="Times New Roman" w:cs="Times New Roman" w:eastAsia="Times New Roman"/>
                <w:b w:val="0"/>
                <w:i/>
                <w:color w:val="000000"/>
                <w:sz w:val="20"/>
              </w:rPr>
              <w:t>df</w:t>
            </w:r>
          </w:p>
        </w:tc>
        <w:tc>
          <w:tcPr>
            <w:tcW w:type="dxa" w:w="165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Rule adherence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 / Viol. %</w:t>
            </w:r>
          </w:p>
        </w:tc>
        <w:tc>
          <w:tcPr>
            <w:tcW w:type="dxa" w:w="165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Exemplar leakage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 / Inc. %</w:t>
            </w:r>
          </w:p>
        </w:tc>
        <w:tc>
          <w:tcPr>
            <w:tcW w:type="dxa" w:w="136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Slot coverage F</w:t>
            </w:r>
            <w:r>
              <w:rPr>
                <w:rFonts w:ascii="Times New Roman" w:hAnsi="Times New Roman" w:cs="Times New Roman" w:eastAsia="Times New Roman"/>
                <w:b w:val="0"/>
                <w:i w:val="0"/>
                <w:color w:val="000000"/>
                <w:sz w:val="20"/>
                <w:vertAlign w:val="subscript"/>
              </w:rPr>
              <w:t>1</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129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Style alignment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r>
      <w:tr>
        <w:trPr>
          <w:cantSplit/>
        </w:trPr>
        <w:tc>
          <w:tcPr>
            <w:tcW w:type="dxa" w:w="259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Rules Off × Zero-Shot</w:t>
            </w:r>
          </w:p>
        </w:tc>
        <w:tc>
          <w:tcPr>
            <w:tcW w:type="dxa" w:w="79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36</w:t>
            </w:r>
          </w:p>
        </w:tc>
        <w:tc>
          <w:tcPr>
            <w:tcW w:type="dxa" w:w="165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.500 (.507) / 5.6%</w:t>
            </w:r>
          </w:p>
        </w:tc>
        <w:tc>
          <w:tcPr>
            <w:tcW w:type="dxa" w:w="165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.000 (.000) / 0.0%</w:t>
            </w:r>
          </w:p>
        </w:tc>
        <w:tc>
          <w:tcPr>
            <w:tcW w:type="dxa" w:w="136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.208 (.233)</w:t>
            </w:r>
          </w:p>
        </w:tc>
        <w:tc>
          <w:tcPr>
            <w:tcW w:type="dxa" w:w="129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.412 (.086)</w:t>
            </w:r>
          </w:p>
        </w:tc>
      </w:tr>
      <w:tr>
        <w:trPr>
          <w:cantSplit/>
        </w:trPr>
        <w:tc>
          <w:tcPr>
            <w:tcW w:type="dxa" w:w="259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Rules Off × Cluster-Adaptive</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36</w:t>
            </w:r>
          </w:p>
        </w:tc>
        <w:tc>
          <w:tcPr>
            <w:tcW w:type="dxa" w:w="165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.500 (.507) / 5.6%</w:t>
            </w:r>
          </w:p>
        </w:tc>
        <w:tc>
          <w:tcPr>
            <w:tcW w:type="dxa" w:w="165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.359 (.365) / 55.6%</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.485 (.219)</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.521 (.088)</w:t>
            </w:r>
          </w:p>
        </w:tc>
      </w:tr>
      <w:tr>
        <w:trPr>
          <w:cantSplit/>
        </w:trPr>
        <w:tc>
          <w:tcPr>
            <w:tcW w:type="dxa" w:w="259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Rules Active × Zero-Shot</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36</w:t>
            </w:r>
          </w:p>
        </w:tc>
        <w:tc>
          <w:tcPr>
            <w:tcW w:type="dxa" w:w="165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.944 (.232) / 100.0%</w:t>
            </w:r>
          </w:p>
        </w:tc>
        <w:tc>
          <w:tcPr>
            <w:tcW w:type="dxa" w:w="165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.000 (.000) / 0.0%</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.977 (.055)</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.480 (.085)</w:t>
            </w:r>
          </w:p>
        </w:tc>
      </w:tr>
      <w:tr>
        <w:trPr>
          <w:cantSplit/>
        </w:trPr>
        <w:tc>
          <w:tcPr>
            <w:tcW w:type="dxa" w:w="259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Rules Active × Cluster-Adaptive</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36</w:t>
            </w:r>
          </w:p>
        </w:tc>
        <w:tc>
          <w:tcPr>
            <w:tcW w:type="dxa" w:w="165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.931 (.244) / 97.2%</w:t>
            </w:r>
          </w:p>
        </w:tc>
        <w:tc>
          <w:tcPr>
            <w:tcW w:type="dxa" w:w="165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.000 (.000) / 0.0%</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.952 (.084)</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.506 (.071)</w:t>
            </w:r>
          </w:p>
        </w:tc>
      </w:tr>
      <w:tr>
        <w:trPr>
          <w:cantSplit/>
        </w:trPr>
        <w:tc>
          <w:tcPr>
            <w:tcW w:type="dxa" w:w="259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ANOVA Main Effect: Rules Mode</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1, 140</w:t>
            </w:r>
          </w:p>
        </w:tc>
        <w:tc>
          <w:tcPr>
            <w:tcW w:type="dxa" w:w="1656"/>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=43.92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=.24</w:t>
            </w:r>
          </w:p>
        </w:tc>
        <w:tc>
          <w:tcPr>
            <w:tcW w:type="dxa" w:w="1656"/>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=34.82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=.20</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=489.52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=.78</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=3.68 (.057),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=.03</w:t>
            </w:r>
          </w:p>
        </w:tc>
      </w:tr>
      <w:tr>
        <w:trPr>
          <w:cantSplit/>
        </w:trPr>
        <w:tc>
          <w:tcPr>
            <w:tcW w:type="dxa" w:w="259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ANOVA Main Effect: Prompting Mode</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1, 140</w:t>
            </w:r>
          </w:p>
        </w:tc>
        <w:tc>
          <w:tcPr>
            <w:tcW w:type="dxa" w:w="1656"/>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=0.01 (.916),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=.00</w:t>
            </w:r>
          </w:p>
        </w:tc>
        <w:tc>
          <w:tcPr>
            <w:tcW w:type="dxa" w:w="1656"/>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=34.82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=.20</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=20.46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=.13</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=24.00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=.15</w:t>
            </w:r>
          </w:p>
        </w:tc>
      </w:tr>
      <w:tr>
        <w:trPr>
          <w:cantSplit/>
        </w:trPr>
        <w:tc>
          <w:tcPr>
            <w:tcW w:type="dxa" w:w="259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ANOVA Interaction: Rules × Prompting</w:t>
            </w:r>
          </w:p>
        </w:tc>
        <w:tc>
          <w:tcPr>
            <w:tcW w:type="dxa" w:w="79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1, 140</w:t>
            </w:r>
          </w:p>
        </w:tc>
        <w:tc>
          <w:tcPr>
            <w:tcW w:type="dxa" w:w="1656"/>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=0.01 (.916),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=.00</w:t>
            </w:r>
          </w:p>
        </w:tc>
        <w:tc>
          <w:tcPr>
            <w:tcW w:type="dxa" w:w="1656"/>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=34.82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=.20</w:t>
            </w:r>
          </w:p>
        </w:tc>
        <w:tc>
          <w:tcPr>
            <w:tcW w:type="dxa" w:w="1368"/>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=29.32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=.17</w:t>
            </w:r>
          </w:p>
        </w:tc>
        <w:tc>
          <w:tcPr>
            <w:tcW w:type="dxa" w:w="1296"/>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=8.95 (.003),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=.06</w:t>
            </w:r>
          </w:p>
        </w:tc>
      </w:tr>
    </w:tbl>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Viol. % = enforcement rate on policy-violating scenarios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18/cell); Inc. % = responses with ≥ 1 leaked entity. Dual-judge κ = .917.</w:t>
      </w:r>
    </w:p>
    <w:p>
      <w:pPr>
        <w:keepNext/>
        <w:widowControl/>
        <w:spacing w:line="480" w:lineRule="auto" w:before="120" w:after="0"/>
        <w:ind w:firstLine="0" w:left="0"/>
        <w:jc w:val="left"/>
      </w:pPr>
      <w:bookmarkStart w:name="_RefFig7" w:id="239"/>
      <w:r>
        <w:rPr>
          <w:rFonts w:ascii="Times New Roman" w:hAnsi="Times New Roman" w:cs="Times New Roman" w:eastAsia="Times New Roman"/>
          <w:b/>
          <w:color w:val="000000"/>
          <w:sz w:val="24"/>
        </w:rPr>
        <w:t xml:space="preserve">Figure </w:t>
      </w:r>
      <w:bookmarkStart w:name="_RefFigN7" w:id="240"/>
      <w:r>
        <w:rPr>
          <w:rFonts w:ascii="Times New Roman" w:hAnsi="Times New Roman" w:cs="Times New Roman" w:eastAsia="Times New Roman"/>
          <w:b/>
          <w:color w:val="000000"/>
          <w:sz w:val="24"/>
        </w:rPr>
        <w:t>7</w:t>
      </w:r>
      <w:bookmarkEnd w:id="240"/>
      <w:bookmarkEnd w:id="239"/>
    </w:p>
    <w:p>
      <w:pPr>
        <w:keepNext/>
        <w:widowControl/>
        <w:spacing w:line="480" w:lineRule="auto" w:before="0" w:after="0"/>
        <w:ind w:firstLine="0" w:left="0"/>
        <w:jc w:val="left"/>
      </w:pPr>
      <w:r>
        <w:rPr>
          <w:rFonts w:ascii="Times New Roman" w:hAnsi="Times New Roman" w:cs="Times New Roman" w:eastAsia="Times New Roman"/>
          <w:b w:val="0"/>
          <w:i/>
          <w:color w:val="000000"/>
          <w:sz w:val="24"/>
        </w:rPr>
        <w:t>2 × 2 Factorial Interaction Profiles for Rule Adherence, Exemplar Leakage, Slot Coverage F1, and Style Alignment</w:t>
      </w:r>
    </w:p>
    <w:p>
      <w:pPr>
        <w:keepNext/>
        <w:widowControl/>
        <w:spacing w:line="240" w:lineRule="auto" w:before="0" w:after="0"/>
        <w:ind w:firstLine="0" w:left="0"/>
        <w:jc w:val="center"/>
      </w:pPr>
      <w:r>
        <w:drawing>
          <wp:inline xmlns:a="http://schemas.openxmlformats.org/drawingml/2006/main" xmlns:pic="http://schemas.openxmlformats.org/drawingml/2006/picture">
            <wp:extent cx="4297680" cy="1400002"/>
            <wp:docPr id="7" name="Picture 7"/>
            <wp:cNvGraphicFramePr>
              <a:graphicFrameLocks noChangeAspect="1"/>
            </wp:cNvGraphicFramePr>
            <a:graphic>
              <a:graphicData uri="http://schemas.openxmlformats.org/drawingml/2006/picture">
                <pic:pic>
                  <pic:nvPicPr>
                    <pic:cNvPr id="0" name="fig_rq3_factorial_results.png"/>
                    <pic:cNvPicPr/>
                  </pic:nvPicPr>
                  <pic:blipFill>
                    <a:blip r:embed="rId17"/>
                    <a:stretch>
                      <a:fillRect/>
                    </a:stretch>
                  </pic:blipFill>
                  <pic:spPr>
                    <a:xfrm>
                      <a:off x="0" y="0"/>
                      <a:ext cx="4297680" cy="1400002"/>
                    </a:xfrm>
                    <a:prstGeom prst="rect"/>
                  </pic:spPr>
                </pic:pic>
              </a:graphicData>
            </a:graphic>
          </wp:inline>
        </w:drawing>
      </w:r>
    </w:p>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144 held-out units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36 per cell). Error bars represent 95% confidence intervals.</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RQ4 Results: 2 × 3 Multi-Turn Simulation of Turn Economy Across Archetypes</w:t>
      </w:r>
    </w:p>
    <w:p>
      <w:pPr>
        <w:keepNext w:val="0"/>
        <w:widowControl/>
        <w:spacing w:line="480" w:lineRule="auto" w:before="0" w:after="0"/>
        <w:ind w:firstLine="720" w:left="0"/>
        <w:jc w:val="left"/>
      </w:pPr>
      <w:r>
        <w:fldChar w:fldCharType="begin"/>
      </w:r>
      <w:r>
        <w:instrText xml:space="preserve"> REF _RefTab16 \h \* MERGEFORMAT </w:instrText>
      </w:r>
      <w:r>
        <w:fldChar w:fldCharType="separate"/>
      </w:r>
      <w:r>
        <w:rPr>
          <w:rFonts w:ascii="Times New Roman" w:hAnsi="Times New Roman" w:cs="Times New Roman" w:eastAsia="Times New Roman"/>
          <w:b w:val="0"/>
          <w:i w:val="0"/>
          <w:color w:val="000000"/>
          <w:sz w:val="24"/>
        </w:rPr>
        <w:t>Table 16</w:t>
      </w:r>
      <w:r>
        <w:fldChar w:fldCharType="end"/>
      </w:r>
      <w:r>
        <w:rPr>
          <w:rFonts w:ascii="Times New Roman" w:hAnsi="Times New Roman" w:cs="Times New Roman" w:eastAsia="Times New Roman"/>
          <w:b w:val="0"/>
          <w:i w:val="0"/>
          <w:color w:val="000000"/>
          <w:sz w:val="24"/>
        </w:rPr>
        <w:t xml:space="preserve"> and </w:t>
      </w:r>
      <w:r>
        <w:fldChar w:fldCharType="begin"/>
      </w:r>
      <w:r>
        <w:instrText xml:space="preserve"> REF _RefFig8 \h \* MERGEFORMAT </w:instrText>
      </w:r>
      <w:r>
        <w:fldChar w:fldCharType="separate"/>
      </w:r>
      <w:r>
        <w:rPr>
          <w:rFonts w:ascii="Times New Roman" w:hAnsi="Times New Roman" w:cs="Times New Roman" w:eastAsia="Times New Roman"/>
          <w:b w:val="0"/>
          <w:i w:val="0"/>
          <w:color w:val="000000"/>
          <w:sz w:val="24"/>
        </w:rPr>
        <w:t>Figure 8</w:t>
      </w:r>
      <w:r>
        <w:fldChar w:fldCharType="end"/>
      </w:r>
      <w:r>
        <w:rPr>
          <w:rFonts w:ascii="Times New Roman" w:hAnsi="Times New Roman" w:cs="Times New Roman" w:eastAsia="Times New Roman"/>
          <w:b w:val="0"/>
          <w:i w:val="0"/>
          <w:color w:val="000000"/>
          <w:sz w:val="24"/>
        </w:rPr>
        <w:t xml:space="preserve"> report the 2 × 3 multi-turn simulation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180 held-out dialogues,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30/cell across 2 prompting strategies × 3 refined archetypes; human baseline in Appendix E, </w:t>
      </w:r>
      <w:r>
        <w:fldChar w:fldCharType="begin"/>
      </w:r>
      <w:r>
        <w:instrText xml:space="preserve"> REF _RefTabE5 \h \* MERGEFORMAT </w:instrText>
      </w:r>
      <w:r>
        <w:fldChar w:fldCharType="separate"/>
      </w:r>
      <w:r>
        <w:rPr>
          <w:rFonts w:ascii="Times New Roman" w:hAnsi="Times New Roman" w:cs="Times New Roman" w:eastAsia="Times New Roman"/>
          <w:b w:val="0"/>
          <w:i w:val="0"/>
          <w:color w:val="000000"/>
          <w:sz w:val="24"/>
        </w:rPr>
        <w:t>Table E5</w:t>
      </w:r>
      <w:r>
        <w:fldChar w:fldCharType="end"/>
      </w:r>
      <w:r>
        <w:rPr>
          <w:rFonts w:ascii="Times New Roman" w:hAnsi="Times New Roman" w:cs="Times New Roman" w:eastAsia="Times New Roman"/>
          <w:b w:val="0"/>
          <w:i w:val="0"/>
          <w:color w:val="000000"/>
          <w:sz w:val="24"/>
        </w:rPr>
        <w:t xml:space="preserve"> and </w:t>
      </w:r>
      <w:r>
        <w:fldChar w:fldCharType="begin"/>
      </w:r>
      <w:r>
        <w:instrText xml:space="preserve"> REF _RefFigE3 \h \* MERGEFORMAT </w:instrText>
      </w:r>
      <w:r>
        <w:fldChar w:fldCharType="separate"/>
      </w:r>
      <w:r>
        <w:rPr>
          <w:rFonts w:ascii="Times New Roman" w:hAnsi="Times New Roman" w:cs="Times New Roman" w:eastAsia="Times New Roman"/>
          <w:b w:val="0"/>
          <w:i w:val="0"/>
          <w:color w:val="000000"/>
          <w:sz w:val="24"/>
        </w:rPr>
        <w:t>Figure E3</w:t>
      </w:r>
      <w:r>
        <w:fldChar w:fldCharType="end"/>
      </w:r>
      <w:r>
        <w:rPr>
          <w:rFonts w:ascii="Times New Roman" w:hAnsi="Times New Roman" w:cs="Times New Roman" w:eastAsia="Times New Roman"/>
          <w:b w:val="0"/>
          <w:i w:val="0"/>
          <w:color w:val="000000"/>
          <w:sz w:val="24"/>
        </w:rPr>
        <w:t xml:space="preserve">). Blind evaluation of 45 simulated transcripts by </w:t>
      </w:r>
      <w:r>
        <w:rPr>
          <w:rFonts w:ascii="Times New Roman" w:hAnsi="Times New Roman" w:cs="Times New Roman" w:eastAsia="Times New Roman"/>
          <w:b w:val="0"/>
          <w:i/>
          <w:color w:val="000000"/>
          <w:sz w:val="24"/>
        </w:rPr>
        <w:t>gemini-2.5-pro</w:t>
      </w:r>
      <w:r>
        <w:rPr>
          <w:rFonts w:ascii="Times New Roman" w:hAnsi="Times New Roman" w:cs="Times New Roman" w:eastAsia="Times New Roman"/>
          <w:b w:val="0"/>
          <w:i w:val="0"/>
          <w:color w:val="000000"/>
          <w:sz w:val="24"/>
        </w:rPr>
        <w:t xml:space="preserve"> confirmed 95.6% persona classification accuracy (43/45 vs. 33.3% chance, binomial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κ = .933; </w:t>
      </w:r>
      <w:r>
        <w:fldChar w:fldCharType="begin"/>
      </w:r>
      <w:r>
        <w:instrText xml:space="preserve"> REF _RefTabC3 \h \* MERGEFORMAT </w:instrText>
      </w:r>
      <w:r>
        <w:fldChar w:fldCharType="separate"/>
      </w:r>
      <w:r>
        <w:rPr>
          <w:rFonts w:ascii="Times New Roman" w:hAnsi="Times New Roman" w:cs="Times New Roman" w:eastAsia="Times New Roman"/>
          <w:b w:val="0"/>
          <w:i w:val="0"/>
          <w:color w:val="000000"/>
          <w:sz w:val="24"/>
        </w:rPr>
        <w:t>Table C3</w:t>
      </w:r>
      <w:r>
        <w:fldChar w:fldCharType="end"/>
      </w:r>
      <w:r>
        <w:rPr>
          <w:rFonts w:ascii="Times New Roman" w:hAnsi="Times New Roman" w:cs="Times New Roman" w:eastAsia="Times New Roman"/>
          <w:b w:val="0"/>
          <w:i w:val="0"/>
          <w:color w:val="000000"/>
          <w:sz w:val="24"/>
        </w:rPr>
        <w:t xml:space="preserve">). On log-transformed turns to goal completion, the 2 × 3 ANOVA </w:t>
      </w:r>
      <w:r>
        <w:rPr>
          <w:rFonts w:ascii="Times New Roman" w:hAnsi="Times New Roman" w:cs="Times New Roman" w:eastAsia="Times New Roman"/>
          <w:b/>
          <w:i w:val="0"/>
          <w:color w:val="000000"/>
          <w:sz w:val="24"/>
        </w:rPr>
        <w:t xml:space="preserve">rejected </w:t>
      </w:r>
      <w:r>
        <w:rPr>
          <w:rFonts w:ascii="Times New Roman" w:hAnsi="Times New Roman" w:cs="Times New Roman" w:eastAsia="Times New Roman"/>
          <w:b/>
          <w:i/>
          <w:color w:val="000000"/>
          <w:sz w:val="24"/>
        </w:rPr>
        <w:t>H</w:t>
      </w:r>
      <w:r>
        <w:rPr>
          <w:rFonts w:ascii="Times New Roman" w:hAnsi="Times New Roman" w:cs="Times New Roman" w:eastAsia="Times New Roman"/>
          <w:b/>
          <w:i w:val="0"/>
          <w:color w:val="000000"/>
          <w:sz w:val="24"/>
          <w:vertAlign w:val="subscript"/>
        </w:rPr>
        <w:t>04</w:t>
      </w:r>
      <w:r>
        <w:rPr>
          <w:rFonts w:ascii="Times New Roman" w:hAnsi="Times New Roman" w:cs="Times New Roman" w:eastAsia="Times New Roman"/>
          <w:b/>
          <w:i w:val="0"/>
          <w:color w:val="000000"/>
          <w:sz w:val="24"/>
        </w:rPr>
        <w:t xml:space="preserve"> (</w:t>
      </w:r>
      <w:r>
        <w:rPr>
          <w:rFonts w:ascii="Times New Roman" w:hAnsi="Times New Roman" w:cs="Times New Roman" w:eastAsia="Times New Roman"/>
          <w:b/>
          <w:i/>
          <w:color w:val="000000"/>
          <w:sz w:val="24"/>
        </w:rPr>
        <w:t>p</w:t>
      </w:r>
      <w:r>
        <w:rPr>
          <w:rFonts w:ascii="Times New Roman" w:hAnsi="Times New Roman" w:cs="Times New Roman" w:eastAsia="Times New Roman"/>
          <w:b/>
          <w:i w:val="0"/>
          <w:color w:val="000000"/>
          <w:sz w:val="24"/>
        </w:rPr>
        <w:t xml:space="preserve"> &lt; .001)</w:t>
      </w:r>
      <w:r>
        <w:rPr>
          <w:rFonts w:ascii="Times New Roman" w:hAnsi="Times New Roman" w:cs="Times New Roman" w:eastAsia="Times New Roman"/>
          <w:b w:val="0"/>
          <w:i w:val="0"/>
          <w:color w:val="000000"/>
          <w:sz w:val="24"/>
        </w:rPr>
        <w:t xml:space="preserve">, with significant main effects of prompting,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(1, 174) = 664.43,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η</w:t>
      </w:r>
      <w:r>
        <w:rPr>
          <w:rFonts w:ascii="Times New Roman" w:hAnsi="Times New Roman" w:cs="Times New Roman" w:eastAsia="Times New Roman"/>
          <w:b w:val="0"/>
          <w:i/>
          <w:color w:val="000000"/>
          <w:sz w:val="24"/>
          <w:vertAlign w:val="subscript"/>
        </w:rPr>
        <w:t>p</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.79, and archetype,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(2, 174) = 5.55,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.005, η</w:t>
      </w:r>
      <w:r>
        <w:rPr>
          <w:rFonts w:ascii="Times New Roman" w:hAnsi="Times New Roman" w:cs="Times New Roman" w:eastAsia="Times New Roman"/>
          <w:b w:val="0"/>
          <w:i/>
          <w:color w:val="000000"/>
          <w:sz w:val="24"/>
          <w:vertAlign w:val="subscript"/>
        </w:rPr>
        <w:t>p</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.06, plus a </w:t>
      </w:r>
      <w:r>
        <w:rPr>
          <w:rFonts w:ascii="Times New Roman" w:hAnsi="Times New Roman" w:cs="Times New Roman" w:eastAsia="Times New Roman"/>
          <w:b/>
          <w:i w:val="0"/>
          <w:color w:val="000000"/>
          <w:sz w:val="24"/>
        </w:rPr>
        <w:t>significant prompting × archetype interaction</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(2, 174) = 10.89,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η</w:t>
      </w:r>
      <w:r>
        <w:rPr>
          <w:rFonts w:ascii="Times New Roman" w:hAnsi="Times New Roman" w:cs="Times New Roman" w:eastAsia="Times New Roman"/>
          <w:b w:val="0"/>
          <w:i/>
          <w:color w:val="000000"/>
          <w:sz w:val="24"/>
          <w:vertAlign w:val="subscript"/>
        </w:rPr>
        <w:t>p</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.11 (HC3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8.58; ART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209.46, both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Cluster-Adaptive Few-Shot compressed turns most strongly for </w:t>
      </w:r>
      <w:r>
        <w:rPr>
          <w:rFonts w:ascii="Times New Roman" w:hAnsi="Times New Roman" w:cs="Times New Roman" w:eastAsia="Times New Roman"/>
          <w:b/>
          <w:i w:val="0"/>
          <w:color w:val="000000"/>
          <w:sz w:val="24"/>
        </w:rPr>
        <w:t>Rigid-Constraint Seekers</w:t>
      </w:r>
      <w:r>
        <w:rPr>
          <w:rFonts w:ascii="Times New Roman" w:hAnsi="Times New Roman" w:cs="Times New Roman" w:eastAsia="Times New Roman"/>
          <w:b w:val="0"/>
          <w:i w:val="0"/>
          <w:color w:val="000000"/>
          <w:sz w:val="24"/>
        </w:rPr>
        <w:t xml:space="preserve"> (−42.7%, 8.73 → 5.00 turns, Welch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vertAlign w:val="subscript"/>
        </w:rPr>
        <w:t>log</w:t>
      </w:r>
      <w:r>
        <w:rPr>
          <w:rFonts w:ascii="Times New Roman" w:hAnsi="Times New Roman" w:cs="Times New Roman" w:eastAsia="Times New Roman"/>
          <w:b w:val="0"/>
          <w:i w:val="0"/>
          <w:color w:val="000000"/>
          <w:sz w:val="24"/>
        </w:rPr>
        <w:t xml:space="preserve"> = −16.14,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rPr>
        <w:t xml:space="preserve"> = −3.40) by proactively presenting both 4-star and flexible-date 5-star trade-offs when the exact-date 5-star option exceeded budget, followed by </w:t>
      </w:r>
      <w:r>
        <w:rPr>
          <w:rFonts w:ascii="Times New Roman" w:hAnsi="Times New Roman" w:cs="Times New Roman" w:eastAsia="Times New Roman"/>
          <w:b/>
          <w:i w:val="0"/>
          <w:color w:val="000000"/>
          <w:sz w:val="24"/>
        </w:rPr>
        <w:t>Decisive Bookers</w:t>
      </w:r>
      <w:r>
        <w:rPr>
          <w:rFonts w:ascii="Times New Roman" w:hAnsi="Times New Roman" w:cs="Times New Roman" w:eastAsia="Times New Roman"/>
          <w:b w:val="0"/>
          <w:i w:val="0"/>
          <w:color w:val="000000"/>
          <w:sz w:val="24"/>
        </w:rPr>
        <w:t xml:space="preserve"> (−34.2%, 7.60 → 5.00 turns,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vertAlign w:val="subscript"/>
        </w:rPr>
        <w:t>log</w:t>
      </w:r>
      <w:r>
        <w:rPr>
          <w:rFonts w:ascii="Times New Roman" w:hAnsi="Times New Roman" w:cs="Times New Roman" w:eastAsia="Times New Roman"/>
          <w:b w:val="0"/>
          <w:i w:val="0"/>
          <w:color w:val="000000"/>
          <w:sz w:val="24"/>
        </w:rPr>
        <w:t xml:space="preserve"> = −19.26,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rPr>
        <w:t xml:space="preserve"> = −3.94) and </w:t>
      </w:r>
      <w:r>
        <w:rPr>
          <w:rFonts w:ascii="Times New Roman" w:hAnsi="Times New Roman" w:cs="Times New Roman" w:eastAsia="Times New Roman"/>
          <w:b/>
          <w:i w:val="0"/>
          <w:color w:val="000000"/>
          <w:sz w:val="24"/>
        </w:rPr>
        <w:t>Open Explorers</w:t>
      </w:r>
      <w:r>
        <w:rPr>
          <w:rFonts w:ascii="Times New Roman" w:hAnsi="Times New Roman" w:cs="Times New Roman" w:eastAsia="Times New Roman"/>
          <w:b w:val="0"/>
          <w:i w:val="0"/>
          <w:color w:val="000000"/>
          <w:sz w:val="24"/>
        </w:rPr>
        <w:t xml:space="preserve"> (−29.5%, 7.47 → 5.27 turns, </w:t>
      </w:r>
      <w:r>
        <w:rPr>
          <w:rFonts w:ascii="Times New Roman" w:hAnsi="Times New Roman" w:cs="Times New Roman" w:eastAsia="Times New Roman"/>
          <w:b w:val="0"/>
          <w:i/>
          <w:color w:val="000000"/>
          <w:sz w:val="24"/>
        </w:rPr>
        <w:t>t</w:t>
      </w:r>
      <w:r>
        <w:rPr>
          <w:rFonts w:ascii="Times New Roman" w:hAnsi="Times New Roman" w:cs="Times New Roman" w:eastAsia="Times New Roman"/>
          <w:b w:val="0"/>
          <w:i w:val="0"/>
          <w:color w:val="000000"/>
          <w:sz w:val="24"/>
          <w:vertAlign w:val="subscript"/>
        </w:rPr>
        <w:t>log</w:t>
      </w:r>
      <w:r>
        <w:rPr>
          <w:rFonts w:ascii="Times New Roman" w:hAnsi="Times New Roman" w:cs="Times New Roman" w:eastAsia="Times New Roman"/>
          <w:b w:val="0"/>
          <w:i w:val="0"/>
          <w:color w:val="000000"/>
          <w:sz w:val="24"/>
        </w:rPr>
        <w:t xml:space="preserve"> = −11.24, </w:t>
      </w:r>
      <w:r>
        <w:rPr>
          <w:rFonts w:ascii="Times New Roman" w:hAnsi="Times New Roman" w:cs="Times New Roman" w:eastAsia="Times New Roman"/>
          <w:b w:val="0"/>
          <w:i/>
          <w:color w:val="000000"/>
          <w:sz w:val="24"/>
        </w:rPr>
        <w:t>d</w:t>
      </w:r>
      <w:r>
        <w:rPr>
          <w:rFonts w:ascii="Times New Roman" w:hAnsi="Times New Roman" w:cs="Times New Roman" w:eastAsia="Times New Roman"/>
          <w:b w:val="0"/>
          <w:i w:val="0"/>
          <w:color w:val="000000"/>
          <w:sz w:val="24"/>
        </w:rPr>
        <w:t xml:space="preserve"> = −2.55). Redundant Elicitation Rate dropped from .194 (DB), .061 (OE), and .072 (RCS) in Zero-Shot to </w:t>
      </w:r>
      <w:r>
        <w:rPr>
          <w:rFonts w:ascii="Times New Roman" w:hAnsi="Times New Roman" w:cs="Times New Roman" w:eastAsia="Times New Roman"/>
          <w:b/>
          <w:i w:val="0"/>
          <w:color w:val="000000"/>
          <w:sz w:val="24"/>
        </w:rPr>
        <w:t>0.000</w:t>
      </w:r>
      <w:r>
        <w:rPr>
          <w:rFonts w:ascii="Times New Roman" w:hAnsi="Times New Roman" w:cs="Times New Roman" w:eastAsia="Times New Roman"/>
          <w:b w:val="0"/>
          <w:i w:val="0"/>
          <w:color w:val="000000"/>
          <w:sz w:val="24"/>
        </w:rPr>
        <w:t xml:space="preserve"> across all archetypes in Cluster-Adaptive Few-Shot, main effect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(1, 174) = 63.02,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interaction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(2, 174) = 9.70,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w:t>
      </w:r>
    </w:p>
    <w:p>
      <w:pPr>
        <w:keepNext/>
        <w:widowControl/>
        <w:spacing w:line="480" w:lineRule="auto" w:before="120" w:after="0"/>
        <w:ind w:firstLine="0" w:left="0"/>
        <w:jc w:val="left"/>
      </w:pPr>
      <w:bookmarkStart w:name="_RefTab16" w:id="241"/>
      <w:r>
        <w:rPr>
          <w:rFonts w:ascii="Times New Roman" w:hAnsi="Times New Roman" w:cs="Times New Roman" w:eastAsia="Times New Roman"/>
          <w:b/>
          <w:color w:val="000000"/>
          <w:sz w:val="24"/>
        </w:rPr>
        <w:t xml:space="preserve">Table </w:t>
      </w:r>
      <w:bookmarkStart w:name="_RefTabN16" w:id="242"/>
      <w:r>
        <w:rPr>
          <w:rFonts w:ascii="Times New Roman" w:hAnsi="Times New Roman" w:cs="Times New Roman" w:eastAsia="Times New Roman"/>
          <w:b/>
          <w:color w:val="000000"/>
          <w:sz w:val="24"/>
        </w:rPr>
        <w:t>16</w:t>
      </w:r>
      <w:bookmarkEnd w:id="242"/>
      <w:bookmarkEnd w:id="241"/>
    </w:p>
    <w:p>
      <w:pPr>
        <w:keepNext/>
        <w:widowControl/>
        <w:spacing w:line="480" w:lineRule="auto" w:before="0" w:after="0"/>
        <w:ind w:firstLine="0" w:left="0"/>
        <w:jc w:val="left"/>
      </w:pPr>
      <w:r>
        <w:rPr>
          <w:rFonts w:ascii="Times New Roman" w:hAnsi="Times New Roman" w:cs="Times New Roman" w:eastAsia="Times New Roman"/>
          <w:b w:val="0"/>
          <w:i/>
          <w:color w:val="000000"/>
          <w:sz w:val="24"/>
        </w:rPr>
        <w:t>Cell Means, Archetype Contrasts, and 2 × 3 Factorial ANOVA Results for Multi-Turn Turn Economy (N = 180)</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560"/>
        <w:gridCol w:w="1560"/>
        <w:gridCol w:w="1560"/>
        <w:gridCol w:w="1560"/>
        <w:gridCol w:w="1560"/>
        <w:gridCol w:w="1560"/>
      </w:tblGrid>
      <w:tr>
        <w:trPr>
          <w:cantSplit/>
          <w:tblHeader/>
        </w:trPr>
        <w:tc>
          <w:tcPr>
            <w:tcW w:type="dxa" w:w="266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Archetype × Prompting cell or ANOVA effect</w:t>
            </w:r>
          </w:p>
        </w:tc>
        <w:tc>
          <w:tcPr>
            <w:tcW w:type="dxa" w:w="129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Total turns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129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Log turns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122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RER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144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Turn reduction / HC3 check</w:t>
            </w:r>
          </w:p>
        </w:tc>
        <w:tc>
          <w:tcPr>
            <w:tcW w:type="dxa" w:w="144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Welch contrast / ART check</w:t>
            </w:r>
          </w:p>
        </w:tc>
      </w:tr>
      <w:tr>
        <w:trPr>
          <w:cantSplit/>
        </w:trPr>
        <w:tc>
          <w:tcPr>
            <w:tcW w:type="dxa" w:w="266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Decisive Booker — Zero-Shot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30)</w:t>
            </w:r>
          </w:p>
        </w:tc>
        <w:tc>
          <w:tcPr>
            <w:tcW w:type="dxa" w:w="129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7.60 (0.93)</w:t>
            </w:r>
          </w:p>
        </w:tc>
        <w:tc>
          <w:tcPr>
            <w:tcW w:type="dxa" w:w="129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2.021 (0.117)</w:t>
            </w:r>
          </w:p>
        </w:tc>
        <w:tc>
          <w:tcPr>
            <w:tcW w:type="dxa" w:w="122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.194 (.158)</w:t>
            </w:r>
          </w:p>
        </w:tc>
        <w:tc>
          <w:tcPr>
            <w:tcW w:type="dxa" w:w="144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c>
          <w:tcPr>
            <w:tcW w:type="dxa" w:w="144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r>
      <w:tr>
        <w:trPr>
          <w:cantSplit/>
        </w:trPr>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Decisive Booker — Cluster-Adaptive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30)</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5.00 (0.00)</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1.609 (0.000)</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.000 (.000)</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−2.60 (−34.2%)</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t</w:t>
            </w:r>
            <w:r>
              <w:rPr>
                <w:rFonts w:ascii="Times New Roman" w:hAnsi="Times New Roman" w:cs="Times New Roman" w:eastAsia="Times New Roman"/>
                <w:b w:val="0"/>
                <w:i w:val="0"/>
                <w:color w:val="000000"/>
                <w:sz w:val="20"/>
              </w:rPr>
              <w:t xml:space="preserve">=−19.26 (&lt; .001), </w:t>
            </w:r>
            <w:r>
              <w:rPr>
                <w:rFonts w:ascii="Times New Roman" w:hAnsi="Times New Roman" w:cs="Times New Roman" w:eastAsia="Times New Roman"/>
                <w:b w:val="0"/>
                <w:i/>
                <w:color w:val="000000"/>
                <w:sz w:val="20"/>
              </w:rPr>
              <w:t>d</w:t>
            </w:r>
            <w:r>
              <w:rPr>
                <w:rFonts w:ascii="Times New Roman" w:hAnsi="Times New Roman" w:cs="Times New Roman" w:eastAsia="Times New Roman"/>
                <w:b w:val="0"/>
                <w:i w:val="0"/>
                <w:color w:val="000000"/>
                <w:sz w:val="20"/>
              </w:rPr>
              <w:t>=−3.94</w:t>
            </w:r>
          </w:p>
        </w:tc>
      </w:tr>
      <w:tr>
        <w:trPr>
          <w:cantSplit/>
        </w:trPr>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Open Explorer — Zero-Shot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30)</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7.47 (0.86)</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2.005 (0.108)</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.061 (.114)</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r>
      <w:tr>
        <w:trPr>
          <w:cantSplit/>
        </w:trPr>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Open Explorer — Cluster-Adaptive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30)</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5.27 (0.87)</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1.651 (0.134)</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.000 (.000)</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−2.20 (−29.5%)</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t</w:t>
            </w:r>
            <w:r>
              <w:rPr>
                <w:rFonts w:ascii="Times New Roman" w:hAnsi="Times New Roman" w:cs="Times New Roman" w:eastAsia="Times New Roman"/>
                <w:b w:val="0"/>
                <w:i w:val="0"/>
                <w:color w:val="000000"/>
                <w:sz w:val="20"/>
              </w:rPr>
              <w:t xml:space="preserve">=−11.24 (&lt; .001), </w:t>
            </w:r>
            <w:r>
              <w:rPr>
                <w:rFonts w:ascii="Times New Roman" w:hAnsi="Times New Roman" w:cs="Times New Roman" w:eastAsia="Times New Roman"/>
                <w:b w:val="0"/>
                <w:i/>
                <w:color w:val="000000"/>
                <w:sz w:val="20"/>
              </w:rPr>
              <w:t>d</w:t>
            </w:r>
            <w:r>
              <w:rPr>
                <w:rFonts w:ascii="Times New Roman" w:hAnsi="Times New Roman" w:cs="Times New Roman" w:eastAsia="Times New Roman"/>
                <w:b w:val="0"/>
                <w:i w:val="0"/>
                <w:color w:val="000000"/>
                <w:sz w:val="20"/>
              </w:rPr>
              <w:t>=−2.55</w:t>
            </w:r>
          </w:p>
        </w:tc>
      </w:tr>
      <w:tr>
        <w:trPr>
          <w:cantSplit/>
        </w:trPr>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Rigid-Constraint Seeker — Zero-Shot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30)</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8.73 (1.55)</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2.151 (0.184)</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.072 (.114)</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r>
      <w:tr>
        <w:trPr>
          <w:cantSplit/>
        </w:trPr>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Rigid-Constraint Seeker — Cluster-Adaptive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30)</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5.00 (0.00)</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1.609 (0.000)</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.000 (.000)</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−3.73 (−42.7%)</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t</w:t>
            </w:r>
            <w:r>
              <w:rPr>
                <w:rFonts w:ascii="Times New Roman" w:hAnsi="Times New Roman" w:cs="Times New Roman" w:eastAsia="Times New Roman"/>
                <w:b w:val="0"/>
                <w:i w:val="0"/>
                <w:color w:val="000000"/>
                <w:sz w:val="20"/>
              </w:rPr>
              <w:t xml:space="preserve">=−16.14 (&lt; .001), </w:t>
            </w:r>
            <w:r>
              <w:rPr>
                <w:rFonts w:ascii="Times New Roman" w:hAnsi="Times New Roman" w:cs="Times New Roman" w:eastAsia="Times New Roman"/>
                <w:b w:val="0"/>
                <w:i/>
                <w:color w:val="000000"/>
                <w:sz w:val="20"/>
              </w:rPr>
              <w:t>d</w:t>
            </w:r>
            <w:r>
              <w:rPr>
                <w:rFonts w:ascii="Times New Roman" w:hAnsi="Times New Roman" w:cs="Times New Roman" w:eastAsia="Times New Roman"/>
                <w:b w:val="0"/>
                <w:i w:val="0"/>
                <w:color w:val="000000"/>
                <w:sz w:val="20"/>
              </w:rPr>
              <w:t>=−3.40</w:t>
            </w:r>
          </w:p>
        </w:tc>
      </w:tr>
      <w:tr>
        <w:trPr>
          <w:cantSplit/>
        </w:trPr>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ANOVA Main Effect: Prompting Mode (</w:t>
            </w:r>
            <w:r>
              <w:rPr>
                <w:rFonts w:ascii="Times New Roman" w:hAnsi="Times New Roman" w:cs="Times New Roman" w:eastAsia="Times New Roman"/>
                <w:b w:val="0"/>
                <w:i/>
                <w:color w:val="000000"/>
                <w:sz w:val="20"/>
              </w:rPr>
              <w:t>df</w:t>
            </w:r>
            <w:r>
              <w:rPr>
                <w:rFonts w:ascii="Times New Roman" w:hAnsi="Times New Roman" w:cs="Times New Roman" w:eastAsia="Times New Roman"/>
                <w:b w:val="0"/>
                <w:i w:val="0"/>
                <w:color w:val="000000"/>
                <w:sz w:val="20"/>
              </w:rPr>
              <w:t xml:space="preserve"> = 1, 174)</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=457.74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=.72</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=664.43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=.79</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=63.02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=.27</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HC3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vertAlign w:val="subscript"/>
              </w:rPr>
              <w:t>log</w:t>
            </w:r>
            <w:r>
              <w:rPr>
                <w:rFonts w:ascii="Times New Roman" w:hAnsi="Times New Roman" w:cs="Times New Roman" w:eastAsia="Times New Roman"/>
                <w:b w:val="0"/>
                <w:i w:val="0"/>
                <w:color w:val="000000"/>
                <w:sz w:val="20"/>
              </w:rPr>
              <w:t>=715.48 (&lt; .001)</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ART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vertAlign w:val="subscript"/>
              </w:rPr>
              <w:t>log</w:t>
            </w:r>
            <w:r>
              <w:rPr>
                <w:rFonts w:ascii="Times New Roman" w:hAnsi="Times New Roman" w:cs="Times New Roman" w:eastAsia="Times New Roman"/>
                <w:b w:val="0"/>
                <w:i w:val="0"/>
                <w:color w:val="000000"/>
                <w:sz w:val="20"/>
              </w:rPr>
              <w:t>=671.25 (&lt; .001)</w:t>
            </w:r>
          </w:p>
        </w:tc>
      </w:tr>
      <w:tr>
        <w:trPr>
          <w:cantSplit/>
        </w:trPr>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ANOVA Main Effect: Refined Archetype (</w:t>
            </w:r>
            <w:r>
              <w:rPr>
                <w:rFonts w:ascii="Times New Roman" w:hAnsi="Times New Roman" w:cs="Times New Roman" w:eastAsia="Times New Roman"/>
                <w:b w:val="0"/>
                <w:i/>
                <w:color w:val="000000"/>
                <w:sz w:val="20"/>
              </w:rPr>
              <w:t>df</w:t>
            </w:r>
            <w:r>
              <w:rPr>
                <w:rFonts w:ascii="Times New Roman" w:hAnsi="Times New Roman" w:cs="Times New Roman" w:eastAsia="Times New Roman"/>
                <w:b w:val="0"/>
                <w:i w:val="0"/>
                <w:color w:val="000000"/>
                <w:sz w:val="20"/>
              </w:rPr>
              <w:t xml:space="preserve"> = 2, 174)</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=7.24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=.08</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=5.55 (.005),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=.06</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=9.70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=.10</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HC3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vertAlign w:val="subscript"/>
              </w:rPr>
              <w:t>log</w:t>
            </w:r>
            <w:r>
              <w:rPr>
                <w:rFonts w:ascii="Times New Roman" w:hAnsi="Times New Roman" w:cs="Times New Roman" w:eastAsia="Times New Roman"/>
                <w:b w:val="0"/>
                <w:i w:val="0"/>
                <w:color w:val="000000"/>
                <w:sz w:val="20"/>
              </w:rPr>
              <w:t>=0.01 (.923)</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ART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vertAlign w:val="subscript"/>
              </w:rPr>
              <w:t>log</w:t>
            </w:r>
            <w:r>
              <w:rPr>
                <w:rFonts w:ascii="Times New Roman" w:hAnsi="Times New Roman" w:cs="Times New Roman" w:eastAsia="Times New Roman"/>
                <w:b w:val="0"/>
                <w:i w:val="0"/>
                <w:color w:val="000000"/>
                <w:sz w:val="20"/>
              </w:rPr>
              <w:t>=9.13 (&lt; .001)</w:t>
            </w:r>
          </w:p>
        </w:tc>
      </w:tr>
      <w:tr>
        <w:trPr>
          <w:cantSplit/>
        </w:trPr>
        <w:tc>
          <w:tcPr>
            <w:tcW w:type="dxa" w:w="266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ANOVA Interaction: Prompting × Archetype (</w:t>
            </w:r>
            <w:r>
              <w:rPr>
                <w:rFonts w:ascii="Times New Roman" w:hAnsi="Times New Roman" w:cs="Times New Roman" w:eastAsia="Times New Roman"/>
                <w:b w:val="0"/>
                <w:i/>
                <w:color w:val="000000"/>
                <w:sz w:val="20"/>
              </w:rPr>
              <w:t>df</w:t>
            </w:r>
            <w:r>
              <w:rPr>
                <w:rFonts w:ascii="Times New Roman" w:hAnsi="Times New Roman" w:cs="Times New Roman" w:eastAsia="Times New Roman"/>
                <w:b w:val="0"/>
                <w:i w:val="0"/>
                <w:color w:val="000000"/>
                <w:sz w:val="20"/>
              </w:rPr>
              <w:t xml:space="preserve"> = 2, 174)</w:t>
            </w:r>
          </w:p>
        </w:tc>
        <w:tc>
          <w:tcPr>
            <w:tcW w:type="dxa" w:w="1296"/>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=11.93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=.12</w:t>
            </w:r>
          </w:p>
        </w:tc>
        <w:tc>
          <w:tcPr>
            <w:tcW w:type="dxa" w:w="1296"/>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=10.89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=.11</w:t>
            </w:r>
          </w:p>
        </w:tc>
        <w:tc>
          <w:tcPr>
            <w:tcW w:type="dxa" w:w="1224"/>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=9.70 (&lt; .001), η</w:t>
            </w:r>
            <w:r>
              <w:rPr>
                <w:rFonts w:ascii="Times New Roman" w:hAnsi="Times New Roman" w:cs="Times New Roman" w:eastAsia="Times New Roman"/>
                <w:b w:val="0"/>
                <w:i/>
                <w:color w:val="000000"/>
                <w:sz w:val="20"/>
                <w:vertAlign w:val="subscript"/>
              </w:rPr>
              <w:t>p</w:t>
            </w:r>
            <w:r>
              <w:rPr>
                <w:rFonts w:ascii="Times New Roman" w:hAnsi="Times New Roman" w:cs="Times New Roman" w:eastAsia="Times New Roman"/>
                <w:b w:val="0"/>
                <w:i w:val="0"/>
                <w:color w:val="000000"/>
                <w:sz w:val="20"/>
                <w:vertAlign w:val="superscript"/>
              </w:rPr>
              <w:t>2</w:t>
            </w:r>
            <w:r>
              <w:rPr>
                <w:rFonts w:ascii="Times New Roman" w:hAnsi="Times New Roman" w:cs="Times New Roman" w:eastAsia="Times New Roman"/>
                <w:b w:val="0"/>
                <w:i w:val="0"/>
                <w:color w:val="000000"/>
                <w:sz w:val="20"/>
              </w:rPr>
              <w:t>=.10</w:t>
            </w:r>
          </w:p>
        </w:tc>
        <w:tc>
          <w:tcPr>
            <w:tcW w:type="dxa" w:w="144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HC3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vertAlign w:val="subscript"/>
              </w:rPr>
              <w:t>log</w:t>
            </w:r>
            <w:r>
              <w:rPr>
                <w:rFonts w:ascii="Times New Roman" w:hAnsi="Times New Roman" w:cs="Times New Roman" w:eastAsia="Times New Roman"/>
                <w:b w:val="0"/>
                <w:i w:val="0"/>
                <w:color w:val="000000"/>
                <w:sz w:val="20"/>
              </w:rPr>
              <w:t>=8.58 (&lt; .001)</w:t>
            </w:r>
          </w:p>
        </w:tc>
        <w:tc>
          <w:tcPr>
            <w:tcW w:type="dxa" w:w="144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ART </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vertAlign w:val="subscript"/>
              </w:rPr>
              <w:t>log</w:t>
            </w:r>
            <w:r>
              <w:rPr>
                <w:rFonts w:ascii="Times New Roman" w:hAnsi="Times New Roman" w:cs="Times New Roman" w:eastAsia="Times New Roman"/>
                <w:b w:val="0"/>
                <w:i w:val="0"/>
                <w:color w:val="000000"/>
                <w:sz w:val="20"/>
              </w:rPr>
              <w:t>=209.46 (&lt; .001)</w:t>
            </w:r>
          </w:p>
        </w:tc>
      </w:tr>
    </w:tbl>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All 180 dialogues achieved 100.0% goal completion. Simulator persona fidelity validation (</w:t>
      </w:r>
      <w:r>
        <w:rPr>
          <w:rFonts w:ascii="Times New Roman" w:hAnsi="Times New Roman" w:cs="Times New Roman" w:eastAsia="Times New Roman"/>
          <w:b w:val="0"/>
          <w:i/>
          <w:color w:val="000000"/>
          <w:sz w:val="24"/>
        </w:rPr>
        <w:t>gemini-2.5-pro</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45): 95.6% accuracy, κ = .933.</w:t>
      </w:r>
    </w:p>
    <w:p>
      <w:pPr>
        <w:keepNext/>
        <w:widowControl/>
        <w:spacing w:line="480" w:lineRule="auto" w:before="120" w:after="0"/>
        <w:ind w:firstLine="0" w:left="0"/>
        <w:jc w:val="left"/>
      </w:pPr>
      <w:bookmarkStart w:name="_RefFig8" w:id="243"/>
      <w:r>
        <w:rPr>
          <w:rFonts w:ascii="Times New Roman" w:hAnsi="Times New Roman" w:cs="Times New Roman" w:eastAsia="Times New Roman"/>
          <w:b/>
          <w:color w:val="000000"/>
          <w:sz w:val="24"/>
        </w:rPr>
        <w:t xml:space="preserve">Figure </w:t>
      </w:r>
      <w:bookmarkStart w:name="_RefFigN8" w:id="244"/>
      <w:r>
        <w:rPr>
          <w:rFonts w:ascii="Times New Roman" w:hAnsi="Times New Roman" w:cs="Times New Roman" w:eastAsia="Times New Roman"/>
          <w:b/>
          <w:color w:val="000000"/>
          <w:sz w:val="24"/>
        </w:rPr>
        <w:t>8</w:t>
      </w:r>
      <w:bookmarkEnd w:id="244"/>
      <w:bookmarkEnd w:id="243"/>
    </w:p>
    <w:p>
      <w:pPr>
        <w:keepNext/>
        <w:widowControl/>
        <w:spacing w:line="480" w:lineRule="auto" w:before="0" w:after="0"/>
        <w:ind w:firstLine="0" w:left="0"/>
        <w:jc w:val="left"/>
      </w:pPr>
      <w:r>
        <w:rPr>
          <w:rFonts w:ascii="Times New Roman" w:hAnsi="Times New Roman" w:cs="Times New Roman" w:eastAsia="Times New Roman"/>
          <w:b w:val="0"/>
          <w:i/>
          <w:color w:val="000000"/>
          <w:sz w:val="24"/>
        </w:rPr>
        <w:t>Dialogue Turn Economy and Redundant Elicitation Rate by User Archetype and Prompting Strategy</w:t>
      </w:r>
    </w:p>
    <w:p>
      <w:pPr>
        <w:keepNext/>
        <w:widowControl/>
        <w:spacing w:line="240" w:lineRule="auto" w:before="0" w:after="0"/>
        <w:ind w:firstLine="0" w:left="0"/>
        <w:jc w:val="center"/>
      </w:pPr>
      <w:r>
        <w:drawing>
          <wp:inline xmlns:a="http://schemas.openxmlformats.org/drawingml/2006/main" xmlns:pic="http://schemas.openxmlformats.org/drawingml/2006/picture">
            <wp:extent cx="4206240" cy="1609344"/>
            <wp:docPr id="8" name="Picture 8"/>
            <wp:cNvGraphicFramePr>
              <a:graphicFrameLocks noChangeAspect="1"/>
            </wp:cNvGraphicFramePr>
            <a:graphic>
              <a:graphicData uri="http://schemas.openxmlformats.org/drawingml/2006/picture">
                <pic:pic>
                  <pic:nvPicPr>
                    <pic:cNvPr id="0" name="fig_rq4_turn_economy_results.png"/>
                    <pic:cNvPicPr/>
                  </pic:nvPicPr>
                  <pic:blipFill>
                    <a:blip r:embed="rId18"/>
                    <a:stretch>
                      <a:fillRect/>
                    </a:stretch>
                  </pic:blipFill>
                  <pic:spPr>
                    <a:xfrm>
                      <a:off x="0" y="0"/>
                      <a:ext cx="4206240" cy="1609344"/>
                    </a:xfrm>
                    <a:prstGeom prst="rect"/>
                  </pic:spPr>
                </pic:pic>
              </a:graphicData>
            </a:graphic>
          </wp:inline>
        </w:drawing>
      </w:r>
    </w:p>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180 simulations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30/cell). Panel A: Mean turns to goal completion. Panel B: Mean Redundant Elicitation Rate (RER).</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Technical Interpretation, Business Significance, and Synthesis of Conclusions</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Technical synthesis across RQ1–RQ4.</w:t>
      </w:r>
      <w:r>
        <w:rPr>
          <w:rFonts w:ascii="Times New Roman" w:hAnsi="Times New Roman" w:cs="Times New Roman" w:eastAsia="Times New Roman"/>
          <w:b w:val="0"/>
          <w:i w:val="0"/>
          <w:color w:val="000000"/>
          <w:sz w:val="24"/>
        </w:rPr>
        <w:t xml:space="preserve"> Together, the four experiments establish a unified causal chain. First, RQ1 and RQ2 prove that </w:t>
      </w:r>
      <w:r>
        <w:rPr>
          <w:rFonts w:ascii="Times New Roman" w:hAnsi="Times New Roman" w:cs="Times New Roman" w:eastAsia="Times New Roman"/>
          <w:b/>
          <w:i w:val="0"/>
          <w:color w:val="000000"/>
          <w:sz w:val="24"/>
        </w:rPr>
        <w:t>in-context style adaptation is bounded by upstream representation and routing quality</w:t>
      </w:r>
      <w:r>
        <w:rPr>
          <w:rFonts w:ascii="Times New Roman" w:hAnsi="Times New Roman" w:cs="Times New Roman" w:eastAsia="Times New Roman"/>
          <w:b w:val="0"/>
          <w:i w:val="0"/>
          <w:color w:val="000000"/>
          <w:sz w:val="24"/>
        </w:rPr>
        <w:t>: whole-dialogue primary archetypes suffered from outcome confounding and near-chance early routing (39.4%, κ = .24), yielding a null RQ2 style effect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.211); truncating to opening user behavior via the </w:t>
      </w:r>
      <w:r>
        <w:rPr>
          <w:rFonts w:ascii="Times New Roman" w:hAnsi="Times New Roman" w:cs="Times New Roman" w:eastAsia="Times New Roman"/>
          <w:b w:val="0"/>
          <w:i/>
          <w:color w:val="000000"/>
          <w:sz w:val="24"/>
        </w:rPr>
        <w:t>Blocks</w:t>
      </w:r>
      <w:r>
        <w:rPr>
          <w:rFonts w:ascii="Times New Roman" w:hAnsi="Times New Roman" w:cs="Times New Roman" w:eastAsia="Times New Roman"/>
          <w:b w:val="0"/>
          <w:i w:val="0"/>
          <w:color w:val="000000"/>
          <w:sz w:val="24"/>
        </w:rPr>
        <w:t xml:space="preserve"> representation and routing in that exact space (70.1% accuracy at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5; 97.3% at </w:t>
      </w:r>
      <w:r>
        <w:rPr>
          <w:rFonts w:ascii="Times New Roman" w:hAnsi="Times New Roman" w:cs="Times New Roman" w:eastAsia="Times New Roman"/>
          <w:b w:val="0"/>
          <w:i/>
          <w:color w:val="000000"/>
          <w:sz w:val="24"/>
        </w:rPr>
        <w:t>M</w:t>
      </w:r>
      <w:r>
        <w:rPr>
          <w:rFonts w:ascii="Times New Roman" w:hAnsi="Times New Roman" w:cs="Times New Roman" w:eastAsia="Times New Roman"/>
          <w:b w:val="0"/>
          <w:i w:val="0"/>
          <w:color w:val="000000"/>
          <w:sz w:val="24"/>
        </w:rPr>
        <w:t xml:space="preserve"> = 9) unlocked significant style convergence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η</w:t>
      </w:r>
      <w:r>
        <w:rPr>
          <w:rFonts w:ascii="Times New Roman" w:hAnsi="Times New Roman" w:cs="Times New Roman" w:eastAsia="Times New Roman"/>
          <w:b w:val="0"/>
          <w:i/>
          <w:color w:val="000000"/>
          <w:sz w:val="24"/>
          <w:vertAlign w:val="subscript"/>
        </w:rPr>
        <w:t>p</w:t>
      </w:r>
      <w:r>
        <w:rPr>
          <w:rFonts w:ascii="Times New Roman" w:hAnsi="Times New Roman" w:cs="Times New Roman" w:eastAsia="Times New Roman"/>
          <w:b w:val="0"/>
          <w:i w:val="0"/>
          <w:color w:val="000000"/>
          <w:sz w:val="24"/>
          <w:vertAlign w:val="superscript"/>
        </w:rPr>
        <w:t>2</w:t>
      </w:r>
      <w:r>
        <w:rPr>
          <w:rFonts w:ascii="Times New Roman" w:hAnsi="Times New Roman" w:cs="Times New Roman" w:eastAsia="Times New Roman"/>
          <w:b w:val="0"/>
          <w:i w:val="0"/>
          <w:color w:val="000000"/>
          <w:sz w:val="24"/>
        </w:rPr>
        <w:t xml:space="preserve"> = .234) and reduced pacing error from 10.12 to 3.87 words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 .007). Second, RQ3 proves </w:t>
      </w:r>
      <w:r>
        <w:rPr>
          <w:rFonts w:ascii="Times New Roman" w:hAnsi="Times New Roman" w:cs="Times New Roman" w:eastAsia="Times New Roman"/>
          <w:b/>
          <w:i w:val="0"/>
          <w:color w:val="000000"/>
          <w:sz w:val="24"/>
        </w:rPr>
        <w:t>functional orthogonality with protective interaction</w:t>
      </w:r>
      <w:r>
        <w:rPr>
          <w:rFonts w:ascii="Times New Roman" w:hAnsi="Times New Roman" w:cs="Times New Roman" w:eastAsia="Times New Roman"/>
          <w:b w:val="0"/>
          <w:i w:val="0"/>
          <w:color w:val="000000"/>
          <w:sz w:val="24"/>
        </w:rPr>
        <w:t>: prompting governs style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24.00,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whereas declarative verification governs policy compliance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43.92,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and slot grounding (</w:t>
      </w:r>
      <w:r>
        <w:rPr>
          <w:rFonts w:ascii="Times New Roman" w:hAnsi="Times New Roman" w:cs="Times New Roman" w:eastAsia="Times New Roman"/>
          <w:b w:val="0"/>
          <w:i/>
          <w:color w:val="000000"/>
          <w:sz w:val="24"/>
        </w:rPr>
        <w:t>F</w:t>
      </w:r>
      <w:r>
        <w:rPr>
          <w:rFonts w:ascii="Times New Roman" w:hAnsi="Times New Roman" w:cs="Times New Roman" w:eastAsia="Times New Roman"/>
          <w:b w:val="0"/>
          <w:i w:val="0"/>
          <w:color w:val="000000"/>
          <w:sz w:val="24"/>
        </w:rPr>
        <w:t xml:space="preserve"> = 489.52, </w:t>
      </w:r>
      <w:r>
        <w:rPr>
          <w:rFonts w:ascii="Times New Roman" w:hAnsi="Times New Roman" w:cs="Times New Roman" w:eastAsia="Times New Roman"/>
          <w:b w:val="0"/>
          <w:i/>
          <w:color w:val="000000"/>
          <w:sz w:val="24"/>
        </w:rPr>
        <w:t>p</w:t>
      </w:r>
      <w:r>
        <w:rPr>
          <w:rFonts w:ascii="Times New Roman" w:hAnsi="Times New Roman" w:cs="Times New Roman" w:eastAsia="Times New Roman"/>
          <w:b w:val="0"/>
          <w:i w:val="0"/>
          <w:color w:val="000000"/>
          <w:sz w:val="24"/>
        </w:rPr>
        <w:t xml:space="preserve"> &lt; .001) while neutralizing the 35.9% entity leakage of unguarded few-shot exemplars. Third, RQ4 proves that pairing archetype-tailored recommendation policies with a Verified Informed Slot Ledger compresses multi-turn sessions by 29.5%–42.7% and eliminates redundant slot questions.</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Practical business significance.</w:t>
      </w:r>
      <w:r>
        <w:rPr>
          <w:rFonts w:ascii="Times New Roman" w:hAnsi="Times New Roman" w:cs="Times New Roman" w:eastAsia="Times New Roman"/>
          <w:b w:val="0"/>
          <w:i w:val="0"/>
          <w:color w:val="000000"/>
          <w:sz w:val="24"/>
        </w:rPr>
        <w:t xml:space="preserve"> For an online travel agency or hospitality contact center handling 1,000,000 monthly sessions, reducing mean conversation length from 7.93 turns (Zero-Shot) to 5.09 turns (Cluster-Adaptive)—a 35.8% reduction (2.84 turns)—saves 2.84 million LLM generation calls per month, cutting inference cost and session latency by over one-third. Simultaneously, eliminating redundant slot questions (10.9% → 0.0%), preventing exemplar price/promo hallucinations (55.6% incidence → 0.0%), and raising policy enforcement on invalid bookings from 5.6% to 98.6% directly mitigates chargebacks, regulatory penalties, and booking abandonment.</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Implementation, Limitations, and Future Scope</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Deployment Architecture, System Integration, and Real-World Use Case</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Enterprise deployment and integration.</w:t>
      </w:r>
      <w:r>
        <w:rPr>
          <w:rFonts w:ascii="Times New Roman" w:hAnsi="Times New Roman" w:cs="Times New Roman" w:eastAsia="Times New Roman"/>
          <w:b w:val="0"/>
          <w:i w:val="0"/>
          <w:color w:val="000000"/>
          <w:sz w:val="24"/>
        </w:rPr>
        <w:t xml:space="preserve"> The pipeline (</w:t>
      </w:r>
      <w:r>
        <w:rPr>
          <w:rFonts w:ascii="Times New Roman" w:hAnsi="Times New Roman" w:cs="Times New Roman" w:eastAsia="Times New Roman"/>
          <w:b w:val="0"/>
          <w:i/>
          <w:color w:val="000000"/>
          <w:sz w:val="24"/>
        </w:rPr>
        <w:t>src/final_pipeline/</w:t>
      </w:r>
      <w:r>
        <w:rPr>
          <w:rFonts w:ascii="Times New Roman" w:hAnsi="Times New Roman" w:cs="Times New Roman" w:eastAsia="Times New Roman"/>
          <w:b w:val="0"/>
          <w:i w:val="0"/>
          <w:color w:val="000000"/>
          <w:sz w:val="24"/>
        </w:rPr>
        <w:t xml:space="preserve">) deploys as a stateless Python microservice between an OTA's WebSocket chat gateway and its reservation API. Active sessions store the canonical </w:t>
      </w:r>
      <w:r>
        <w:rPr>
          <w:rFonts w:ascii="Times New Roman" w:hAnsi="Times New Roman" w:cs="Times New Roman" w:eastAsia="Times New Roman"/>
          <w:b w:val="0"/>
          <w:i/>
          <w:color w:val="000000"/>
          <w:sz w:val="24"/>
        </w:rPr>
        <w:t>DialogueTrajectory</w:t>
      </w:r>
      <w:r>
        <w:rPr>
          <w:rFonts w:ascii="Times New Roman" w:hAnsi="Times New Roman" w:cs="Times New Roman" w:eastAsia="Times New Roman"/>
          <w:b w:val="0"/>
          <w:i w:val="0"/>
          <w:color w:val="000000"/>
          <w:sz w:val="24"/>
        </w:rPr>
        <w:t xml:space="preserve"> and </w:t>
      </w:r>
      <w:r>
        <w:rPr>
          <w:rFonts w:ascii="Times New Roman" w:hAnsi="Times New Roman" w:cs="Times New Roman" w:eastAsia="Times New Roman"/>
          <w:b w:val="0"/>
          <w:i/>
          <w:color w:val="000000"/>
          <w:sz w:val="24"/>
        </w:rPr>
        <w:t>Verified Informed Slot Ledger</w:t>
      </w:r>
      <w:r>
        <w:rPr>
          <w:rFonts w:ascii="Times New Roman" w:hAnsi="Times New Roman" w:cs="Times New Roman" w:eastAsia="Times New Roman"/>
          <w:b w:val="0"/>
          <w:i w:val="0"/>
          <w:color w:val="000000"/>
          <w:sz w:val="24"/>
        </w:rPr>
        <w:t xml:space="preserve"> in Redis, query in-memory </w:t>
      </w:r>
      <w:r>
        <w:rPr>
          <w:rFonts w:ascii="Times New Roman" w:hAnsi="Times New Roman" w:cs="Times New Roman" w:eastAsia="Times New Roman"/>
          <w:b w:val="0"/>
          <w:i/>
          <w:color w:val="000000"/>
          <w:sz w:val="24"/>
        </w:rPr>
        <w:t>faiss-cpu</w:t>
      </w:r>
      <w:r>
        <w:rPr>
          <w:rFonts w:ascii="Times New Roman" w:hAnsi="Times New Roman" w:cs="Times New Roman" w:eastAsia="Times New Roman"/>
          <w:b w:val="0"/>
          <w:i w:val="0"/>
          <w:color w:val="000000"/>
          <w:sz w:val="24"/>
        </w:rPr>
        <w:t xml:space="preserve"> archetype sub-indices (&lt; 2 ms), run deterministic YAML policy checks via </w:t>
      </w:r>
      <w:r>
        <w:rPr>
          <w:rFonts w:ascii="Times New Roman" w:hAnsi="Times New Roman" w:cs="Times New Roman" w:eastAsia="Times New Roman"/>
          <w:b w:val="0"/>
          <w:i/>
          <w:color w:val="000000"/>
          <w:sz w:val="24"/>
        </w:rPr>
        <w:t>src/rule_engine.py</w:t>
      </w:r>
      <w:r>
        <w:rPr>
          <w:rFonts w:ascii="Times New Roman" w:hAnsi="Times New Roman" w:cs="Times New Roman" w:eastAsia="Times New Roman"/>
          <w:b w:val="0"/>
          <w:i w:val="0"/>
          <w:color w:val="000000"/>
          <w:sz w:val="24"/>
        </w:rPr>
        <w:t xml:space="preserve"> (&lt; 1 ms), and call </w:t>
      </w:r>
      <w:r>
        <w:rPr>
          <w:rFonts w:ascii="Times New Roman" w:hAnsi="Times New Roman" w:cs="Times New Roman" w:eastAsia="Times New Roman"/>
          <w:b w:val="0"/>
          <w:i/>
          <w:color w:val="000000"/>
          <w:sz w:val="24"/>
        </w:rPr>
        <w:t>gemini-2.5-flash</w:t>
      </w:r>
      <w:r>
        <w:rPr>
          <w:rFonts w:ascii="Times New Roman" w:hAnsi="Times New Roman" w:cs="Times New Roman" w:eastAsia="Times New Roman"/>
          <w:b w:val="0"/>
          <w:i w:val="0"/>
          <w:color w:val="000000"/>
          <w:sz w:val="24"/>
        </w:rPr>
        <w:t xml:space="preserve"> with post-generation entity verification.</w:t>
      </w:r>
    </w:p>
    <w:p>
      <w:pPr>
        <w:keepNext w:val="0"/>
        <w:widowControl/>
        <w:spacing w:line="480" w:lineRule="auto" w:before="0" w:after="0"/>
        <w:ind w:firstLine="720" w:left="0"/>
        <w:jc w:val="left"/>
      </w:pPr>
      <w:r>
        <w:rPr>
          <w:rFonts w:ascii="Times New Roman" w:hAnsi="Times New Roman" w:cs="Times New Roman" w:eastAsia="Times New Roman"/>
          <w:b w:val="0"/>
          <w:i/>
          <w:color w:val="000000"/>
          <w:sz w:val="24"/>
        </w:rPr>
        <w:t>Real-world use case.</w:t>
      </w:r>
      <w:r>
        <w:rPr>
          <w:rFonts w:ascii="Times New Roman" w:hAnsi="Times New Roman" w:cs="Times New Roman" w:eastAsia="Times New Roman"/>
          <w:b w:val="0"/>
          <w:i w:val="0"/>
          <w:color w:val="000000"/>
          <w:sz w:val="24"/>
        </w:rPr>
        <w:t xml:space="preserve"> When a traveler states, </w:t>
      </w:r>
      <w:r>
        <w:rPr>
          <w:rFonts w:ascii="Times New Roman" w:hAnsi="Times New Roman" w:cs="Times New Roman" w:eastAsia="Times New Roman"/>
          <w:b w:val="0"/>
          <w:i/>
          <w:color w:val="000000"/>
          <w:sz w:val="24"/>
        </w:rPr>
        <w:t>'I want a 10-day trip from Chicago to Tokyo departing in 10 days for 2 adults with a 5-star hotel under $2,200,'</w:t>
      </w:r>
      <w:r>
        <w:rPr>
          <w:rFonts w:ascii="Times New Roman" w:hAnsi="Times New Roman" w:cs="Times New Roman" w:eastAsia="Times New Roman"/>
          <w:b w:val="0"/>
          <w:i w:val="0"/>
          <w:color w:val="000000"/>
          <w:sz w:val="24"/>
        </w:rPr>
        <w:t xml:space="preserve"> a static chatbot asks repetitive slot questions and misses the 15-day visa lead-time rule. Under our deployed system: (1) </w:t>
      </w:r>
      <w:r>
        <w:rPr>
          <w:rFonts w:ascii="Times New Roman" w:hAnsi="Times New Roman" w:cs="Times New Roman" w:eastAsia="Times New Roman"/>
          <w:b w:val="0"/>
          <w:i/>
          <w:color w:val="000000"/>
          <w:sz w:val="24"/>
        </w:rPr>
        <w:t>RefinedArchetypeRouter</w:t>
      </w:r>
      <w:r>
        <w:rPr>
          <w:rFonts w:ascii="Times New Roman" w:hAnsi="Times New Roman" w:cs="Times New Roman" w:eastAsia="Times New Roman"/>
          <w:b w:val="0"/>
          <w:i w:val="0"/>
          <w:color w:val="000000"/>
          <w:sz w:val="24"/>
        </w:rPr>
        <w:t xml:space="preserve"> routes the session to </w:t>
      </w:r>
      <w:r>
        <w:rPr>
          <w:rFonts w:ascii="Times New Roman" w:hAnsi="Times New Roman" w:cs="Times New Roman" w:eastAsia="Times New Roman"/>
          <w:b w:val="0"/>
          <w:i/>
          <w:color w:val="000000"/>
          <w:sz w:val="24"/>
        </w:rPr>
        <w:t>Rigid-Constraint Seeker</w:t>
      </w:r>
      <w:r>
        <w:rPr>
          <w:rFonts w:ascii="Times New Roman" w:hAnsi="Times New Roman" w:cs="Times New Roman" w:eastAsia="Times New Roman"/>
          <w:b w:val="0"/>
          <w:i w:val="0"/>
          <w:color w:val="000000"/>
          <w:sz w:val="24"/>
        </w:rPr>
        <w:t xml:space="preserve">; (2) the slot ledger locks all five stated slots against re-asking; (3) </w:t>
      </w:r>
      <w:r>
        <w:rPr>
          <w:rFonts w:ascii="Times New Roman" w:hAnsi="Times New Roman" w:cs="Times New Roman" w:eastAsia="Times New Roman"/>
          <w:b w:val="0"/>
          <w:i/>
          <w:color w:val="000000"/>
          <w:sz w:val="24"/>
        </w:rPr>
        <w:t>RuleEngine</w:t>
      </w:r>
      <w:r>
        <w:rPr>
          <w:rFonts w:ascii="Times New Roman" w:hAnsi="Times New Roman" w:cs="Times New Roman" w:eastAsia="Times New Roman"/>
          <w:b w:val="0"/>
          <w:i w:val="0"/>
          <w:color w:val="000000"/>
          <w:sz w:val="24"/>
        </w:rPr>
        <w:t xml:space="preserve"> flags </w:t>
      </w:r>
      <w:r>
        <w:rPr>
          <w:rFonts w:ascii="Times New Roman" w:hAnsi="Times New Roman" w:cs="Times New Roman" w:eastAsia="Times New Roman"/>
          <w:b w:val="0"/>
          <w:i/>
          <w:color w:val="000000"/>
          <w:sz w:val="24"/>
        </w:rPr>
        <w:t>RULE_VISA_LEAD_TIME</w:t>
      </w:r>
      <w:r>
        <w:rPr>
          <w:rFonts w:ascii="Times New Roman" w:hAnsi="Times New Roman" w:cs="Times New Roman" w:eastAsia="Times New Roman"/>
          <w:b w:val="0"/>
          <w:i w:val="0"/>
          <w:color w:val="000000"/>
          <w:sz w:val="24"/>
        </w:rPr>
        <w:t xml:space="preserve"> (&lt; 15 days) and detects that the exact-date 5-star package ($2,596) exceeds $2,200; and (4) the assistant immediately notifies the user of the 15-day visa requirement while presenting both the 4-star package ($1,936) and the flexible-date 5-star package ($2,068) within budget, completing the booking in 5 turns with zero compliance risk.</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Computational Reproducibility and Operational Requirements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All code, random seeds (seed = 42), prompts, and JSONL caches (</w:t>
      </w:r>
      <w:r>
        <w:rPr>
          <w:rFonts w:ascii="Times New Roman" w:hAnsi="Times New Roman" w:cs="Times New Roman" w:eastAsia="Times New Roman"/>
          <w:b w:val="0"/>
          <w:i/>
          <w:color w:val="000000"/>
          <w:sz w:val="24"/>
        </w:rPr>
        <w:t>data/interim/*.jsonl</w:t>
      </w:r>
      <w:r>
        <w:rPr>
          <w:rFonts w:ascii="Times New Roman" w:hAnsi="Times New Roman" w:cs="Times New Roman" w:eastAsia="Times New Roman"/>
          <w:b w:val="0"/>
          <w:i w:val="0"/>
          <w:color w:val="000000"/>
          <w:sz w:val="24"/>
        </w:rPr>
        <w:t xml:space="preserve">, </w:t>
      </w:r>
      <w:r>
        <w:rPr>
          <w:rFonts w:ascii="Times New Roman" w:hAnsi="Times New Roman" w:cs="Times New Roman" w:eastAsia="Times New Roman"/>
          <w:b w:val="0"/>
          <w:i/>
          <w:color w:val="000000"/>
          <w:sz w:val="24"/>
        </w:rPr>
        <w:t>data/final/*.jsonl</w:t>
      </w:r>
      <w:r>
        <w:rPr>
          <w:rFonts w:ascii="Times New Roman" w:hAnsi="Times New Roman" w:cs="Times New Roman" w:eastAsia="Times New Roman"/>
          <w:b w:val="0"/>
          <w:i w:val="0"/>
          <w:color w:val="000000"/>
          <w:sz w:val="24"/>
        </w:rPr>
        <w:t xml:space="preserve">) are versioned at </w:t>
      </w:r>
      <w:hyperlink r:id="rId10" w:history="1">
        <w:r>
          <w:rPr>
            <w:rFonts w:ascii="Times New Roman" w:hAnsi="Times New Roman" w:cs="Times New Roman" w:eastAsia="Times New Roman"/>
            <w:b w:val="0"/>
            <w:i w:val="0"/>
            <w:color w:val="000000"/>
            <w:sz w:val="24"/>
          </w:rPr>
          <w:t>https://github.com/surnella/QM640-Dialogue-Clustering-Capstone</w:t>
        </w:r>
      </w:hyperlink>
      <w:r>
        <w:rPr>
          <w:rFonts w:ascii="Times New Roman" w:hAnsi="Times New Roman" w:cs="Times New Roman" w:eastAsia="Times New Roman"/>
          <w:b w:val="0"/>
          <w:i w:val="0"/>
          <w:color w:val="000000"/>
          <w:sz w:val="24"/>
        </w:rPr>
        <w:t>. Re-running the entire study from cached responses on a standard laptop (Apple M-series or 4-core CPU, 16 GB RAM, Python 3.11) completes in under 4 minutes at zero API cost. Cold regeneration of all ~8,900 Gemini API calls across RQ1–RQ4 completes in ~35 minutes using 8–12 workers and costs under $4.50 USD at standard Gemini 2.5 Flash/Pro pricing.</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Study Limitations and Threats to Validity</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Four limitations bound this study: (1) </w:t>
      </w:r>
      <w:r>
        <w:rPr>
          <w:rFonts w:ascii="Times New Roman" w:hAnsi="Times New Roman" w:cs="Times New Roman" w:eastAsia="Times New Roman"/>
          <w:b/>
          <w:i w:val="0"/>
          <w:color w:val="000000"/>
          <w:sz w:val="24"/>
        </w:rPr>
        <w:t>continuous archetype geometry</w:t>
      </w:r>
      <w:r>
        <w:rPr>
          <w:rFonts w:ascii="Times New Roman" w:hAnsi="Times New Roman" w:cs="Times New Roman" w:eastAsia="Times New Roman"/>
          <w:b w:val="0"/>
          <w:i w:val="0"/>
          <w:color w:val="000000"/>
          <w:sz w:val="24"/>
        </w:rPr>
        <w:t xml:space="preserve">, as modest Silhouette scores (.099–.268) indicate that traveler styles form a continuous behavioral manifold rather than discrete clusters; (2) </w:t>
      </w:r>
      <w:r>
        <w:rPr>
          <w:rFonts w:ascii="Times New Roman" w:hAnsi="Times New Roman" w:cs="Times New Roman" w:eastAsia="Times New Roman"/>
          <w:b/>
          <w:i w:val="0"/>
          <w:color w:val="000000"/>
          <w:sz w:val="24"/>
        </w:rPr>
        <w:t>early-turn routing latency</w:t>
      </w:r>
      <w:r>
        <w:rPr>
          <w:rFonts w:ascii="Times New Roman" w:hAnsi="Times New Roman" w:cs="Times New Roman" w:eastAsia="Times New Roman"/>
          <w:b w:val="0"/>
          <w:i w:val="0"/>
          <w:color w:val="000000"/>
          <w:sz w:val="24"/>
        </w:rPr>
        <w:t xml:space="preserve">, since high-agreement </w:t>
      </w:r>
      <w:r>
        <w:rPr>
          <w:rFonts w:ascii="Times New Roman" w:hAnsi="Times New Roman" w:cs="Times New Roman" w:eastAsia="Times New Roman"/>
          <w:b w:val="0"/>
          <w:i/>
          <w:color w:val="000000"/>
          <w:sz w:val="24"/>
        </w:rPr>
        <w:t>Blocks</w:t>
      </w:r>
      <w:r>
        <w:rPr>
          <w:rFonts w:ascii="Times New Roman" w:hAnsi="Times New Roman" w:cs="Times New Roman" w:eastAsia="Times New Roman"/>
          <w:b w:val="0"/>
          <w:i w:val="0"/>
          <w:color w:val="000000"/>
          <w:sz w:val="24"/>
        </w:rPr>
        <w:t xml:space="preserve"> routing (κ = .535–.958) requires 5–9 user messages, leaving Turn 1 cold-start routing noisy; (3) </w:t>
      </w:r>
      <w:r>
        <w:rPr>
          <w:rFonts w:ascii="Times New Roman" w:hAnsi="Times New Roman" w:cs="Times New Roman" w:eastAsia="Times New Roman"/>
          <w:b/>
          <w:i w:val="0"/>
          <w:color w:val="000000"/>
          <w:sz w:val="24"/>
        </w:rPr>
        <w:t>corpus and synthetic Tier-2 scope</w:t>
      </w:r>
      <w:r>
        <w:rPr>
          <w:rFonts w:ascii="Times New Roman" w:hAnsi="Times New Roman" w:cs="Times New Roman" w:eastAsia="Times New Roman"/>
          <w:b w:val="0"/>
          <w:i w:val="0"/>
          <w:color w:val="000000"/>
          <w:sz w:val="24"/>
        </w:rPr>
        <w:t xml:space="preserve">, because Frames uses role-players and Tier-2 rules (visa, passport, discount caps) required synthetic injection in RQ3; and (4) </w:t>
      </w:r>
      <w:r>
        <w:rPr>
          <w:rFonts w:ascii="Times New Roman" w:hAnsi="Times New Roman" w:cs="Times New Roman" w:eastAsia="Times New Roman"/>
          <w:b/>
          <w:i w:val="0"/>
          <w:color w:val="000000"/>
          <w:sz w:val="24"/>
        </w:rPr>
        <w:t>simulated users in RQ4</w:t>
      </w:r>
      <w:r>
        <w:rPr>
          <w:rFonts w:ascii="Times New Roman" w:hAnsi="Times New Roman" w:cs="Times New Roman" w:eastAsia="Times New Roman"/>
          <w:b w:val="0"/>
          <w:i w:val="0"/>
          <w:color w:val="000000"/>
          <w:sz w:val="24"/>
        </w:rPr>
        <w:t>, where cooperative LLM personas (despite 95.6% fidelity, κ = .933) may yield larger turn reductions than noisy live consumer traffic.</w:t>
      </w:r>
    </w:p>
    <w:p>
      <w:pPr>
        <w:pStyle w:val="Heading2"/>
        <w:keepNext/>
        <w:pageBreakBefore w:val="0"/>
        <w:widowControl/>
        <w:spacing w:line="480" w:lineRule="auto" w:before="0" w:after="0"/>
        <w:ind w:firstLine="0" w:left="0"/>
        <w:jc w:val="left"/>
      </w:pPr>
      <w:r>
        <w:rPr>
          <w:rFonts w:ascii="Times New Roman" w:hAnsi="Times New Roman" w:cs="Times New Roman" w:eastAsia="Times New Roman"/>
          <w:b/>
          <w:i w:val="0"/>
          <w:color w:val="000000"/>
          <w:sz w:val="24"/>
        </w:rPr>
        <w:t>Future Scope and Research Extensions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Future work should pursue: (1) </w:t>
      </w:r>
      <w:r>
        <w:rPr>
          <w:rFonts w:ascii="Times New Roman" w:hAnsi="Times New Roman" w:cs="Times New Roman" w:eastAsia="Times New Roman"/>
          <w:b/>
          <w:i w:val="0"/>
          <w:color w:val="000000"/>
          <w:sz w:val="24"/>
        </w:rPr>
        <w:t>soft-mixture routing</w:t>
      </w:r>
      <w:r>
        <w:rPr>
          <w:rFonts w:ascii="Times New Roman" w:hAnsi="Times New Roman" w:cs="Times New Roman" w:eastAsia="Times New Roman"/>
          <w:b w:val="0"/>
          <w:i w:val="0"/>
          <w:color w:val="000000"/>
          <w:sz w:val="24"/>
        </w:rPr>
        <w:t xml:space="preserve"> that blends exemplars using posterior cluster probabilities for boundary travelers; (2) </w:t>
      </w:r>
      <w:r>
        <w:rPr>
          <w:rFonts w:ascii="Times New Roman" w:hAnsi="Times New Roman" w:cs="Times New Roman" w:eastAsia="Times New Roman"/>
          <w:b/>
          <w:i w:val="0"/>
          <w:color w:val="000000"/>
          <w:sz w:val="24"/>
        </w:rPr>
        <w:t>turn-by-turn Bayesian re-routing</w:t>
      </w:r>
      <w:r>
        <w:rPr>
          <w:rFonts w:ascii="Times New Roman" w:hAnsi="Times New Roman" w:cs="Times New Roman" w:eastAsia="Times New Roman"/>
          <w:b w:val="0"/>
          <w:i w:val="0"/>
          <w:color w:val="000000"/>
          <w:sz w:val="24"/>
        </w:rPr>
        <w:t xml:space="preserve"> from Turn 1 onward; (3) </w:t>
      </w:r>
      <w:r>
        <w:rPr>
          <w:rFonts w:ascii="Times New Roman" w:hAnsi="Times New Roman" w:cs="Times New Roman" w:eastAsia="Times New Roman"/>
          <w:b/>
          <w:i w:val="0"/>
          <w:color w:val="000000"/>
          <w:sz w:val="24"/>
        </w:rPr>
        <w:t>cross-model and multilingual benchmarking</w:t>
      </w:r>
      <w:r>
        <w:rPr>
          <w:rFonts w:ascii="Times New Roman" w:hAnsi="Times New Roman" w:cs="Times New Roman" w:eastAsia="Times New Roman"/>
          <w:b w:val="0"/>
          <w:i w:val="0"/>
          <w:color w:val="000000"/>
          <w:sz w:val="24"/>
        </w:rPr>
        <w:t xml:space="preserve"> on open-weights LLMs (Llama 3, Qwen) and voice channels; and (4) </w:t>
      </w:r>
      <w:r>
        <w:rPr>
          <w:rFonts w:ascii="Times New Roman" w:hAnsi="Times New Roman" w:cs="Times New Roman" w:eastAsia="Times New Roman"/>
          <w:b/>
          <w:i w:val="0"/>
          <w:color w:val="000000"/>
          <w:sz w:val="24"/>
        </w:rPr>
        <w:t>live OTA A/B testing</w:t>
      </w:r>
      <w:r>
        <w:rPr>
          <w:rFonts w:ascii="Times New Roman" w:hAnsi="Times New Roman" w:cs="Times New Roman" w:eastAsia="Times New Roman"/>
          <w:b w:val="0"/>
          <w:i w:val="0"/>
          <w:color w:val="000000"/>
          <w:sz w:val="24"/>
        </w:rPr>
        <w:t xml:space="preserve"> to measure real-world conversion lift, abandonment, and CSAT.</w:t>
      </w:r>
    </w:p>
    <w:p>
      <w:pPr>
        <w:pStyle w:val="Heading1"/>
        <w:keepNext/>
        <w:pageBreakBefore/>
        <w:widowControl/>
        <w:spacing w:line="480" w:lineRule="auto" w:before="0" w:after="0"/>
        <w:ind w:firstLine="0" w:left="0"/>
        <w:jc w:val="center"/>
      </w:pPr>
      <w:r>
        <w:rPr>
          <w:rFonts w:ascii="Times New Roman" w:hAnsi="Times New Roman" w:cs="Times New Roman" w:eastAsia="Times New Roman"/>
          <w:b/>
          <w:i w:val="0"/>
          <w:color w:val="000000"/>
          <w:sz w:val="24"/>
        </w:rPr>
        <w:t>References</w:t>
      </w:r>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Acikgoz, E. C., Guo, C., Dey, S., Datta, A., Kim, T., Tur, G., &amp; Hakkani-Tür, D. (2025). TD-EVAL: Revisiting task-oriented dialogue evaluation by combining turn-level precision with dialogue-level comparisons. In </w:t>
      </w:r>
      <w:r>
        <w:rPr>
          <w:rFonts w:ascii="Times New Roman" w:hAnsi="Times New Roman" w:cs="Times New Roman" w:eastAsia="Times New Roman"/>
          <w:b w:val="0"/>
          <w:i/>
          <w:color w:val="000000"/>
          <w:sz w:val="24"/>
        </w:rPr>
        <w:t>Proceedings of the 26th Annual Meeting of the Special Interest Group on Discourse and Dialogue</w:t>
      </w:r>
      <w:r>
        <w:rPr>
          <w:rFonts w:ascii="Times New Roman" w:hAnsi="Times New Roman" w:cs="Times New Roman" w:eastAsia="Times New Roman"/>
          <w:b w:val="0"/>
          <w:i w:val="0"/>
          <w:color w:val="000000"/>
          <w:sz w:val="24"/>
        </w:rPr>
        <w:t xml:space="preserve"> (pp. 113–132). Association for Computational Linguistics. </w:t>
      </w:r>
      <w:hyperlink r:id="rId19" w:history="1">
        <w:r>
          <w:rPr>
            <w:rFonts w:ascii="Times New Roman" w:hAnsi="Times New Roman" w:cs="Times New Roman" w:eastAsia="Times New Roman"/>
            <w:b w:val="0"/>
            <w:i w:val="0"/>
            <w:color w:val="000000"/>
            <w:sz w:val="24"/>
          </w:rPr>
          <w:t>https://doi.org/10.18653/v1/2025.sigdial-1.7</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Brown, T. B., Mann, B., Ryder, N., Subbiah, M., Kaplan, J., Dhariwal, P., Neelakantan, A., Shyam, P., Sastry, G., Askell, A., Agarwal, S., Herbert-Voss, A., Krueger, G., Henighan, T., Child, R., Ramesh, A., Ziegler, D. M., Wu, J., Winter, C., . . . Amodei, D. (2020). Language models are few-shot learners. In </w:t>
      </w:r>
      <w:r>
        <w:rPr>
          <w:rFonts w:ascii="Times New Roman" w:hAnsi="Times New Roman" w:cs="Times New Roman" w:eastAsia="Times New Roman"/>
          <w:b w:val="0"/>
          <w:i/>
          <w:color w:val="000000"/>
          <w:sz w:val="24"/>
        </w:rPr>
        <w:t>Advances in Neural Information Processing Systems</w:t>
      </w:r>
      <w:r>
        <w:rPr>
          <w:rFonts w:ascii="Times New Roman" w:hAnsi="Times New Roman" w:cs="Times New Roman" w:eastAsia="Times New Roman"/>
          <w:b w:val="0"/>
          <w:i w:val="0"/>
          <w:color w:val="000000"/>
          <w:sz w:val="24"/>
        </w:rPr>
        <w:t xml:space="preserve"> (Vol. 33, pp. 1877–1901). Curran Associates. </w:t>
      </w:r>
      <w:hyperlink r:id="rId20" w:history="1">
        <w:r>
          <w:rPr>
            <w:rFonts w:ascii="Times New Roman" w:hAnsi="Times New Roman" w:cs="Times New Roman" w:eastAsia="Times New Roman"/>
            <w:b w:val="0"/>
            <w:i w:val="0"/>
            <w:color w:val="000000"/>
            <w:sz w:val="24"/>
          </w:rPr>
          <w:t>https://doi.org/10.48550/arXiv.2005.14165</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Budzianowski, P., Wen, T.-H., Tseng, B.-H., Casanueva, I., Ultes, S., Ramadan, O., &amp; Gašić, M. (2018). MultiWOZ: A large-scale multi-domain Wizard-of-Oz dataset for task-oriented dialogue modelling. In </w:t>
      </w:r>
      <w:r>
        <w:rPr>
          <w:rFonts w:ascii="Times New Roman" w:hAnsi="Times New Roman" w:cs="Times New Roman" w:eastAsia="Times New Roman"/>
          <w:b w:val="0"/>
          <w:i/>
          <w:color w:val="000000"/>
          <w:sz w:val="24"/>
        </w:rPr>
        <w:t>Proceedings of the 2018 Conference on Empirical Methods in Natural Language Processing</w:t>
      </w:r>
      <w:r>
        <w:rPr>
          <w:rFonts w:ascii="Times New Roman" w:hAnsi="Times New Roman" w:cs="Times New Roman" w:eastAsia="Times New Roman"/>
          <w:b w:val="0"/>
          <w:i w:val="0"/>
          <w:color w:val="000000"/>
          <w:sz w:val="24"/>
        </w:rPr>
        <w:t xml:space="preserve"> (pp. 5016–5026). Association for Computational Linguistics. </w:t>
      </w:r>
      <w:hyperlink r:id="rId21" w:history="1">
        <w:r>
          <w:rPr>
            <w:rFonts w:ascii="Times New Roman" w:hAnsi="Times New Roman" w:cs="Times New Roman" w:eastAsia="Times New Roman"/>
            <w:b w:val="0"/>
            <w:i w:val="0"/>
            <w:color w:val="000000"/>
            <w:sz w:val="24"/>
          </w:rPr>
          <w:t>https://doi.org/10.18653/v1/D18-1547</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Buhalis, D., &amp; Sinarta, Y. (2019). Real-time co-creation and nowness service: Lessons from tourism and hospitality. </w:t>
      </w:r>
      <w:r>
        <w:rPr>
          <w:rFonts w:ascii="Times New Roman" w:hAnsi="Times New Roman" w:cs="Times New Roman" w:eastAsia="Times New Roman"/>
          <w:b w:val="0"/>
          <w:i/>
          <w:color w:val="000000"/>
          <w:sz w:val="24"/>
        </w:rPr>
        <w:t>Journal of Travel &amp; Tourism Marketing, 36</w:t>
      </w:r>
      <w:r>
        <w:rPr>
          <w:rFonts w:ascii="Times New Roman" w:hAnsi="Times New Roman" w:cs="Times New Roman" w:eastAsia="Times New Roman"/>
          <w:b w:val="0"/>
          <w:i w:val="0"/>
          <w:color w:val="000000"/>
          <w:sz w:val="24"/>
        </w:rPr>
        <w:t xml:space="preserve">(5), 563–582. </w:t>
      </w:r>
      <w:hyperlink r:id="rId22" w:history="1">
        <w:r>
          <w:rPr>
            <w:rFonts w:ascii="Times New Roman" w:hAnsi="Times New Roman" w:cs="Times New Roman" w:eastAsia="Times New Roman"/>
            <w:b w:val="0"/>
            <w:i w:val="0"/>
            <w:color w:val="000000"/>
            <w:sz w:val="24"/>
          </w:rPr>
          <w:t>https://doi.org/10.1080/10548408.2019.1592059</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Cohen, J. (1988). </w:t>
      </w:r>
      <w:r>
        <w:rPr>
          <w:rFonts w:ascii="Times New Roman" w:hAnsi="Times New Roman" w:cs="Times New Roman" w:eastAsia="Times New Roman"/>
          <w:b w:val="0"/>
          <w:i/>
          <w:color w:val="000000"/>
          <w:sz w:val="24"/>
        </w:rPr>
        <w:t>Statistical power analysis for the behavioral sciences</w:t>
      </w:r>
      <w:r>
        <w:rPr>
          <w:rFonts w:ascii="Times New Roman" w:hAnsi="Times New Roman" w:cs="Times New Roman" w:eastAsia="Times New Roman"/>
          <w:b w:val="0"/>
          <w:i w:val="0"/>
          <w:color w:val="000000"/>
          <w:sz w:val="24"/>
        </w:rPr>
        <w:t xml:space="preserve"> (2nd ed.). Lawrence Erlbaum Associates. </w:t>
      </w:r>
      <w:hyperlink r:id="rId23" w:history="1">
        <w:r>
          <w:rPr>
            <w:rFonts w:ascii="Times New Roman" w:hAnsi="Times New Roman" w:cs="Times New Roman" w:eastAsia="Times New Roman"/>
            <w:b w:val="0"/>
            <w:i w:val="0"/>
            <w:color w:val="000000"/>
            <w:sz w:val="24"/>
          </w:rPr>
          <w:t>https://doi.org/10.4324/9780203771587</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Davies, D. L., &amp; Bouldin, D. W. (1979). A cluster separation measure. </w:t>
      </w:r>
      <w:r>
        <w:rPr>
          <w:rFonts w:ascii="Times New Roman" w:hAnsi="Times New Roman" w:cs="Times New Roman" w:eastAsia="Times New Roman"/>
          <w:b w:val="0"/>
          <w:i/>
          <w:color w:val="000000"/>
          <w:sz w:val="24"/>
        </w:rPr>
        <w:t>IEEE Transactions on Pattern Analysis and Machine Intelligence, PAMI-1</w:t>
      </w:r>
      <w:r>
        <w:rPr>
          <w:rFonts w:ascii="Times New Roman" w:hAnsi="Times New Roman" w:cs="Times New Roman" w:eastAsia="Times New Roman"/>
          <w:b w:val="0"/>
          <w:i w:val="0"/>
          <w:color w:val="000000"/>
          <w:sz w:val="24"/>
        </w:rPr>
        <w:t xml:space="preserve">(2), 224–227. </w:t>
      </w:r>
      <w:hyperlink r:id="rId24" w:history="1">
        <w:r>
          <w:rPr>
            <w:rFonts w:ascii="Times New Roman" w:hAnsi="Times New Roman" w:cs="Times New Roman" w:eastAsia="Times New Roman"/>
            <w:b w:val="0"/>
            <w:i w:val="0"/>
            <w:color w:val="000000"/>
            <w:sz w:val="24"/>
          </w:rPr>
          <w:t>https://doi.org/10.1109/TPAMI.1979.4766909</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El Asri, L., Schulz, H., Sharma, S., Zumer, J., Harris, J., Fine, E., Mehrotra, R., &amp; Suleman, K. (2017). Frames: A corpus for adding memory to goal-oriented dialogue systems. In </w:t>
      </w:r>
      <w:r>
        <w:rPr>
          <w:rFonts w:ascii="Times New Roman" w:hAnsi="Times New Roman" w:cs="Times New Roman" w:eastAsia="Times New Roman"/>
          <w:b w:val="0"/>
          <w:i/>
          <w:color w:val="000000"/>
          <w:sz w:val="24"/>
        </w:rPr>
        <w:t>Proceedings of the 18th Annual SIGdial Meeting on Discourse and Dialogue</w:t>
      </w:r>
      <w:r>
        <w:rPr>
          <w:rFonts w:ascii="Times New Roman" w:hAnsi="Times New Roman" w:cs="Times New Roman" w:eastAsia="Times New Roman"/>
          <w:b w:val="0"/>
          <w:i w:val="0"/>
          <w:color w:val="000000"/>
          <w:sz w:val="24"/>
        </w:rPr>
        <w:t xml:space="preserve"> (pp. 207–219). Association for Computational Linguistics. </w:t>
      </w:r>
      <w:hyperlink r:id="rId25" w:history="1">
        <w:r>
          <w:rPr>
            <w:rFonts w:ascii="Times New Roman" w:hAnsi="Times New Roman" w:cs="Times New Roman" w:eastAsia="Times New Roman"/>
            <w:b w:val="0"/>
            <w:i w:val="0"/>
            <w:color w:val="000000"/>
            <w:sz w:val="24"/>
          </w:rPr>
          <w:t>https://doi.org/10.18653/v1/W17-5526</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Faul, F., Erdfelder, E., Lang, A.-G., &amp; Buchner, A. (2007). G*Power 3: A flexible statistical power analysis program for the social, behavioral, and biomedical sciences. </w:t>
      </w:r>
      <w:r>
        <w:rPr>
          <w:rFonts w:ascii="Times New Roman" w:hAnsi="Times New Roman" w:cs="Times New Roman" w:eastAsia="Times New Roman"/>
          <w:b w:val="0"/>
          <w:i/>
          <w:color w:val="000000"/>
          <w:sz w:val="24"/>
        </w:rPr>
        <w:t>Behavior Research Methods, 39</w:t>
      </w:r>
      <w:r>
        <w:rPr>
          <w:rFonts w:ascii="Times New Roman" w:hAnsi="Times New Roman" w:cs="Times New Roman" w:eastAsia="Times New Roman"/>
          <w:b w:val="0"/>
          <w:i w:val="0"/>
          <w:color w:val="000000"/>
          <w:sz w:val="24"/>
        </w:rPr>
        <w:t xml:space="preserve">(2), 175–191. </w:t>
      </w:r>
      <w:hyperlink r:id="rId26" w:history="1">
        <w:r>
          <w:rPr>
            <w:rFonts w:ascii="Times New Roman" w:hAnsi="Times New Roman" w:cs="Times New Roman" w:eastAsia="Times New Roman"/>
            <w:b w:val="0"/>
            <w:i w:val="0"/>
            <w:color w:val="000000"/>
            <w:sz w:val="24"/>
          </w:rPr>
          <w:t>https://doi.org/10.3758/BF03193146</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Gilardi, F., Alizadeh, M., &amp; Kubli, M. (2023). ChatGPT outperforms crowd workers for text-annotation tasks. </w:t>
      </w:r>
      <w:r>
        <w:rPr>
          <w:rFonts w:ascii="Times New Roman" w:hAnsi="Times New Roman" w:cs="Times New Roman" w:eastAsia="Times New Roman"/>
          <w:b w:val="0"/>
          <w:i/>
          <w:color w:val="000000"/>
          <w:sz w:val="24"/>
        </w:rPr>
        <w:t>Proceedings of the National Academy of Sciences, 120</w:t>
      </w:r>
      <w:r>
        <w:rPr>
          <w:rFonts w:ascii="Times New Roman" w:hAnsi="Times New Roman" w:cs="Times New Roman" w:eastAsia="Times New Roman"/>
          <w:b w:val="0"/>
          <w:i w:val="0"/>
          <w:color w:val="000000"/>
          <w:sz w:val="24"/>
        </w:rPr>
        <w:t xml:space="preserve">(30), Article e2305016120. </w:t>
      </w:r>
      <w:hyperlink r:id="rId27" w:history="1">
        <w:r>
          <w:rPr>
            <w:rFonts w:ascii="Times New Roman" w:hAnsi="Times New Roman" w:cs="Times New Roman" w:eastAsia="Times New Roman"/>
            <w:b w:val="0"/>
            <w:i w:val="0"/>
            <w:color w:val="000000"/>
            <w:sz w:val="24"/>
          </w:rPr>
          <w:t>https://doi.org/10.1073/pnas.2305016120</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Greenhouse, S. W., &amp; Geisser, S. (1959). On methods in the analysis of profile data. </w:t>
      </w:r>
      <w:r>
        <w:rPr>
          <w:rFonts w:ascii="Times New Roman" w:hAnsi="Times New Roman" w:cs="Times New Roman" w:eastAsia="Times New Roman"/>
          <w:b w:val="0"/>
          <w:i/>
          <w:color w:val="000000"/>
          <w:sz w:val="24"/>
        </w:rPr>
        <w:t>Psychometrika, 24</w:t>
      </w:r>
      <w:r>
        <w:rPr>
          <w:rFonts w:ascii="Times New Roman" w:hAnsi="Times New Roman" w:cs="Times New Roman" w:eastAsia="Times New Roman"/>
          <w:b w:val="0"/>
          <w:i w:val="0"/>
          <w:color w:val="000000"/>
          <w:sz w:val="24"/>
        </w:rPr>
        <w:t xml:space="preserve">(2), 95–112. </w:t>
      </w:r>
      <w:hyperlink r:id="rId28" w:history="1">
        <w:r>
          <w:rPr>
            <w:rFonts w:ascii="Times New Roman" w:hAnsi="Times New Roman" w:cs="Times New Roman" w:eastAsia="Times New Roman"/>
            <w:b w:val="0"/>
            <w:i w:val="0"/>
            <w:color w:val="000000"/>
            <w:sz w:val="24"/>
          </w:rPr>
          <w:t>https://doi.org/10.1007/BF02289823</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Hennig, C. (2007). Cluster-wise assessment of cluster stability. </w:t>
      </w:r>
      <w:r>
        <w:rPr>
          <w:rFonts w:ascii="Times New Roman" w:hAnsi="Times New Roman" w:cs="Times New Roman" w:eastAsia="Times New Roman"/>
          <w:b w:val="0"/>
          <w:i/>
          <w:color w:val="000000"/>
          <w:sz w:val="24"/>
        </w:rPr>
        <w:t>Computational Statistics &amp; Data Analysis, 52</w:t>
      </w:r>
      <w:r>
        <w:rPr>
          <w:rFonts w:ascii="Times New Roman" w:hAnsi="Times New Roman" w:cs="Times New Roman" w:eastAsia="Times New Roman"/>
          <w:b w:val="0"/>
          <w:i w:val="0"/>
          <w:color w:val="000000"/>
          <w:sz w:val="24"/>
        </w:rPr>
        <w:t xml:space="preserve">(1), 258–271. </w:t>
      </w:r>
      <w:hyperlink r:id="rId29" w:history="1">
        <w:r>
          <w:rPr>
            <w:rFonts w:ascii="Times New Roman" w:hAnsi="Times New Roman" w:cs="Times New Roman" w:eastAsia="Times New Roman"/>
            <w:b w:val="0"/>
            <w:i w:val="0"/>
            <w:color w:val="000000"/>
            <w:sz w:val="24"/>
          </w:rPr>
          <w:t>https://doi.org/10.1016/j.csda.2006.11.025</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Hubert, L., &amp; Arabie, P. (1985). Comparing partitions. </w:t>
      </w:r>
      <w:r>
        <w:rPr>
          <w:rFonts w:ascii="Times New Roman" w:hAnsi="Times New Roman" w:cs="Times New Roman" w:eastAsia="Times New Roman"/>
          <w:b w:val="0"/>
          <w:i/>
          <w:color w:val="000000"/>
          <w:sz w:val="24"/>
        </w:rPr>
        <w:t>Journal of Classification, 2</w:t>
      </w:r>
      <w:r>
        <w:rPr>
          <w:rFonts w:ascii="Times New Roman" w:hAnsi="Times New Roman" w:cs="Times New Roman" w:eastAsia="Times New Roman"/>
          <w:b w:val="0"/>
          <w:i w:val="0"/>
          <w:color w:val="000000"/>
          <w:sz w:val="24"/>
        </w:rPr>
        <w:t xml:space="preserve">(1), 193–218. </w:t>
      </w:r>
      <w:hyperlink r:id="rId30" w:history="1">
        <w:r>
          <w:rPr>
            <w:rFonts w:ascii="Times New Roman" w:hAnsi="Times New Roman" w:cs="Times New Roman" w:eastAsia="Times New Roman"/>
            <w:b w:val="0"/>
            <w:i w:val="0"/>
            <w:color w:val="000000"/>
            <w:sz w:val="24"/>
          </w:rPr>
          <w:t>https://doi.org/10.1007/BF01908075</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Inaba, M., Chiba, Y., Higashinaka, R., Komatani, K., Miyao, Y., &amp; Nagai, T. (2022). Collection and analysis of travel agency task dialogues with age-diverse speakers. In </w:t>
      </w:r>
      <w:r>
        <w:rPr>
          <w:rFonts w:ascii="Times New Roman" w:hAnsi="Times New Roman" w:cs="Times New Roman" w:eastAsia="Times New Roman"/>
          <w:b w:val="0"/>
          <w:i/>
          <w:color w:val="000000"/>
          <w:sz w:val="24"/>
        </w:rPr>
        <w:t>Proceedings of the Thirteenth Language Resources and Evaluation Conference</w:t>
      </w:r>
      <w:r>
        <w:rPr>
          <w:rFonts w:ascii="Times New Roman" w:hAnsi="Times New Roman" w:cs="Times New Roman" w:eastAsia="Times New Roman"/>
          <w:b w:val="0"/>
          <w:i w:val="0"/>
          <w:color w:val="000000"/>
          <w:sz w:val="24"/>
        </w:rPr>
        <w:t xml:space="preserve"> (pp. 5759–5767). European Language Resources Association. </w:t>
      </w:r>
      <w:hyperlink r:id="rId31" w:history="1">
        <w:r>
          <w:rPr>
            <w:rFonts w:ascii="Times New Roman" w:hAnsi="Times New Roman" w:cs="Times New Roman" w:eastAsia="Times New Roman"/>
            <w:b w:val="0"/>
            <w:i w:val="0"/>
            <w:color w:val="000000"/>
            <w:sz w:val="24"/>
          </w:rPr>
          <w:t>https://aclanthology.org/2022.lrec-1.619</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Ivanov, S., &amp; Webster, C. (2019). Conceptual framework of the use of robots, artificial intelligence and service automation in travel, tourism, and hospitality companies. In </w:t>
      </w:r>
      <w:r>
        <w:rPr>
          <w:rFonts w:ascii="Times New Roman" w:hAnsi="Times New Roman" w:cs="Times New Roman" w:eastAsia="Times New Roman"/>
          <w:b w:val="0"/>
          <w:i/>
          <w:color w:val="000000"/>
          <w:sz w:val="24"/>
        </w:rPr>
        <w:t>Robots, artificial intelligence, and service automation in travel, tourism and hospitality</w:t>
      </w:r>
      <w:r>
        <w:rPr>
          <w:rFonts w:ascii="Times New Roman" w:hAnsi="Times New Roman" w:cs="Times New Roman" w:eastAsia="Times New Roman"/>
          <w:b w:val="0"/>
          <w:i w:val="0"/>
          <w:color w:val="000000"/>
          <w:sz w:val="24"/>
        </w:rPr>
        <w:t xml:space="preserve"> (pp. 7–37). Emerald Publishing Limited. </w:t>
      </w:r>
      <w:hyperlink r:id="rId32" w:history="1">
        <w:r>
          <w:rPr>
            <w:rFonts w:ascii="Times New Roman" w:hAnsi="Times New Roman" w:cs="Times New Roman" w:eastAsia="Times New Roman"/>
            <w:b w:val="0"/>
            <w:i w:val="0"/>
            <w:color w:val="000000"/>
            <w:sz w:val="24"/>
          </w:rPr>
          <w:t>https://doi.org/10.1108/978-1-78756-687-320191001</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Jannach, D., Manzoor, A., Cai, W., &amp; Chen, L. (2021). A survey on conversational recommender systems. </w:t>
      </w:r>
      <w:r>
        <w:rPr>
          <w:rFonts w:ascii="Times New Roman" w:hAnsi="Times New Roman" w:cs="Times New Roman" w:eastAsia="Times New Roman"/>
          <w:b w:val="0"/>
          <w:i/>
          <w:color w:val="000000"/>
          <w:sz w:val="24"/>
        </w:rPr>
        <w:t>ACM Computing Surveys, 54</w:t>
      </w:r>
      <w:r>
        <w:rPr>
          <w:rFonts w:ascii="Times New Roman" w:hAnsi="Times New Roman" w:cs="Times New Roman" w:eastAsia="Times New Roman"/>
          <w:b w:val="0"/>
          <w:i w:val="0"/>
          <w:color w:val="000000"/>
          <w:sz w:val="24"/>
        </w:rPr>
        <w:t xml:space="preserve">(5), Article 105. </w:t>
      </w:r>
      <w:hyperlink r:id="rId33" w:history="1">
        <w:r>
          <w:rPr>
            <w:rFonts w:ascii="Times New Roman" w:hAnsi="Times New Roman" w:cs="Times New Roman" w:eastAsia="Times New Roman"/>
            <w:b w:val="0"/>
            <w:i w:val="0"/>
            <w:color w:val="000000"/>
            <w:sz w:val="24"/>
          </w:rPr>
          <w:t>https://doi.org/10.1145/3453154</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Johnson, J., Douze, M., &amp; Jégou, H. (2021). Billion-scale similarity search with GPUs. </w:t>
      </w:r>
      <w:r>
        <w:rPr>
          <w:rFonts w:ascii="Times New Roman" w:hAnsi="Times New Roman" w:cs="Times New Roman" w:eastAsia="Times New Roman"/>
          <w:b w:val="0"/>
          <w:i/>
          <w:color w:val="000000"/>
          <w:sz w:val="24"/>
        </w:rPr>
        <w:t>IEEE Transactions on Big Data, 7</w:t>
      </w:r>
      <w:r>
        <w:rPr>
          <w:rFonts w:ascii="Times New Roman" w:hAnsi="Times New Roman" w:cs="Times New Roman" w:eastAsia="Times New Roman"/>
          <w:b w:val="0"/>
          <w:i w:val="0"/>
          <w:color w:val="000000"/>
          <w:sz w:val="24"/>
        </w:rPr>
        <w:t xml:space="preserve">(3), 535–547. </w:t>
      </w:r>
      <w:hyperlink r:id="rId34" w:history="1">
        <w:r>
          <w:rPr>
            <w:rFonts w:ascii="Times New Roman" w:hAnsi="Times New Roman" w:cs="Times New Roman" w:eastAsia="Times New Roman"/>
            <w:b w:val="0"/>
            <w:i w:val="0"/>
            <w:color w:val="000000"/>
            <w:sz w:val="24"/>
          </w:rPr>
          <w:t>https://doi.org/10.1109/TBDATA.2019.2921572</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Lee, J., Chen, F., Dua, S., Cer, D., Shanbhogue, M., Naim, I., Hernández Ábrego, G., Li, Z., Chen, K., Schechter Vera, H., Ren, X., Zhang, S., Salz, D., Boratko, M., Han, J., Chen, B., Huang, S., Rao, V., Suganthan, P., . . . Duerig, T. (2025). </w:t>
      </w:r>
      <w:r>
        <w:rPr>
          <w:rFonts w:ascii="Times New Roman" w:hAnsi="Times New Roman" w:cs="Times New Roman" w:eastAsia="Times New Roman"/>
          <w:b w:val="0"/>
          <w:i/>
          <w:color w:val="000000"/>
          <w:sz w:val="24"/>
        </w:rPr>
        <w:t>Gemini embedding: Generalizable embeddings from Gemini</w:t>
      </w:r>
      <w:r>
        <w:rPr>
          <w:rFonts w:ascii="Times New Roman" w:hAnsi="Times New Roman" w:cs="Times New Roman" w:eastAsia="Times New Roman"/>
          <w:b w:val="0"/>
          <w:i w:val="0"/>
          <w:color w:val="000000"/>
          <w:sz w:val="24"/>
        </w:rPr>
        <w:t xml:space="preserve"> (arXiv:2503.07891). arXiv. </w:t>
      </w:r>
      <w:hyperlink r:id="rId35" w:history="1">
        <w:r>
          <w:rPr>
            <w:rFonts w:ascii="Times New Roman" w:hAnsi="Times New Roman" w:cs="Times New Roman" w:eastAsia="Times New Roman"/>
            <w:b w:val="0"/>
            <w:i w:val="0"/>
            <w:color w:val="000000"/>
            <w:sz w:val="24"/>
          </w:rPr>
          <w:t>https://doi.org/10.48550/arXiv.2503.07891</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Liu, J., Shen, D., Zhang, Y., Dolan, B., Carin, L., &amp; Chen, W. (2022). What makes good in-context examples for GPT-3? In </w:t>
      </w:r>
      <w:r>
        <w:rPr>
          <w:rFonts w:ascii="Times New Roman" w:hAnsi="Times New Roman" w:cs="Times New Roman" w:eastAsia="Times New Roman"/>
          <w:b w:val="0"/>
          <w:i/>
          <w:color w:val="000000"/>
          <w:sz w:val="24"/>
        </w:rPr>
        <w:t>Proceedings of Deep Learning Inside Out (DeeLIO 2022): The 3rd Workshop on Knowledge Extraction and Integration for Deep Learning Architectures</w:t>
      </w:r>
      <w:r>
        <w:rPr>
          <w:rFonts w:ascii="Times New Roman" w:hAnsi="Times New Roman" w:cs="Times New Roman" w:eastAsia="Times New Roman"/>
          <w:b w:val="0"/>
          <w:i w:val="0"/>
          <w:color w:val="000000"/>
          <w:sz w:val="24"/>
        </w:rPr>
        <w:t xml:space="preserve"> (pp. 100–114). Association for Computational Linguistics. </w:t>
      </w:r>
      <w:hyperlink r:id="rId36" w:history="1">
        <w:r>
          <w:rPr>
            <w:rFonts w:ascii="Times New Roman" w:hAnsi="Times New Roman" w:cs="Times New Roman" w:eastAsia="Times New Roman"/>
            <w:b w:val="0"/>
            <w:i w:val="0"/>
            <w:color w:val="000000"/>
            <w:sz w:val="24"/>
          </w:rPr>
          <w:t>https://doi.org/10.18653/v1/2022.deelio-1.10</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McInnes, L., Healy, J., &amp; Astels, S. (2017). hdbscan: Hierarchical density based clustering. </w:t>
      </w:r>
      <w:r>
        <w:rPr>
          <w:rFonts w:ascii="Times New Roman" w:hAnsi="Times New Roman" w:cs="Times New Roman" w:eastAsia="Times New Roman"/>
          <w:b w:val="0"/>
          <w:i/>
          <w:color w:val="000000"/>
          <w:sz w:val="24"/>
        </w:rPr>
        <w:t>Journal of Open Source Software, 2</w:t>
      </w:r>
      <w:r>
        <w:rPr>
          <w:rFonts w:ascii="Times New Roman" w:hAnsi="Times New Roman" w:cs="Times New Roman" w:eastAsia="Times New Roman"/>
          <w:b w:val="0"/>
          <w:i w:val="0"/>
          <w:color w:val="000000"/>
          <w:sz w:val="24"/>
        </w:rPr>
        <w:t xml:space="preserve">(11), Article 205. </w:t>
      </w:r>
      <w:hyperlink r:id="rId37" w:history="1">
        <w:r>
          <w:rPr>
            <w:rFonts w:ascii="Times New Roman" w:hAnsi="Times New Roman" w:cs="Times New Roman" w:eastAsia="Times New Roman"/>
            <w:b w:val="0"/>
            <w:i w:val="0"/>
            <w:color w:val="000000"/>
            <w:sz w:val="24"/>
          </w:rPr>
          <w:t>https://doi.org/10.21105/joss.00205</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McInnes, L., Healy, J., &amp; Melville, J. (2018). </w:t>
      </w:r>
      <w:r>
        <w:rPr>
          <w:rFonts w:ascii="Times New Roman" w:hAnsi="Times New Roman" w:cs="Times New Roman" w:eastAsia="Times New Roman"/>
          <w:b w:val="0"/>
          <w:i/>
          <w:color w:val="000000"/>
          <w:sz w:val="24"/>
        </w:rPr>
        <w:t>UMAP: Uniform manifold approximation and projection for dimension reduction</w:t>
      </w:r>
      <w:r>
        <w:rPr>
          <w:rFonts w:ascii="Times New Roman" w:hAnsi="Times New Roman" w:cs="Times New Roman" w:eastAsia="Times New Roman"/>
          <w:b w:val="0"/>
          <w:i w:val="0"/>
          <w:color w:val="000000"/>
          <w:sz w:val="24"/>
        </w:rPr>
        <w:t xml:space="preserve"> (arXiv:1802.03426). arXiv. </w:t>
      </w:r>
      <w:hyperlink r:id="rId38" w:history="1">
        <w:r>
          <w:rPr>
            <w:rFonts w:ascii="Times New Roman" w:hAnsi="Times New Roman" w:cs="Times New Roman" w:eastAsia="Times New Roman"/>
            <w:b w:val="0"/>
            <w:i w:val="0"/>
            <w:color w:val="000000"/>
            <w:sz w:val="24"/>
          </w:rPr>
          <w:t>https://doi.org/10.48550/arXiv.1802.03426</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Melián-González, S., Gutiérrez-Taño, D., &amp; Bulchand-Gidumal, J. (2021). Predicting the intentions to use chatbots for travel and tourism. </w:t>
      </w:r>
      <w:r>
        <w:rPr>
          <w:rFonts w:ascii="Times New Roman" w:hAnsi="Times New Roman" w:cs="Times New Roman" w:eastAsia="Times New Roman"/>
          <w:b w:val="0"/>
          <w:i/>
          <w:color w:val="000000"/>
          <w:sz w:val="24"/>
        </w:rPr>
        <w:t>Current Issues in Tourism, 24</w:t>
      </w:r>
      <w:r>
        <w:rPr>
          <w:rFonts w:ascii="Times New Roman" w:hAnsi="Times New Roman" w:cs="Times New Roman" w:eastAsia="Times New Roman"/>
          <w:b w:val="0"/>
          <w:i w:val="0"/>
          <w:color w:val="000000"/>
          <w:sz w:val="24"/>
        </w:rPr>
        <w:t xml:space="preserve">(2), 192–210. </w:t>
      </w:r>
      <w:hyperlink r:id="rId39" w:history="1">
        <w:r>
          <w:rPr>
            <w:rFonts w:ascii="Times New Roman" w:hAnsi="Times New Roman" w:cs="Times New Roman" w:eastAsia="Times New Roman"/>
            <w:b w:val="0"/>
            <w:i w:val="0"/>
            <w:color w:val="000000"/>
            <w:sz w:val="24"/>
          </w:rPr>
          <w:t>https://doi.org/10.1080/13683500.2019.1706457</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cs="Times New Roman" w:eastAsia="Times New Roman"/>
          <w:b w:val="0"/>
          <w:i/>
          <w:color w:val="000000"/>
          <w:sz w:val="24"/>
        </w:rPr>
        <w:t>Journal of Machine Learning Research, 12</w:t>
      </w:r>
      <w:r>
        <w:rPr>
          <w:rFonts w:ascii="Times New Roman" w:hAnsi="Times New Roman" w:cs="Times New Roman" w:eastAsia="Times New Roman"/>
          <w:b w:val="0"/>
          <w:i w:val="0"/>
          <w:color w:val="000000"/>
          <w:sz w:val="24"/>
        </w:rPr>
        <w:t xml:space="preserve">, 2825–2830. </w:t>
      </w:r>
      <w:hyperlink r:id="rId40" w:history="1">
        <w:r>
          <w:rPr>
            <w:rFonts w:ascii="Times New Roman" w:hAnsi="Times New Roman" w:cs="Times New Roman" w:eastAsia="Times New Roman"/>
            <w:b w:val="0"/>
            <w:i w:val="0"/>
            <w:color w:val="000000"/>
            <w:sz w:val="24"/>
          </w:rPr>
          <w:t>https://jmlr.org/papers/v12/pedregosa11a.html</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Rebedea, T., Dinu, R., Sreedhar, M. N., Parisien, C., &amp; Cohen, J. (2023). NeMo Guardrails: A toolkit for controllable and safe LLM applications with programmable rails. In </w:t>
      </w:r>
      <w:r>
        <w:rPr>
          <w:rFonts w:ascii="Times New Roman" w:hAnsi="Times New Roman" w:cs="Times New Roman" w:eastAsia="Times New Roman"/>
          <w:b w:val="0"/>
          <w:i/>
          <w:color w:val="000000"/>
          <w:sz w:val="24"/>
        </w:rPr>
        <w:t>Proceedings of the 2023 Conference on Empirical Methods in Natural Language Processing: System Demonstrations</w:t>
      </w:r>
      <w:r>
        <w:rPr>
          <w:rFonts w:ascii="Times New Roman" w:hAnsi="Times New Roman" w:cs="Times New Roman" w:eastAsia="Times New Roman"/>
          <w:b w:val="0"/>
          <w:i w:val="0"/>
          <w:color w:val="000000"/>
          <w:sz w:val="24"/>
        </w:rPr>
        <w:t xml:space="preserve"> (pp. 431–445). Association for Computational Linguistics. </w:t>
      </w:r>
      <w:hyperlink r:id="rId41" w:history="1">
        <w:r>
          <w:rPr>
            <w:rFonts w:ascii="Times New Roman" w:hAnsi="Times New Roman" w:cs="Times New Roman" w:eastAsia="Times New Roman"/>
            <w:b w:val="0"/>
            <w:i w:val="0"/>
            <w:color w:val="000000"/>
            <w:sz w:val="24"/>
          </w:rPr>
          <w:t>https://doi.org/10.18653/v1/2023.emnlp-demo.40</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Reimers, N., &amp; Gurevych, I. (2019). Sentence-BERT: Sentence embeddings using Siamese BERT-networks. In </w:t>
      </w:r>
      <w:r>
        <w:rPr>
          <w:rFonts w:ascii="Times New Roman" w:hAnsi="Times New Roman" w:cs="Times New Roman" w:eastAsia="Times New Roman"/>
          <w:b w:val="0"/>
          <w:i/>
          <w:color w:val="000000"/>
          <w:sz w:val="24"/>
        </w:rPr>
        <w:t>Proceedings of the 2019 Conference on Empirical Methods in Natural Language Processing and the 9th International Joint Conference on Natural Language Processing</w:t>
      </w:r>
      <w:r>
        <w:rPr>
          <w:rFonts w:ascii="Times New Roman" w:hAnsi="Times New Roman" w:cs="Times New Roman" w:eastAsia="Times New Roman"/>
          <w:b w:val="0"/>
          <w:i w:val="0"/>
          <w:color w:val="000000"/>
          <w:sz w:val="24"/>
        </w:rPr>
        <w:t xml:space="preserve"> (pp. 3982–3992). Association for Computational Linguistics. </w:t>
      </w:r>
      <w:hyperlink r:id="rId42" w:history="1">
        <w:r>
          <w:rPr>
            <w:rFonts w:ascii="Times New Roman" w:hAnsi="Times New Roman" w:cs="Times New Roman" w:eastAsia="Times New Roman"/>
            <w:b w:val="0"/>
            <w:i w:val="0"/>
            <w:color w:val="000000"/>
            <w:sz w:val="24"/>
          </w:rPr>
          <w:t>https://doi.org/10.18653/v1/D19-1410</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Rousseeuw, P. J. (1987). Silhouettes: A graphical aid to the interpretation and validation of cluster analysis. </w:t>
      </w:r>
      <w:r>
        <w:rPr>
          <w:rFonts w:ascii="Times New Roman" w:hAnsi="Times New Roman" w:cs="Times New Roman" w:eastAsia="Times New Roman"/>
          <w:b w:val="0"/>
          <w:i/>
          <w:color w:val="000000"/>
          <w:sz w:val="24"/>
        </w:rPr>
        <w:t>Journal of Computational and Applied Mathematics, 20</w:t>
      </w:r>
      <w:r>
        <w:rPr>
          <w:rFonts w:ascii="Times New Roman" w:hAnsi="Times New Roman" w:cs="Times New Roman" w:eastAsia="Times New Roman"/>
          <w:b w:val="0"/>
          <w:i w:val="0"/>
          <w:color w:val="000000"/>
          <w:sz w:val="24"/>
        </w:rPr>
        <w:t xml:space="preserve">, 53–65. </w:t>
      </w:r>
      <w:hyperlink r:id="rId43" w:history="1">
        <w:r>
          <w:rPr>
            <w:rFonts w:ascii="Times New Roman" w:hAnsi="Times New Roman" w:cs="Times New Roman" w:eastAsia="Times New Roman"/>
            <w:b w:val="0"/>
            <w:i w:val="0"/>
            <w:color w:val="000000"/>
            <w:sz w:val="24"/>
          </w:rPr>
          <w:t>https://doi.org/10.1016/0377-0427(87)90125-7</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Seabold, S., &amp; Perktold, J. (2010). Statsmodels: Econometric and statistical modeling with Python. In </w:t>
      </w:r>
      <w:r>
        <w:rPr>
          <w:rFonts w:ascii="Times New Roman" w:hAnsi="Times New Roman" w:cs="Times New Roman" w:eastAsia="Times New Roman"/>
          <w:b w:val="0"/>
          <w:i/>
          <w:color w:val="000000"/>
          <w:sz w:val="24"/>
        </w:rPr>
        <w:t>Proceedings of the 9th Python in Science Conference</w:t>
      </w:r>
      <w:r>
        <w:rPr>
          <w:rFonts w:ascii="Times New Roman" w:hAnsi="Times New Roman" w:cs="Times New Roman" w:eastAsia="Times New Roman"/>
          <w:b w:val="0"/>
          <w:i w:val="0"/>
          <w:color w:val="000000"/>
          <w:sz w:val="24"/>
        </w:rPr>
        <w:t xml:space="preserve"> (pp. 92–96). SciPy. </w:t>
      </w:r>
      <w:hyperlink r:id="rId44" w:history="1">
        <w:r>
          <w:rPr>
            <w:rFonts w:ascii="Times New Roman" w:hAnsi="Times New Roman" w:cs="Times New Roman" w:eastAsia="Times New Roman"/>
            <w:b w:val="0"/>
            <w:i w:val="0"/>
            <w:color w:val="000000"/>
            <w:sz w:val="24"/>
          </w:rPr>
          <w:t>https://doi.org/10.25080/Majora-92bf1922-011</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Wobbrock, J. O., Findlater, L., Gergle, D., &amp; Higgins, J. J. (2011). The aligned rank transform for nonparametric factorial analyses using only ANOVA procedures. In </w:t>
      </w:r>
      <w:r>
        <w:rPr>
          <w:rFonts w:ascii="Times New Roman" w:hAnsi="Times New Roman" w:cs="Times New Roman" w:eastAsia="Times New Roman"/>
          <w:b w:val="0"/>
          <w:i/>
          <w:color w:val="000000"/>
          <w:sz w:val="24"/>
        </w:rPr>
        <w:t>Proceedings of the SIGCHI Conference on Human Factors in Computing Systems</w:t>
      </w:r>
      <w:r>
        <w:rPr>
          <w:rFonts w:ascii="Times New Roman" w:hAnsi="Times New Roman" w:cs="Times New Roman" w:eastAsia="Times New Roman"/>
          <w:b w:val="0"/>
          <w:i w:val="0"/>
          <w:color w:val="000000"/>
          <w:sz w:val="24"/>
        </w:rPr>
        <w:t xml:space="preserve"> (pp. 143–146). Association for Computing Machinery. </w:t>
      </w:r>
      <w:hyperlink r:id="rId45" w:history="1">
        <w:r>
          <w:rPr>
            <w:rFonts w:ascii="Times New Roman" w:hAnsi="Times New Roman" w:cs="Times New Roman" w:eastAsia="Times New Roman"/>
            <w:b w:val="0"/>
            <w:i w:val="0"/>
            <w:color w:val="000000"/>
            <w:sz w:val="24"/>
          </w:rPr>
          <w:t>https://doi.org/10.1145/1978942.1978963</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Yao, S., Shinn, N., Razavi, P., &amp; Narasimhan, K. (2024). </w:t>
      </w:r>
      <w:r>
        <w:rPr>
          <w:rFonts w:ascii="Times New Roman" w:hAnsi="Times New Roman" w:cs="Times New Roman" w:eastAsia="Times New Roman"/>
          <w:b w:val="0"/>
          <w:i/>
          <w:color w:val="000000"/>
          <w:sz w:val="24"/>
        </w:rPr>
        <w:t>τ-bench: A benchmark for tool-agent-user interaction in real-world domains</w:t>
      </w:r>
      <w:r>
        <w:rPr>
          <w:rFonts w:ascii="Times New Roman" w:hAnsi="Times New Roman" w:cs="Times New Roman" w:eastAsia="Times New Roman"/>
          <w:b w:val="0"/>
          <w:i w:val="0"/>
          <w:color w:val="000000"/>
          <w:sz w:val="24"/>
        </w:rPr>
        <w:t xml:space="preserve"> (arXiv:2406.12045). arXiv. </w:t>
      </w:r>
      <w:hyperlink r:id="rId46" w:history="1">
        <w:r>
          <w:rPr>
            <w:rFonts w:ascii="Times New Roman" w:hAnsi="Times New Roman" w:cs="Times New Roman" w:eastAsia="Times New Roman"/>
            <w:b w:val="0"/>
            <w:i w:val="0"/>
            <w:color w:val="000000"/>
            <w:sz w:val="24"/>
          </w:rPr>
          <w:t>https://doi.org/10.48550/arXiv.2406.12045</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Zang, X., Rastogi, A., Sunkara, S., Gupta, R., Zhang, J., &amp; Chen, J. (2020). MultiWOZ 2.2: A dialogue dataset with additional annotation corrections and state tracking baselines. In </w:t>
      </w:r>
      <w:r>
        <w:rPr>
          <w:rFonts w:ascii="Times New Roman" w:hAnsi="Times New Roman" w:cs="Times New Roman" w:eastAsia="Times New Roman"/>
          <w:b w:val="0"/>
          <w:i/>
          <w:color w:val="000000"/>
          <w:sz w:val="24"/>
        </w:rPr>
        <w:t>Proceedings of the 2nd Workshop on Natural Language Processing for Conversational AI</w:t>
      </w:r>
      <w:r>
        <w:rPr>
          <w:rFonts w:ascii="Times New Roman" w:hAnsi="Times New Roman" w:cs="Times New Roman" w:eastAsia="Times New Roman"/>
          <w:b w:val="0"/>
          <w:i w:val="0"/>
          <w:color w:val="000000"/>
          <w:sz w:val="24"/>
        </w:rPr>
        <w:t xml:space="preserve"> (pp. 109–117). Association for Computational Linguistics. </w:t>
      </w:r>
      <w:hyperlink r:id="rId47" w:history="1">
        <w:r>
          <w:rPr>
            <w:rFonts w:ascii="Times New Roman" w:hAnsi="Times New Roman" w:cs="Times New Roman" w:eastAsia="Times New Roman"/>
            <w:b w:val="0"/>
            <w:i w:val="0"/>
            <w:color w:val="000000"/>
            <w:sz w:val="24"/>
          </w:rPr>
          <w:t>https://doi.org/10.18653/v1/2020.nlp4convai-1.13</w:t>
        </w:r>
      </w:hyperlink>
    </w:p>
    <w:p>
      <w:pPr>
        <w:keepNext w:val="0"/>
        <w:widowControl/>
        <w:spacing w:line="480" w:lineRule="auto" w:before="0" w:after="0"/>
        <w:ind w:hanging="720" w:left="720"/>
        <w:jc w:val="left"/>
      </w:pPr>
      <w:r>
        <w:rPr>
          <w:rFonts w:ascii="Times New Roman" w:hAnsi="Times New Roman" w:cs="Times New Roman" w:eastAsia="Times New Roman"/>
          <w:b w:val="0"/>
          <w:i w:val="0"/>
          <w:color w:val="000000"/>
          <w:sz w:val="24"/>
        </w:rPr>
        <w:t xml:space="preserve">Zhang, T., Kishore, V., Wu, F., Weinberger, K. Q., &amp; Artzi, Y. (2020). BERTScore: Evaluating text generation with BERT. In </w:t>
      </w:r>
      <w:r>
        <w:rPr>
          <w:rFonts w:ascii="Times New Roman" w:hAnsi="Times New Roman" w:cs="Times New Roman" w:eastAsia="Times New Roman"/>
          <w:b w:val="0"/>
          <w:i/>
          <w:color w:val="000000"/>
          <w:sz w:val="24"/>
        </w:rPr>
        <w:t>Proceedings of the 8th International Conference on Learning Representations</w:t>
      </w:r>
      <w:r>
        <w:rPr>
          <w:rFonts w:ascii="Times New Roman" w:hAnsi="Times New Roman" w:cs="Times New Roman" w:eastAsia="Times New Roman"/>
          <w:b w:val="0"/>
          <w:i w:val="0"/>
          <w:color w:val="000000"/>
          <w:sz w:val="24"/>
        </w:rPr>
        <w:t xml:space="preserve">. OpenReview. </w:t>
      </w:r>
      <w:hyperlink r:id="rId48" w:history="1">
        <w:r>
          <w:rPr>
            <w:rFonts w:ascii="Times New Roman" w:hAnsi="Times New Roman" w:cs="Times New Roman" w:eastAsia="Times New Roman"/>
            <w:b w:val="0"/>
            <w:i w:val="0"/>
            <w:color w:val="000000"/>
            <w:sz w:val="24"/>
          </w:rPr>
          <w:t>https://openreview.net/forum?id=SkeHuCVFDr</w:t>
        </w:r>
      </w:hyperlink>
    </w:p>
    <w:p>
      <w:pPr>
        <w:pStyle w:val="Heading1"/>
        <w:keepNext/>
        <w:pageBreakBefore/>
        <w:widowControl/>
        <w:spacing w:line="480" w:lineRule="auto" w:before="0" w:after="0"/>
        <w:ind w:firstLine="0" w:left="0"/>
        <w:jc w:val="center"/>
      </w:pPr>
      <w:r>
        <w:rPr>
          <w:rFonts w:ascii="Times New Roman" w:hAnsi="Times New Roman" w:cs="Times New Roman" w:eastAsia="Times New Roman"/>
          <w:b/>
          <w:i w:val="0"/>
          <w:color w:val="000000"/>
          <w:sz w:val="24"/>
        </w:rPr>
        <w:t>Appendix A</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Repository Structure, Replication Guide, and Raw Source Schema</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All code, data schemas, cached LLM outputs, and report builders are available at </w:t>
      </w:r>
      <w:hyperlink r:id="rId10" w:history="1">
        <w:r>
          <w:rPr>
            <w:rFonts w:ascii="Times New Roman" w:hAnsi="Times New Roman" w:cs="Times New Roman" w:eastAsia="Times New Roman"/>
            <w:b w:val="0"/>
            <w:i w:val="0"/>
            <w:color w:val="000000"/>
            <w:sz w:val="24"/>
          </w:rPr>
          <w:t>https://github.com/surnella/QM640-Dialogue-Clustering-Capstone</w:t>
        </w:r>
      </w:hyperlink>
      <w:r>
        <w:rPr>
          <w:rFonts w:ascii="Times New Roman" w:hAnsi="Times New Roman" w:cs="Times New Roman" w:eastAsia="Times New Roman"/>
          <w:b w:val="0"/>
          <w:i w:val="0"/>
          <w:color w:val="000000"/>
          <w:sz w:val="24"/>
        </w:rPr>
        <w:t xml:space="preserve">. </w:t>
      </w:r>
      <w:r>
        <w:fldChar w:fldCharType="begin"/>
      </w:r>
      <w:r>
        <w:instrText xml:space="preserve"> REF _RefTabA1 \h \* MERGEFORMAT </w:instrText>
      </w:r>
      <w:r>
        <w:fldChar w:fldCharType="separate"/>
      </w:r>
      <w:r>
        <w:rPr>
          <w:rFonts w:ascii="Times New Roman" w:hAnsi="Times New Roman" w:cs="Times New Roman" w:eastAsia="Times New Roman"/>
          <w:b w:val="0"/>
          <w:i w:val="0"/>
          <w:color w:val="000000"/>
          <w:sz w:val="24"/>
        </w:rPr>
        <w:t>Table A1</w:t>
      </w:r>
      <w:r>
        <w:fldChar w:fldCharType="end"/>
      </w:r>
      <w:r>
        <w:rPr>
          <w:rFonts w:ascii="Times New Roman" w:hAnsi="Times New Roman" w:cs="Times New Roman" w:eastAsia="Times New Roman"/>
          <w:b w:val="0"/>
          <w:i w:val="0"/>
          <w:color w:val="000000"/>
          <w:sz w:val="24"/>
        </w:rPr>
        <w:t xml:space="preserve"> outlines the repository directory structure, </w:t>
      </w:r>
      <w:r>
        <w:fldChar w:fldCharType="begin"/>
      </w:r>
      <w:r>
        <w:instrText xml:space="preserve"> REF _RefTabA2 \h \* MERGEFORMAT </w:instrText>
      </w:r>
      <w:r>
        <w:fldChar w:fldCharType="separate"/>
      </w:r>
      <w:r>
        <w:rPr>
          <w:rFonts w:ascii="Times New Roman" w:hAnsi="Times New Roman" w:cs="Times New Roman" w:eastAsia="Times New Roman"/>
          <w:b w:val="0"/>
          <w:i w:val="0"/>
          <w:color w:val="000000"/>
          <w:sz w:val="24"/>
        </w:rPr>
        <w:t>Table A2</w:t>
      </w:r>
      <w:r>
        <w:fldChar w:fldCharType="end"/>
      </w:r>
      <w:r>
        <w:rPr>
          <w:rFonts w:ascii="Times New Roman" w:hAnsi="Times New Roman" w:cs="Times New Roman" w:eastAsia="Times New Roman"/>
          <w:b w:val="0"/>
          <w:i w:val="0"/>
          <w:color w:val="000000"/>
          <w:sz w:val="24"/>
        </w:rPr>
        <w:t xml:space="preserve"> lists the exact shell commands that reproduce every table and figure, and </w:t>
      </w:r>
      <w:r>
        <w:fldChar w:fldCharType="begin"/>
      </w:r>
      <w:r>
        <w:instrText xml:space="preserve"> REF _RefTabA3 \h \* MERGEFORMAT </w:instrText>
      </w:r>
      <w:r>
        <w:fldChar w:fldCharType="separate"/>
      </w:r>
      <w:r>
        <w:rPr>
          <w:rFonts w:ascii="Times New Roman" w:hAnsi="Times New Roman" w:cs="Times New Roman" w:eastAsia="Times New Roman"/>
          <w:b w:val="0"/>
          <w:i w:val="0"/>
          <w:color w:val="000000"/>
          <w:sz w:val="24"/>
        </w:rPr>
        <w:t>Table A3</w:t>
      </w:r>
      <w:r>
        <w:fldChar w:fldCharType="end"/>
      </w:r>
      <w:r>
        <w:rPr>
          <w:rFonts w:ascii="Times New Roman" w:hAnsi="Times New Roman" w:cs="Times New Roman" w:eastAsia="Times New Roman"/>
          <w:b w:val="0"/>
          <w:i w:val="0"/>
          <w:color w:val="000000"/>
          <w:sz w:val="24"/>
        </w:rPr>
        <w:t xml:space="preserve"> provides Part A (raw source fields) and Part B (canonical schema fields) of the data dictionary.</w:t>
      </w:r>
    </w:p>
    <w:p>
      <w:pPr>
        <w:keepNext/>
        <w:widowControl/>
        <w:spacing w:line="480" w:lineRule="auto" w:before="120" w:after="0"/>
        <w:ind w:firstLine="0" w:left="0"/>
        <w:jc w:val="left"/>
      </w:pPr>
      <w:bookmarkStart w:name="_RefTabA1" w:id="245"/>
      <w:r>
        <w:rPr>
          <w:rFonts w:ascii="Times New Roman" w:hAnsi="Times New Roman" w:cs="Times New Roman" w:eastAsia="Times New Roman"/>
          <w:b/>
          <w:color w:val="000000"/>
          <w:sz w:val="24"/>
        </w:rPr>
        <w:t xml:space="preserve">Table </w:t>
      </w:r>
      <w:bookmarkStart w:name="_RefTabNA1" w:id="246"/>
      <w:r>
        <w:rPr>
          <w:rFonts w:ascii="Times New Roman" w:hAnsi="Times New Roman" w:cs="Times New Roman" w:eastAsia="Times New Roman"/>
          <w:b/>
          <w:color w:val="000000"/>
          <w:sz w:val="24"/>
        </w:rPr>
        <w:t>A1</w:t>
      </w:r>
      <w:bookmarkEnd w:id="246"/>
      <w:bookmarkEnd w:id="245"/>
    </w:p>
    <w:p>
      <w:pPr>
        <w:keepNext/>
        <w:widowControl/>
        <w:spacing w:line="480" w:lineRule="auto" w:before="0" w:after="0"/>
        <w:ind w:firstLine="0" w:left="0"/>
        <w:jc w:val="left"/>
      </w:pPr>
      <w:r>
        <w:rPr>
          <w:rFonts w:ascii="Times New Roman" w:hAnsi="Times New Roman" w:cs="Times New Roman" w:eastAsia="Times New Roman"/>
          <w:b w:val="0"/>
          <w:i/>
          <w:color w:val="000000"/>
          <w:sz w:val="24"/>
        </w:rPr>
        <w:t>Repository Structure and Artifact Inventory</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4680"/>
        <w:gridCol w:w="4680"/>
      </w:tblGrid>
      <w:tr>
        <w:trPr>
          <w:cantSplit/>
          <w:tblHeader/>
        </w:trPr>
        <w:tc>
          <w:tcPr>
            <w:tcW w:type="dxa" w:w="374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Directory or file path</w:t>
            </w:r>
          </w:p>
        </w:tc>
        <w:tc>
          <w:tcPr>
            <w:tcW w:type="dxa" w:w="561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Contents and analytical purpose</w:t>
            </w:r>
          </w:p>
        </w:tc>
      </w:tr>
      <w:tr>
        <w:trPr>
          <w:cantSplit/>
        </w:trPr>
        <w:tc>
          <w:tcPr>
            <w:tcW w:type="dxa" w:w="374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data/raw/</w:t>
            </w:r>
          </w:p>
        </w:tc>
        <w:tc>
          <w:tcPr>
            <w:tcW w:type="dxa" w:w="5616"/>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Downloaded Microsoft Frames (1,369 dialogues) and MultiWOZ 2.2 corpora (excluded from Git)</w:t>
            </w:r>
          </w:p>
        </w:tc>
      </w:tr>
      <w:tr>
        <w:trPr>
          <w:cantSplit/>
        </w:trPr>
        <w:tc>
          <w:tcPr>
            <w:tcW w:type="dxa" w:w="374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data/canonical/</w:t>
            </w:r>
          </w:p>
        </w:tc>
        <w:tc>
          <w:tcPr>
            <w:tcW w:type="dxa" w:w="561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Normalized two-tier Pydantic dialogue trajectories (canonical_corpus.jsonl)</w:t>
            </w:r>
          </w:p>
        </w:tc>
      </w:tr>
      <w:tr>
        <w:trPr>
          <w:cantSplit/>
        </w:trPr>
        <w:tc>
          <w:tcPr>
            <w:tcW w:type="dxa" w:w="374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data/interim/</w:t>
            </w:r>
          </w:p>
        </w:tc>
        <w:tc>
          <w:tcPr>
            <w:tcW w:type="dxa" w:w="561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Cleaned samples, partitions, embeddings, primary/refined archetypes, LLM annotations, and RQ1/RQ2 JSON summaries</w:t>
            </w:r>
          </w:p>
        </w:tc>
      </w:tr>
      <w:tr>
        <w:trPr>
          <w:cantSplit/>
        </w:trPr>
        <w:tc>
          <w:tcPr>
            <w:tcW w:type="dxa" w:w="374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data/final/</w:t>
            </w:r>
          </w:p>
        </w:tc>
        <w:tc>
          <w:tcPr>
            <w:tcW w:type="dxa" w:w="561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Cached Gemini 2.5 Flash/Pro JSONL responses and scored CSV/JSON results for Refined RQ2, RQ3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=144), and RQ4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=180)</w:t>
            </w:r>
          </w:p>
        </w:tc>
      </w:tr>
      <w:tr>
        <w:trPr>
          <w:cantSplit/>
        </w:trPr>
        <w:tc>
          <w:tcPr>
            <w:tcW w:type="dxa" w:w="374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src/canonical_schema.py, src/ingestion.py</w:t>
            </w:r>
          </w:p>
        </w:tc>
        <w:tc>
          <w:tcPr>
            <w:tcW w:type="dxa" w:w="561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Pydantic two-tier data models and corpus parsers</w:t>
            </w:r>
          </w:p>
        </w:tc>
      </w:tr>
      <w:tr>
        <w:trPr>
          <w:cantSplit/>
        </w:trPr>
        <w:tc>
          <w:tcPr>
            <w:tcW w:type="dxa" w:w="374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src/rule_engine.py, rules/rules_enterprise.yaml</w:t>
            </w:r>
          </w:p>
        </w:tc>
        <w:tc>
          <w:tcPr>
            <w:tcW w:type="dxa" w:w="561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Deterministic declarative policy engine and YAML rule definitions</w:t>
            </w:r>
          </w:p>
        </w:tc>
      </w:tr>
      <w:tr>
        <w:trPr>
          <w:cantSplit/>
        </w:trPr>
        <w:tc>
          <w:tcPr>
            <w:tcW w:type="dxa" w:w="374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src/interim_pipeline/</w:t>
            </w:r>
          </w:p>
        </w:tc>
        <w:tc>
          <w:tcPr>
            <w:tcW w:type="dxa" w:w="561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Reproducible scripts for Steps 0–4 and RQ1 sensitivity/truncation Steps 2b–2i</w:t>
            </w:r>
          </w:p>
        </w:tc>
      </w:tr>
      <w:tr>
        <w:trPr>
          <w:cantSplit/>
        </w:trPr>
        <w:tc>
          <w:tcPr>
            <w:tcW w:type="dxa" w:w="374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src/final_pipeline/</w:t>
            </w:r>
          </w:p>
        </w:tc>
        <w:tc>
          <w:tcPr>
            <w:tcW w:type="dxa" w:w="561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Reproducible scripts for RefinedArchetypeRouter, Refined RQ2, RQ3 2×2 experiment, RQ4 2×3 simulation, and EDA/architecture figures</w:t>
            </w:r>
          </w:p>
        </w:tc>
      </w:tr>
      <w:tr>
        <w:trPr>
          <w:cantSplit/>
        </w:trPr>
        <w:tc>
          <w:tcPr>
            <w:tcW w:type="dxa" w:w="374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src/report/, src/build_final_report.py</w:t>
            </w:r>
          </w:p>
        </w:tc>
        <w:tc>
          <w:tcPr>
            <w:tcW w:type="dxa" w:w="561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APA 7 Word/PDF document generator with automated cross-reference and TOC pagination verification</w:t>
            </w:r>
          </w:p>
        </w:tc>
      </w:tr>
      <w:tr>
        <w:trPr>
          <w:cantSplit/>
        </w:trPr>
        <w:tc>
          <w:tcPr>
            <w:tcW w:type="dxa" w:w="374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notebooks/01_.. to 05_..</w:t>
            </w:r>
          </w:p>
        </w:tc>
        <w:tc>
          <w:tcPr>
            <w:tcW w:type="dxa" w:w="561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Five executed Jupyter notebooks covering EDA, RQ1, RQ2, RQ3, and RQ4</w:t>
            </w:r>
          </w:p>
        </w:tc>
      </w:tr>
      <w:tr>
        <w:trPr>
          <w:cantSplit/>
        </w:trPr>
        <w:tc>
          <w:tcPr>
            <w:tcW w:type="dxa" w:w="374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outputs/interim/, outputs/final/</w:t>
            </w:r>
          </w:p>
        </w:tc>
        <w:tc>
          <w:tcPr>
            <w:tcW w:type="dxa" w:w="561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All CSV summary tables and 300-DPI PNG figures</w:t>
            </w:r>
          </w:p>
        </w:tc>
      </w:tr>
      <w:tr>
        <w:trPr>
          <w:cantSplit/>
        </w:trPr>
        <w:tc>
          <w:tcPr>
            <w:tcW w:type="dxa" w:w="374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final/</w:t>
            </w:r>
          </w:p>
        </w:tc>
        <w:tc>
          <w:tcPr>
            <w:tcW w:type="dxa" w:w="561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Submission-ready QM_640_Final_Report_Sandeep_Surnella.docx and .pdf</w:t>
            </w:r>
          </w:p>
        </w:tc>
      </w:tr>
    </w:tbl>
    <w:p>
      <w:pPr>
        <w:keepNext w:val="0"/>
        <w:widowControl/>
        <w:spacing w:line="240" w:lineRule="auto" w:before="0" w:after="80"/>
        <w:ind w:firstLine="0" w:left="0"/>
        <w:jc w:val="left"/>
      </w:pPr>
    </w:p>
    <w:p>
      <w:pPr>
        <w:keepNext/>
        <w:widowControl/>
        <w:spacing w:line="480" w:lineRule="auto" w:before="120" w:after="0"/>
        <w:ind w:firstLine="0" w:left="0"/>
        <w:jc w:val="left"/>
      </w:pPr>
      <w:bookmarkStart w:name="_RefTabA2" w:id="247"/>
      <w:r>
        <w:rPr>
          <w:rFonts w:ascii="Times New Roman" w:hAnsi="Times New Roman" w:cs="Times New Roman" w:eastAsia="Times New Roman"/>
          <w:b/>
          <w:color w:val="000000"/>
          <w:sz w:val="24"/>
        </w:rPr>
        <w:t xml:space="preserve">Table </w:t>
      </w:r>
      <w:bookmarkStart w:name="_RefTabNA2" w:id="248"/>
      <w:r>
        <w:rPr>
          <w:rFonts w:ascii="Times New Roman" w:hAnsi="Times New Roman" w:cs="Times New Roman" w:eastAsia="Times New Roman"/>
          <w:b/>
          <w:color w:val="000000"/>
          <w:sz w:val="24"/>
        </w:rPr>
        <w:t>A2</w:t>
      </w:r>
      <w:bookmarkEnd w:id="248"/>
      <w:bookmarkEnd w:id="247"/>
    </w:p>
    <w:p>
      <w:pPr>
        <w:keepNext/>
        <w:widowControl/>
        <w:spacing w:line="480" w:lineRule="auto" w:before="0" w:after="0"/>
        <w:ind w:firstLine="0" w:left="0"/>
        <w:jc w:val="left"/>
      </w:pPr>
      <w:r>
        <w:rPr>
          <w:rFonts w:ascii="Times New Roman" w:hAnsi="Times New Roman" w:cs="Times New Roman" w:eastAsia="Times New Roman"/>
          <w:b w:val="0"/>
          <w:i/>
          <w:color w:val="000000"/>
          <w:sz w:val="24"/>
        </w:rPr>
        <w:t>End-to-End Replication Commands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3120"/>
        <w:gridCol w:w="3120"/>
        <w:gridCol w:w="3120"/>
      </w:tblGrid>
      <w:tr>
        <w:trPr>
          <w:cantSplit/>
          <w:tblHeader/>
        </w:trPr>
        <w:tc>
          <w:tcPr>
            <w:tcW w:type="dxa" w:w="208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Pipeline stage</w:t>
            </w:r>
          </w:p>
        </w:tc>
        <w:tc>
          <w:tcPr>
            <w:tcW w:type="dxa" w:w="468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Command (run from repository root with .venv active)</w:t>
            </w:r>
          </w:p>
        </w:tc>
        <w:tc>
          <w:tcPr>
            <w:tcW w:type="dxa" w:w="259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Outputs produced</w:t>
            </w:r>
          </w:p>
        </w:tc>
      </w:tr>
      <w:tr>
        <w:trPr>
          <w:cantSplit/>
        </w:trPr>
        <w:tc>
          <w:tcPr>
            <w:tcW w:type="dxa" w:w="208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0. Power analysis</w:t>
            </w:r>
          </w:p>
        </w:tc>
        <w:tc>
          <w:tcPr>
            <w:tcW w:type="dxa" w:w="468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python src/interim_pipeline/step0_sample_size.py</w:t>
            </w:r>
          </w:p>
        </w:tc>
        <w:tc>
          <w:tcPr>
            <w:tcW w:type="dxa" w:w="2592"/>
          </w:tcPr>
          <w:p>
            <w:pPr>
              <w:keepNext/>
              <w:widowControl/>
              <w:spacing w:line="240" w:lineRule="auto" w:before="30" w:after="30"/>
              <w:ind w:firstLine="0" w:left="0"/>
              <w:jc w:val="left"/>
            </w:pPr>
            <w:r>
              <w:fldChar w:fldCharType="begin"/>
            </w:r>
            <w:r>
              <w:instrText xml:space="preserve"> REF _RefTab8 \h \* MERGEFORMAT </w:instrText>
            </w:r>
            <w:r>
              <w:fldChar w:fldCharType="separate"/>
            </w:r>
            <w:r>
              <w:rPr>
                <w:rFonts w:ascii="Times New Roman" w:hAnsi="Times New Roman" w:cs="Times New Roman" w:eastAsia="Times New Roman"/>
                <w:b w:val="0"/>
                <w:i w:val="0"/>
                <w:color w:val="000000"/>
                <w:sz w:val="20"/>
              </w:rPr>
              <w:t>Table 8</w:t>
            </w:r>
            <w:r>
              <w:fldChar w:fldCharType="end"/>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 Cleaning &amp; univariate EDA</w:t>
            </w:r>
          </w:p>
        </w:tc>
        <w:tc>
          <w:tcPr>
            <w:tcW w:type="dxa" w:w="468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python src/interim_pipeline/step1_prepare_data.py</w:t>
            </w:r>
          </w:p>
        </w:tc>
        <w:tc>
          <w:tcPr>
            <w:tcW w:type="dxa" w:w="259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Tables </w:t>
            </w:r>
            <w:r>
              <w:fldChar w:fldCharType="begin"/>
            </w:r>
            <w:r>
              <w:instrText xml:space="preserve"> REF _RefTabN5 \h \* MERGEFORMAT </w:instrText>
            </w:r>
            <w:r>
              <w:fldChar w:fldCharType="separate"/>
            </w:r>
            <w:r>
              <w:rPr>
                <w:rFonts w:ascii="Times New Roman" w:hAnsi="Times New Roman" w:cs="Times New Roman" w:eastAsia="Times New Roman"/>
                <w:b w:val="0"/>
                <w:i w:val="0"/>
                <w:color w:val="000000"/>
                <w:sz w:val="20"/>
              </w:rPr>
              <w:t>5</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_RefTabN6 \h \* MERGEFORMAT </w:instrText>
            </w:r>
            <w:r>
              <w:fldChar w:fldCharType="separate"/>
            </w:r>
            <w:r>
              <w:rPr>
                <w:rFonts w:ascii="Times New Roman" w:hAnsi="Times New Roman" w:cs="Times New Roman" w:eastAsia="Times New Roman"/>
                <w:b w:val="0"/>
                <w:i w:val="0"/>
                <w:color w:val="000000"/>
                <w:sz w:val="20"/>
              </w:rPr>
              <w:t>6</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_RefTabNE1 \h \* MERGEFORMAT </w:instrText>
            </w:r>
            <w:r>
              <w:fldChar w:fldCharType="separate"/>
            </w:r>
            <w:r>
              <w:rPr>
                <w:rFonts w:ascii="Times New Roman" w:hAnsi="Times New Roman" w:cs="Times New Roman" w:eastAsia="Times New Roman"/>
                <w:b w:val="0"/>
                <w:i w:val="0"/>
                <w:color w:val="000000"/>
                <w:sz w:val="20"/>
              </w:rPr>
              <w:t>E1</w:t>
            </w:r>
            <w:r>
              <w:fldChar w:fldCharType="end"/>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val="0"/>
                <w:color w:val="000000"/>
                <w:sz w:val="20"/>
              </w:rPr>
              <w:t xml:space="preserve">Figures </w:t>
            </w:r>
            <w:r>
              <w:fldChar w:fldCharType="begin"/>
            </w:r>
            <w:r>
              <w:instrText xml:space="preserve"> REF _RefFigN1 \h \* MERGEFORMAT </w:instrText>
            </w:r>
            <w:r>
              <w:fldChar w:fldCharType="separate"/>
            </w:r>
            <w:r>
              <w:rPr>
                <w:rFonts w:ascii="Times New Roman" w:hAnsi="Times New Roman" w:cs="Times New Roman" w:eastAsia="Times New Roman"/>
                <w:b w:val="0"/>
                <w:i w:val="0"/>
                <w:color w:val="000000"/>
                <w:sz w:val="20"/>
              </w:rPr>
              <w:t>1</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_RefFigNE1 \h \* MERGEFORMAT </w:instrText>
            </w:r>
            <w:r>
              <w:fldChar w:fldCharType="separate"/>
            </w:r>
            <w:r>
              <w:rPr>
                <w:rFonts w:ascii="Times New Roman" w:hAnsi="Times New Roman" w:cs="Times New Roman" w:eastAsia="Times New Roman"/>
                <w:b w:val="0"/>
                <w:i w:val="0"/>
                <w:color w:val="000000"/>
                <w:sz w:val="20"/>
              </w:rPr>
              <w:t>E1</w:t>
            </w:r>
            <w:r>
              <w:fldChar w:fldCharType="end"/>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2. Primary RQ1 clustering</w:t>
            </w:r>
          </w:p>
        </w:tc>
        <w:tc>
          <w:tcPr>
            <w:tcW w:type="dxa" w:w="468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python src/interim_pipeline/step2_rq1_clustering.py</w:t>
            </w:r>
          </w:p>
        </w:tc>
        <w:tc>
          <w:tcPr>
            <w:tcW w:type="dxa" w:w="2592"/>
          </w:tcPr>
          <w:p>
            <w:pPr>
              <w:keepNext w:val="0"/>
              <w:widowControl/>
              <w:spacing w:line="240" w:lineRule="auto" w:before="30" w:after="30"/>
              <w:ind w:firstLine="0" w:left="0"/>
              <w:jc w:val="left"/>
            </w:pPr>
            <w:r>
              <w:fldChar w:fldCharType="begin"/>
            </w:r>
            <w:r>
              <w:instrText xml:space="preserve"> REF _RefTab12 \h \* MERGEFORMAT </w:instrText>
            </w:r>
            <w:r>
              <w:fldChar w:fldCharType="separate"/>
            </w:r>
            <w:r>
              <w:rPr>
                <w:rFonts w:ascii="Times New Roman" w:hAnsi="Times New Roman" w:cs="Times New Roman" w:eastAsia="Times New Roman"/>
                <w:b w:val="0"/>
                <w:i w:val="0"/>
                <w:color w:val="000000"/>
                <w:sz w:val="20"/>
              </w:rPr>
              <w:t>Table 12</w:t>
            </w:r>
            <w:r>
              <w:fldChar w:fldCharType="end"/>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val="0"/>
                <w:color w:val="000000"/>
                <w:sz w:val="20"/>
              </w:rPr>
              <w:t xml:space="preserve">Tables </w:t>
            </w:r>
            <w:r>
              <w:fldChar w:fldCharType="begin"/>
            </w:r>
            <w:r>
              <w:instrText xml:space="preserve"> REF _RefTabND1 \h \* MERGEFORMAT </w:instrText>
            </w:r>
            <w:r>
              <w:fldChar w:fldCharType="separate"/>
            </w:r>
            <w:r>
              <w:rPr>
                <w:rFonts w:ascii="Times New Roman" w:hAnsi="Times New Roman" w:cs="Times New Roman" w:eastAsia="Times New Roman"/>
                <w:b w:val="0"/>
                <w:i w:val="0"/>
                <w:color w:val="000000"/>
                <w:sz w:val="20"/>
              </w:rPr>
              <w:t>D1</w:t>
            </w:r>
            <w:r>
              <w:fldChar w:fldCharType="end"/>
            </w:r>
            <w:r>
              <w:rPr>
                <w:rFonts w:ascii="Times New Roman" w:hAnsi="Times New Roman" w:cs="Times New Roman" w:eastAsia="Times New Roman"/>
                <w:b w:val="0"/>
                <w:i w:val="0"/>
                <w:color w:val="000000"/>
                <w:sz w:val="20"/>
              </w:rPr>
              <w:t>–</w:t>
            </w:r>
            <w:r>
              <w:fldChar w:fldCharType="begin"/>
            </w:r>
            <w:r>
              <w:instrText xml:space="preserve"> REF _RefTabND4 \h \* MERGEFORMAT </w:instrText>
            </w:r>
            <w:r>
              <w:fldChar w:fldCharType="separate"/>
            </w:r>
            <w:r>
              <w:rPr>
                <w:rFonts w:ascii="Times New Roman" w:hAnsi="Times New Roman" w:cs="Times New Roman" w:eastAsia="Times New Roman"/>
                <w:b w:val="0"/>
                <w:i w:val="0"/>
                <w:color w:val="000000"/>
                <w:sz w:val="20"/>
              </w:rPr>
              <w:t>D4</w:t>
            </w:r>
            <w:r>
              <w:fldChar w:fldCharType="end"/>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val="0"/>
                <w:color w:val="000000"/>
                <w:sz w:val="20"/>
              </w:rPr>
              <w:t xml:space="preserve">Figures </w:t>
            </w:r>
            <w:r>
              <w:fldChar w:fldCharType="begin"/>
            </w:r>
            <w:r>
              <w:instrText xml:space="preserve"> REF _RefFigND1 \h \* MERGEFORMAT </w:instrText>
            </w:r>
            <w:r>
              <w:fldChar w:fldCharType="separate"/>
            </w:r>
            <w:r>
              <w:rPr>
                <w:rFonts w:ascii="Times New Roman" w:hAnsi="Times New Roman" w:cs="Times New Roman" w:eastAsia="Times New Roman"/>
                <w:b w:val="0"/>
                <w:i w:val="0"/>
                <w:color w:val="000000"/>
                <w:sz w:val="20"/>
              </w:rPr>
              <w:t>D1</w:t>
            </w:r>
            <w:r>
              <w:fldChar w:fldCharType="end"/>
            </w:r>
            <w:r>
              <w:rPr>
                <w:rFonts w:ascii="Times New Roman" w:hAnsi="Times New Roman" w:cs="Times New Roman" w:eastAsia="Times New Roman"/>
                <w:b w:val="0"/>
                <w:i w:val="0"/>
                <w:color w:val="000000"/>
                <w:sz w:val="20"/>
              </w:rPr>
              <w:t>–</w:t>
            </w:r>
            <w:r>
              <w:fldChar w:fldCharType="begin"/>
            </w:r>
            <w:r>
              <w:instrText xml:space="preserve"> REF _RefFigND3 \h \* MERGEFORMAT </w:instrText>
            </w:r>
            <w:r>
              <w:fldChar w:fldCharType="separate"/>
            </w:r>
            <w:r>
              <w:rPr>
                <w:rFonts w:ascii="Times New Roman" w:hAnsi="Times New Roman" w:cs="Times New Roman" w:eastAsia="Times New Roman"/>
                <w:b w:val="0"/>
                <w:i w:val="0"/>
                <w:color w:val="000000"/>
                <w:sz w:val="20"/>
              </w:rPr>
              <w:t>D3</w:t>
            </w:r>
            <w:r>
              <w:fldChar w:fldCharType="end"/>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2b–2i. RQ1 sensitivity &amp; refined</w:t>
            </w:r>
          </w:p>
        </w:tc>
        <w:tc>
          <w:tcPr>
            <w:tcW w:type="dxa" w:w="468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python src/interim_pipeline/step2g_rq1_truncation.py &amp;&amp; python src/interim_pipeline/step2h_rq1_ablation.py &amp;&amp; python src/interim_pipeline/step2i_rq1_refined_archetypes.py</w:t>
            </w:r>
          </w:p>
        </w:tc>
        <w:tc>
          <w:tcPr>
            <w:tcW w:type="dxa" w:w="2592"/>
          </w:tcPr>
          <w:p>
            <w:pPr>
              <w:keepNext w:val="0"/>
              <w:widowControl/>
              <w:spacing w:line="240" w:lineRule="auto" w:before="30" w:after="30"/>
              <w:ind w:firstLine="0" w:left="0"/>
              <w:jc w:val="left"/>
            </w:pPr>
            <w:r>
              <w:fldChar w:fldCharType="begin"/>
            </w:r>
            <w:r>
              <w:instrText xml:space="preserve"> REF _RefTab13 \h \* MERGEFORMAT </w:instrText>
            </w:r>
            <w:r>
              <w:fldChar w:fldCharType="separate"/>
            </w:r>
            <w:r>
              <w:rPr>
                <w:rFonts w:ascii="Times New Roman" w:hAnsi="Times New Roman" w:cs="Times New Roman" w:eastAsia="Times New Roman"/>
                <w:b w:val="0"/>
                <w:i w:val="0"/>
                <w:color w:val="000000"/>
                <w:sz w:val="20"/>
              </w:rPr>
              <w:t>Table 13</w:t>
            </w:r>
            <w:r>
              <w:fldChar w:fldCharType="end"/>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val="0"/>
                <w:color w:val="000000"/>
                <w:sz w:val="20"/>
              </w:rPr>
              <w:t xml:space="preserve">Tables </w:t>
            </w:r>
            <w:r>
              <w:fldChar w:fldCharType="begin"/>
            </w:r>
            <w:r>
              <w:instrText xml:space="preserve"> REF _RefTabNC1 \h \* MERGEFORMAT </w:instrText>
            </w:r>
            <w:r>
              <w:fldChar w:fldCharType="separate"/>
            </w:r>
            <w:r>
              <w:rPr>
                <w:rFonts w:ascii="Times New Roman" w:hAnsi="Times New Roman" w:cs="Times New Roman" w:eastAsia="Times New Roman"/>
                <w:b w:val="0"/>
                <w:i w:val="0"/>
                <w:color w:val="000000"/>
                <w:sz w:val="20"/>
              </w:rPr>
              <w:t>C1</w:t>
            </w:r>
            <w:r>
              <w:fldChar w:fldCharType="end"/>
            </w:r>
            <w:r>
              <w:rPr>
                <w:rFonts w:ascii="Times New Roman" w:hAnsi="Times New Roman" w:cs="Times New Roman" w:eastAsia="Times New Roman"/>
                <w:b w:val="0"/>
                <w:i w:val="0"/>
                <w:color w:val="000000"/>
                <w:sz w:val="20"/>
              </w:rPr>
              <w:t>–</w:t>
            </w:r>
            <w:r>
              <w:fldChar w:fldCharType="begin"/>
            </w:r>
            <w:r>
              <w:instrText xml:space="preserve"> REF _RefTabNC2 \h \* MERGEFORMAT </w:instrText>
            </w:r>
            <w:r>
              <w:fldChar w:fldCharType="separate"/>
            </w:r>
            <w:r>
              <w:rPr>
                <w:rFonts w:ascii="Times New Roman" w:hAnsi="Times New Roman" w:cs="Times New Roman" w:eastAsia="Times New Roman"/>
                <w:b w:val="0"/>
                <w:i w:val="0"/>
                <w:color w:val="000000"/>
                <w:sz w:val="20"/>
              </w:rPr>
              <w:t>C2</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_RefTabND5 \h \* MERGEFORMAT </w:instrText>
            </w:r>
            <w:r>
              <w:fldChar w:fldCharType="separate"/>
            </w:r>
            <w:r>
              <w:rPr>
                <w:rFonts w:ascii="Times New Roman" w:hAnsi="Times New Roman" w:cs="Times New Roman" w:eastAsia="Times New Roman"/>
                <w:b w:val="0"/>
                <w:i w:val="0"/>
                <w:color w:val="000000"/>
                <w:sz w:val="20"/>
              </w:rPr>
              <w:t>D5</w:t>
            </w:r>
            <w:r>
              <w:fldChar w:fldCharType="end"/>
            </w:r>
            <w:r>
              <w:rPr>
                <w:rFonts w:ascii="Times New Roman" w:hAnsi="Times New Roman" w:cs="Times New Roman" w:eastAsia="Times New Roman"/>
                <w:b w:val="0"/>
                <w:i w:val="0"/>
                <w:color w:val="000000"/>
                <w:sz w:val="20"/>
              </w:rPr>
              <w:t>–</w:t>
            </w:r>
            <w:r>
              <w:fldChar w:fldCharType="begin"/>
            </w:r>
            <w:r>
              <w:instrText xml:space="preserve"> REF _RefTabND6 \h \* MERGEFORMAT </w:instrText>
            </w:r>
            <w:r>
              <w:fldChar w:fldCharType="separate"/>
            </w:r>
            <w:r>
              <w:rPr>
                <w:rFonts w:ascii="Times New Roman" w:hAnsi="Times New Roman" w:cs="Times New Roman" w:eastAsia="Times New Roman"/>
                <w:b w:val="0"/>
                <w:i w:val="0"/>
                <w:color w:val="000000"/>
                <w:sz w:val="20"/>
              </w:rPr>
              <w:t>D6</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_RefTabNE5 \h \* MERGEFORMAT </w:instrText>
            </w:r>
            <w:r>
              <w:fldChar w:fldCharType="separate"/>
            </w:r>
            <w:r>
              <w:rPr>
                <w:rFonts w:ascii="Times New Roman" w:hAnsi="Times New Roman" w:cs="Times New Roman" w:eastAsia="Times New Roman"/>
                <w:b w:val="0"/>
                <w:i w:val="0"/>
                <w:color w:val="000000"/>
                <w:sz w:val="20"/>
              </w:rPr>
              <w:t>E5</w:t>
            </w:r>
            <w:r>
              <w:fldChar w:fldCharType="end"/>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val="0"/>
                <w:color w:val="000000"/>
                <w:sz w:val="20"/>
              </w:rPr>
              <w:t xml:space="preserve">Figures </w:t>
            </w:r>
            <w:r>
              <w:fldChar w:fldCharType="begin"/>
            </w:r>
            <w:r>
              <w:instrText xml:space="preserve"> REF _RefFigND4 \h \* MERGEFORMAT </w:instrText>
            </w:r>
            <w:r>
              <w:fldChar w:fldCharType="separate"/>
            </w:r>
            <w:r>
              <w:rPr>
                <w:rFonts w:ascii="Times New Roman" w:hAnsi="Times New Roman" w:cs="Times New Roman" w:eastAsia="Times New Roman"/>
                <w:b w:val="0"/>
                <w:i w:val="0"/>
                <w:color w:val="000000"/>
                <w:sz w:val="20"/>
              </w:rPr>
              <w:t>D4</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_RefFigNE3 \h \* MERGEFORMAT </w:instrText>
            </w:r>
            <w:r>
              <w:fldChar w:fldCharType="separate"/>
            </w:r>
            <w:r>
              <w:rPr>
                <w:rFonts w:ascii="Times New Roman" w:hAnsi="Times New Roman" w:cs="Times New Roman" w:eastAsia="Times New Roman"/>
                <w:b w:val="0"/>
                <w:i w:val="0"/>
                <w:color w:val="000000"/>
                <w:sz w:val="20"/>
              </w:rPr>
              <w:t>E3</w:t>
            </w:r>
            <w:r>
              <w:fldChar w:fldCharType="end"/>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3. Primary RQ2 experiment</w:t>
            </w:r>
          </w:p>
        </w:tc>
        <w:tc>
          <w:tcPr>
            <w:tcW w:type="dxa" w:w="468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python src/interim_pipeline/step3_rq2_pipeline.py --execute</w:t>
            </w:r>
          </w:p>
        </w:tc>
        <w:tc>
          <w:tcPr>
            <w:tcW w:type="dxa" w:w="2592"/>
          </w:tcPr>
          <w:p>
            <w:pPr>
              <w:keepNext w:val="0"/>
              <w:widowControl/>
              <w:spacing w:line="240" w:lineRule="auto" w:before="30" w:after="30"/>
              <w:ind w:firstLine="0" w:left="0"/>
              <w:jc w:val="left"/>
            </w:pPr>
            <w:r>
              <w:fldChar w:fldCharType="begin"/>
            </w:r>
            <w:r>
              <w:instrText xml:space="preserve"> REF _RefTab14 \h \* MERGEFORMAT </w:instrText>
            </w:r>
            <w:r>
              <w:fldChar w:fldCharType="separate"/>
            </w:r>
            <w:r>
              <w:rPr>
                <w:rFonts w:ascii="Times New Roman" w:hAnsi="Times New Roman" w:cs="Times New Roman" w:eastAsia="Times New Roman"/>
                <w:b w:val="0"/>
                <w:i w:val="0"/>
                <w:color w:val="000000"/>
                <w:sz w:val="20"/>
              </w:rPr>
              <w:t>Table 14</w:t>
            </w:r>
            <w:r>
              <w:fldChar w:fldCharType="end"/>
            </w:r>
            <w:r>
              <w:rPr>
                <w:rFonts w:ascii="Times New Roman" w:hAnsi="Times New Roman" w:cs="Times New Roman" w:eastAsia="Times New Roman"/>
                <w:b w:val="0"/>
                <w:i w:val="0"/>
                <w:color w:val="000000"/>
                <w:sz w:val="20"/>
              </w:rPr>
              <w:t xml:space="preserve"> (primary rows); </w:t>
            </w:r>
            <w:r>
              <w:fldChar w:fldCharType="begin"/>
            </w:r>
            <w:r>
              <w:instrText xml:space="preserve"> REF _RefFigE2 \h \* MERGEFORMAT </w:instrText>
            </w:r>
            <w:r>
              <w:fldChar w:fldCharType="separate"/>
            </w:r>
            <w:r>
              <w:rPr>
                <w:rFonts w:ascii="Times New Roman" w:hAnsi="Times New Roman" w:cs="Times New Roman" w:eastAsia="Times New Roman"/>
                <w:b w:val="0"/>
                <w:i w:val="0"/>
                <w:color w:val="000000"/>
                <w:sz w:val="20"/>
              </w:rPr>
              <w:t>Figure E2</w:t>
            </w:r>
            <w:r>
              <w:fldChar w:fldCharType="end"/>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4. Rule &amp; baseline groundwork</w:t>
            </w:r>
          </w:p>
        </w:tc>
        <w:tc>
          <w:tcPr>
            <w:tcW w:type="dxa" w:w="468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python src/interim_pipeline/step4_rq3_rq4_groundwork.py</w:t>
            </w:r>
          </w:p>
        </w:tc>
        <w:tc>
          <w:tcPr>
            <w:tcW w:type="dxa" w:w="2592"/>
          </w:tcPr>
          <w:p>
            <w:pPr>
              <w:keepNext w:val="0"/>
              <w:widowControl/>
              <w:spacing w:line="240" w:lineRule="auto" w:before="30" w:after="30"/>
              <w:ind w:firstLine="0" w:left="0"/>
              <w:jc w:val="left"/>
            </w:pPr>
            <w:r>
              <w:fldChar w:fldCharType="begin"/>
            </w:r>
            <w:r>
              <w:instrText xml:space="preserve"> REF _RefTab9 \h \* MERGEFORMAT </w:instrText>
            </w:r>
            <w:r>
              <w:fldChar w:fldCharType="separate"/>
            </w:r>
            <w:r>
              <w:rPr>
                <w:rFonts w:ascii="Times New Roman" w:hAnsi="Times New Roman" w:cs="Times New Roman" w:eastAsia="Times New Roman"/>
                <w:b w:val="0"/>
                <w:i w:val="0"/>
                <w:color w:val="000000"/>
                <w:sz w:val="20"/>
              </w:rPr>
              <w:t>Table 9</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_RefTabE4 \h \* MERGEFORMAT </w:instrText>
            </w:r>
            <w:r>
              <w:fldChar w:fldCharType="separate"/>
            </w:r>
            <w:r>
              <w:rPr>
                <w:rFonts w:ascii="Times New Roman" w:hAnsi="Times New Roman" w:cs="Times New Roman" w:eastAsia="Times New Roman"/>
                <w:b w:val="0"/>
                <w:i w:val="0"/>
                <w:color w:val="000000"/>
                <w:sz w:val="20"/>
              </w:rPr>
              <w:t>Table E4</w:t>
            </w:r>
            <w:r>
              <w:fldChar w:fldCharType="end"/>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5. Final harness &amp; routing test</w:t>
            </w:r>
          </w:p>
        </w:tc>
        <w:tc>
          <w:tcPr>
            <w:tcW w:type="dxa" w:w="468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python src/final_pipeline/test_step1_harness.py</w:t>
            </w:r>
          </w:p>
        </w:tc>
        <w:tc>
          <w:tcPr>
            <w:tcW w:type="dxa" w:w="2592"/>
          </w:tcPr>
          <w:p>
            <w:pPr>
              <w:keepNext w:val="0"/>
              <w:widowControl/>
              <w:spacing w:line="240" w:lineRule="auto" w:before="30" w:after="30"/>
              <w:ind w:firstLine="0" w:left="0"/>
              <w:jc w:val="left"/>
            </w:pPr>
            <w:r>
              <w:fldChar w:fldCharType="begin"/>
            </w:r>
            <w:r>
              <w:instrText xml:space="preserve"> REF _RefTab13 \h \* MERGEFORMAT </w:instrText>
            </w:r>
            <w:r>
              <w:fldChar w:fldCharType="separate"/>
            </w:r>
            <w:r>
              <w:rPr>
                <w:rFonts w:ascii="Times New Roman" w:hAnsi="Times New Roman" w:cs="Times New Roman" w:eastAsia="Times New Roman"/>
                <w:b w:val="0"/>
                <w:i w:val="0"/>
                <w:color w:val="000000"/>
                <w:sz w:val="20"/>
              </w:rPr>
              <w:t>Table 13</w:t>
            </w:r>
            <w:r>
              <w:fldChar w:fldCharType="end"/>
            </w:r>
            <w:r>
              <w:rPr>
                <w:rFonts w:ascii="Times New Roman" w:hAnsi="Times New Roman" w:cs="Times New Roman" w:eastAsia="Times New Roman"/>
                <w:b w:val="0"/>
                <w:i w:val="0"/>
                <w:color w:val="000000"/>
                <w:sz w:val="20"/>
              </w:rPr>
              <w:t xml:space="preserve"> routing note (t_rq1_hybrid_routing_diagnostics.csv)</w:t>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6. Refined RQ2 experiment</w:t>
            </w:r>
          </w:p>
        </w:tc>
        <w:tc>
          <w:tcPr>
            <w:tcW w:type="dxa" w:w="468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python src/final_pipeline/step2_rq2_refined.py --execute</w:t>
            </w:r>
          </w:p>
        </w:tc>
        <w:tc>
          <w:tcPr>
            <w:tcW w:type="dxa" w:w="2592"/>
          </w:tcPr>
          <w:p>
            <w:pPr>
              <w:keepNext w:val="0"/>
              <w:widowControl/>
              <w:spacing w:line="240" w:lineRule="auto" w:before="30" w:after="30"/>
              <w:ind w:firstLine="0" w:left="0"/>
              <w:jc w:val="left"/>
            </w:pPr>
            <w:r>
              <w:fldChar w:fldCharType="begin"/>
            </w:r>
            <w:r>
              <w:instrText xml:space="preserve"> REF _RefTab14 \h \* MERGEFORMAT </w:instrText>
            </w:r>
            <w:r>
              <w:fldChar w:fldCharType="separate"/>
            </w:r>
            <w:r>
              <w:rPr>
                <w:rFonts w:ascii="Times New Roman" w:hAnsi="Times New Roman" w:cs="Times New Roman" w:eastAsia="Times New Roman"/>
                <w:b w:val="0"/>
                <w:i w:val="0"/>
                <w:color w:val="000000"/>
                <w:sz w:val="20"/>
              </w:rPr>
              <w:t>Table 14</w:t>
            </w:r>
            <w:r>
              <w:fldChar w:fldCharType="end"/>
            </w:r>
            <w:r>
              <w:rPr>
                <w:rFonts w:ascii="Times New Roman" w:hAnsi="Times New Roman" w:cs="Times New Roman" w:eastAsia="Times New Roman"/>
                <w:b w:val="0"/>
                <w:i w:val="0"/>
                <w:color w:val="000000"/>
                <w:sz w:val="20"/>
              </w:rPr>
              <w:t xml:space="preserve"> (refined rows); </w:t>
            </w:r>
            <w:r>
              <w:fldChar w:fldCharType="begin"/>
            </w:r>
            <w:r>
              <w:instrText xml:space="preserve"> REF _RefTabE3 \h \* MERGEFORMAT </w:instrText>
            </w:r>
            <w:r>
              <w:fldChar w:fldCharType="separate"/>
            </w:r>
            <w:r>
              <w:rPr>
                <w:rFonts w:ascii="Times New Roman" w:hAnsi="Times New Roman" w:cs="Times New Roman" w:eastAsia="Times New Roman"/>
                <w:b w:val="0"/>
                <w:i w:val="0"/>
                <w:color w:val="000000"/>
                <w:sz w:val="20"/>
              </w:rPr>
              <w:t>Table E3</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_RefFig6 \h \* MERGEFORMAT </w:instrText>
            </w:r>
            <w:r>
              <w:fldChar w:fldCharType="separate"/>
            </w:r>
            <w:r>
              <w:rPr>
                <w:rFonts w:ascii="Times New Roman" w:hAnsi="Times New Roman" w:cs="Times New Roman" w:eastAsia="Times New Roman"/>
                <w:b w:val="0"/>
                <w:i w:val="0"/>
                <w:color w:val="000000"/>
                <w:sz w:val="20"/>
              </w:rPr>
              <w:t>Figure 6</w:t>
            </w:r>
            <w:r>
              <w:fldChar w:fldCharType="end"/>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7. RQ3 2×2 factorial experiment</w:t>
            </w:r>
          </w:p>
        </w:tc>
        <w:tc>
          <w:tcPr>
            <w:tcW w:type="dxa" w:w="468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python src/final_pipeline/step3_rq3_experiment.py --execute</w:t>
            </w:r>
          </w:p>
        </w:tc>
        <w:tc>
          <w:tcPr>
            <w:tcW w:type="dxa" w:w="2592"/>
          </w:tcPr>
          <w:p>
            <w:pPr>
              <w:keepNext w:val="0"/>
              <w:widowControl/>
              <w:spacing w:line="240" w:lineRule="auto" w:before="30" w:after="30"/>
              <w:ind w:firstLine="0" w:left="0"/>
              <w:jc w:val="left"/>
            </w:pPr>
            <w:r>
              <w:fldChar w:fldCharType="begin"/>
            </w:r>
            <w:r>
              <w:instrText xml:space="preserve"> REF _RefTab15 \h \* MERGEFORMAT </w:instrText>
            </w:r>
            <w:r>
              <w:fldChar w:fldCharType="separate"/>
            </w:r>
            <w:r>
              <w:rPr>
                <w:rFonts w:ascii="Times New Roman" w:hAnsi="Times New Roman" w:cs="Times New Roman" w:eastAsia="Times New Roman"/>
                <w:b w:val="0"/>
                <w:i w:val="0"/>
                <w:color w:val="000000"/>
                <w:sz w:val="20"/>
              </w:rPr>
              <w:t>Table 15</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_RefTabC3 \h \* MERGEFORMAT </w:instrText>
            </w:r>
            <w:r>
              <w:fldChar w:fldCharType="separate"/>
            </w:r>
            <w:r>
              <w:rPr>
                <w:rFonts w:ascii="Times New Roman" w:hAnsi="Times New Roman" w:cs="Times New Roman" w:eastAsia="Times New Roman"/>
                <w:b w:val="0"/>
                <w:i w:val="0"/>
                <w:color w:val="000000"/>
                <w:sz w:val="20"/>
              </w:rPr>
              <w:t>Table C3</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_RefFig7 \h \* MERGEFORMAT </w:instrText>
            </w:r>
            <w:r>
              <w:fldChar w:fldCharType="separate"/>
            </w:r>
            <w:r>
              <w:rPr>
                <w:rFonts w:ascii="Times New Roman" w:hAnsi="Times New Roman" w:cs="Times New Roman" w:eastAsia="Times New Roman"/>
                <w:b w:val="0"/>
                <w:i w:val="0"/>
                <w:color w:val="000000"/>
                <w:sz w:val="20"/>
              </w:rPr>
              <w:t>Figure 7</w:t>
            </w:r>
            <w:r>
              <w:fldChar w:fldCharType="end"/>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8. RQ4 2×3 turn-economy sim.</w:t>
            </w:r>
          </w:p>
        </w:tc>
        <w:tc>
          <w:tcPr>
            <w:tcW w:type="dxa" w:w="468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python src/final_pipeline/step4_rq4_simulation.py --execute</w:t>
            </w:r>
          </w:p>
        </w:tc>
        <w:tc>
          <w:tcPr>
            <w:tcW w:type="dxa" w:w="2592"/>
          </w:tcPr>
          <w:p>
            <w:pPr>
              <w:keepNext w:val="0"/>
              <w:widowControl/>
              <w:spacing w:line="240" w:lineRule="auto" w:before="30" w:after="30"/>
              <w:ind w:firstLine="0" w:left="0"/>
              <w:jc w:val="left"/>
            </w:pPr>
            <w:r>
              <w:fldChar w:fldCharType="begin"/>
            </w:r>
            <w:r>
              <w:instrText xml:space="preserve"> REF _RefTab16 \h \* MERGEFORMAT </w:instrText>
            </w:r>
            <w:r>
              <w:fldChar w:fldCharType="separate"/>
            </w:r>
            <w:r>
              <w:rPr>
                <w:rFonts w:ascii="Times New Roman" w:hAnsi="Times New Roman" w:cs="Times New Roman" w:eastAsia="Times New Roman"/>
                <w:b w:val="0"/>
                <w:i w:val="0"/>
                <w:color w:val="000000"/>
                <w:sz w:val="20"/>
              </w:rPr>
              <w:t>Table 16</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_RefTabC3 \h \* MERGEFORMAT </w:instrText>
            </w:r>
            <w:r>
              <w:fldChar w:fldCharType="separate"/>
            </w:r>
            <w:r>
              <w:rPr>
                <w:rFonts w:ascii="Times New Roman" w:hAnsi="Times New Roman" w:cs="Times New Roman" w:eastAsia="Times New Roman"/>
                <w:b w:val="0"/>
                <w:i w:val="0"/>
                <w:color w:val="000000"/>
                <w:sz w:val="20"/>
              </w:rPr>
              <w:t>Table C3</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_RefFig8 \h \* MERGEFORMAT </w:instrText>
            </w:r>
            <w:r>
              <w:fldChar w:fldCharType="separate"/>
            </w:r>
            <w:r>
              <w:rPr>
                <w:rFonts w:ascii="Times New Roman" w:hAnsi="Times New Roman" w:cs="Times New Roman" w:eastAsia="Times New Roman"/>
                <w:b w:val="0"/>
                <w:i w:val="0"/>
                <w:color w:val="000000"/>
                <w:sz w:val="20"/>
              </w:rPr>
              <w:t>Figure 8</w:t>
            </w:r>
            <w:r>
              <w:fldChar w:fldCharType="end"/>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9. Bivariate/multivariate EDA &amp; arch.</w:t>
            </w:r>
          </w:p>
        </w:tc>
        <w:tc>
          <w:tcPr>
            <w:tcW w:type="dxa" w:w="468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python src/final_pipeline/step5_figures_and_eda.py</w:t>
            </w:r>
          </w:p>
        </w:tc>
        <w:tc>
          <w:tcPr>
            <w:tcW w:type="dxa" w:w="2592"/>
          </w:tcPr>
          <w:p>
            <w:pPr>
              <w:keepNext w:val="0"/>
              <w:widowControl/>
              <w:spacing w:line="240" w:lineRule="auto" w:before="30" w:after="30"/>
              <w:ind w:firstLine="0" w:left="0"/>
              <w:jc w:val="left"/>
            </w:pPr>
            <w:r>
              <w:fldChar w:fldCharType="begin"/>
            </w:r>
            <w:r>
              <w:instrText xml:space="preserve"> REF _RefTab7 \h \* MERGEFORMAT </w:instrText>
            </w:r>
            <w:r>
              <w:fldChar w:fldCharType="separate"/>
            </w:r>
            <w:r>
              <w:rPr>
                <w:rFonts w:ascii="Times New Roman" w:hAnsi="Times New Roman" w:cs="Times New Roman" w:eastAsia="Times New Roman"/>
                <w:b w:val="0"/>
                <w:i w:val="0"/>
                <w:color w:val="000000"/>
                <w:sz w:val="20"/>
              </w:rPr>
              <w:t>Table 7</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_RefTabE2 \h \* MERGEFORMAT </w:instrText>
            </w:r>
            <w:r>
              <w:fldChar w:fldCharType="separate"/>
            </w:r>
            <w:r>
              <w:rPr>
                <w:rFonts w:ascii="Times New Roman" w:hAnsi="Times New Roman" w:cs="Times New Roman" w:eastAsia="Times New Roman"/>
                <w:b w:val="0"/>
                <w:i w:val="0"/>
                <w:color w:val="000000"/>
                <w:sz w:val="20"/>
              </w:rPr>
              <w:t>Table E2</w:t>
            </w:r>
            <w:r>
              <w:fldChar w:fldCharType="end"/>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val="0"/>
                <w:color w:val="000000"/>
                <w:sz w:val="20"/>
              </w:rPr>
              <w:t xml:space="preserve">Figures </w:t>
            </w:r>
            <w:r>
              <w:fldChar w:fldCharType="begin"/>
            </w:r>
            <w:r>
              <w:instrText xml:space="preserve"> REF _RefFigN2 \h \* MERGEFORMAT </w:instrText>
            </w:r>
            <w:r>
              <w:fldChar w:fldCharType="separate"/>
            </w:r>
            <w:r>
              <w:rPr>
                <w:rFonts w:ascii="Times New Roman" w:hAnsi="Times New Roman" w:cs="Times New Roman" w:eastAsia="Times New Roman"/>
                <w:b w:val="0"/>
                <w:i w:val="0"/>
                <w:color w:val="000000"/>
                <w:sz w:val="20"/>
              </w:rPr>
              <w:t>2</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_RefFigN3 \h \* MERGEFORMAT </w:instrText>
            </w:r>
            <w:r>
              <w:fldChar w:fldCharType="separate"/>
            </w:r>
            <w:r>
              <w:rPr>
                <w:rFonts w:ascii="Times New Roman" w:hAnsi="Times New Roman" w:cs="Times New Roman" w:eastAsia="Times New Roman"/>
                <w:b w:val="0"/>
                <w:i w:val="0"/>
                <w:color w:val="000000"/>
                <w:sz w:val="20"/>
              </w:rPr>
              <w:t>3</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_RefFigN4 \h \* MERGEFORMAT </w:instrText>
            </w:r>
            <w:r>
              <w:fldChar w:fldCharType="separate"/>
            </w:r>
            <w:r>
              <w:rPr>
                <w:rFonts w:ascii="Times New Roman" w:hAnsi="Times New Roman" w:cs="Times New Roman" w:eastAsia="Times New Roman"/>
                <w:b w:val="0"/>
                <w:i w:val="0"/>
                <w:color w:val="000000"/>
                <w:sz w:val="20"/>
              </w:rPr>
              <w:t>4</w:t>
            </w:r>
            <w:r>
              <w:fldChar w:fldCharType="end"/>
            </w:r>
            <w:r>
              <w:rPr>
                <w:rFonts w:ascii="Times New Roman" w:hAnsi="Times New Roman" w:cs="Times New Roman" w:eastAsia="Times New Roman"/>
                <w:b w:val="0"/>
                <w:i w:val="0"/>
                <w:color w:val="000000"/>
                <w:sz w:val="20"/>
              </w:rPr>
              <w:t xml:space="preserve">, </w:t>
            </w:r>
            <w:r>
              <w:fldChar w:fldCharType="begin"/>
            </w:r>
            <w:r>
              <w:instrText xml:space="preserve"> REF _RefFigN5 \h \* MERGEFORMAT </w:instrText>
            </w:r>
            <w:r>
              <w:fldChar w:fldCharType="separate"/>
            </w:r>
            <w:r>
              <w:rPr>
                <w:rFonts w:ascii="Times New Roman" w:hAnsi="Times New Roman" w:cs="Times New Roman" w:eastAsia="Times New Roman"/>
                <w:b w:val="0"/>
                <w:i w:val="0"/>
                <w:color w:val="000000"/>
                <w:sz w:val="20"/>
              </w:rPr>
              <w:t>5</w:t>
            </w:r>
            <w:r>
              <w:fldChar w:fldCharType="end"/>
            </w:r>
          </w:p>
        </w:tc>
      </w:tr>
      <w:tr>
        <w:trPr>
          <w:cantSplit/>
        </w:trPr>
        <w:tc>
          <w:tcPr>
            <w:tcW w:type="dxa" w:w="208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10. Build Final Report (.docx/.pdf)</w:t>
            </w:r>
          </w:p>
        </w:tc>
        <w:tc>
          <w:tcPr>
            <w:tcW w:type="dxa" w:w="468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python src/build_final_report.py</w:t>
            </w:r>
          </w:p>
        </w:tc>
        <w:tc>
          <w:tcPr>
            <w:tcW w:type="dxa" w:w="259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final/QM_640_Final_Report_Sandeep_Surnella.docx &amp; .pdf</w:t>
            </w:r>
          </w:p>
        </w:tc>
      </w:tr>
    </w:tbl>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All random seeds are fixed at 42. Cached JSONL responses allow offline execution without API calls.</w:t>
      </w:r>
    </w:p>
    <w:p>
      <w:pPr>
        <w:keepNext/>
        <w:widowControl/>
        <w:spacing w:line="480" w:lineRule="auto" w:before="120" w:after="0"/>
        <w:ind w:firstLine="0" w:left="0"/>
        <w:jc w:val="left"/>
      </w:pPr>
      <w:bookmarkStart w:name="_RefTabA3" w:id="249"/>
      <w:r>
        <w:rPr>
          <w:rFonts w:ascii="Times New Roman" w:hAnsi="Times New Roman" w:cs="Times New Roman" w:eastAsia="Times New Roman"/>
          <w:b/>
          <w:color w:val="000000"/>
          <w:sz w:val="24"/>
        </w:rPr>
        <w:t xml:space="preserve">Table </w:t>
      </w:r>
      <w:bookmarkStart w:name="_RefTabNA3" w:id="250"/>
      <w:r>
        <w:rPr>
          <w:rFonts w:ascii="Times New Roman" w:hAnsi="Times New Roman" w:cs="Times New Roman" w:eastAsia="Times New Roman"/>
          <w:b/>
          <w:color w:val="000000"/>
          <w:sz w:val="24"/>
        </w:rPr>
        <w:t>A3</w:t>
      </w:r>
      <w:bookmarkEnd w:id="250"/>
      <w:bookmarkEnd w:id="249"/>
    </w:p>
    <w:p>
      <w:pPr>
        <w:keepNext/>
        <w:widowControl/>
        <w:spacing w:line="480" w:lineRule="auto" w:before="0" w:after="0"/>
        <w:ind w:firstLine="0" w:left="0"/>
        <w:jc w:val="left"/>
      </w:pPr>
      <w:r>
        <w:rPr>
          <w:rFonts w:ascii="Times New Roman" w:hAnsi="Times New Roman" w:cs="Times New Roman" w:eastAsia="Times New Roman"/>
          <w:b w:val="0"/>
          <w:i/>
          <w:color w:val="000000"/>
          <w:sz w:val="24"/>
        </w:rPr>
        <w:t>Data Dictionary, Parts A and B: Raw Corpus Fields and Canonical Schema Mapping</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172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Source / Layer</w:t>
            </w:r>
          </w:p>
        </w:tc>
        <w:tc>
          <w:tcPr>
            <w:tcW w:type="dxa" w:w="295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Field name</w:t>
            </w:r>
          </w:p>
        </w:tc>
        <w:tc>
          <w:tcPr>
            <w:tcW w:type="dxa" w:w="165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Data type (Unit)</w:t>
            </w:r>
          </w:p>
        </w:tc>
        <w:tc>
          <w:tcPr>
            <w:tcW w:type="dxa" w:w="302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Description and mapping role</w:t>
            </w:r>
          </w:p>
        </w:tc>
      </w:tr>
      <w:tr>
        <w:trPr>
          <w:cantSplit/>
        </w:trPr>
        <w:tc>
          <w:tcPr>
            <w:tcW w:type="dxa" w:w="172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Frames (Raw)</w:t>
            </w:r>
          </w:p>
        </w:tc>
        <w:tc>
          <w:tcPr>
            <w:tcW w:type="dxa" w:w="295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id, user_id, wizard_id</w:t>
            </w:r>
          </w:p>
        </w:tc>
        <w:tc>
          <w:tcPr>
            <w:tcW w:type="dxa" w:w="1656"/>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String (ID)</w:t>
            </w:r>
          </w:p>
        </w:tc>
        <w:tc>
          <w:tcPr>
            <w:tcW w:type="dxa" w:w="302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Unique dialogue ID and role-player IDs (11 users, 12 wizards)</w:t>
            </w:r>
          </w:p>
        </w:tc>
      </w:tr>
      <w:tr>
        <w:trPr>
          <w:cantSplit/>
        </w:trPr>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Frames (Raw)</w:t>
            </w:r>
          </w:p>
        </w:tc>
        <w:tc>
          <w:tcPr>
            <w:tcW w:type="dxa" w:w="295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turns[].author, text, timestamp</w:t>
            </w:r>
          </w:p>
        </w:tc>
        <w:tc>
          <w:tcPr>
            <w:tcW w:type="dxa" w:w="165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String / Float (ms)</w:t>
            </w:r>
          </w:p>
        </w:tc>
        <w:tc>
          <w:tcPr>
            <w:tcW w:type="dxa" w:w="30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Speaker (user or wizard), raw utterance text, and Unix timestamp</w:t>
            </w:r>
          </w:p>
        </w:tc>
      </w:tr>
      <w:tr>
        <w:trPr>
          <w:cantSplit/>
        </w:trPr>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Frames (Raw)</w:t>
            </w:r>
          </w:p>
        </w:tc>
        <w:tc>
          <w:tcPr>
            <w:tcW w:type="dxa" w:w="295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turns[].labels.acts[].name, args</w:t>
            </w:r>
          </w:p>
        </w:tc>
        <w:tc>
          <w:tcPr>
            <w:tcW w:type="dxa" w:w="165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List / Key–Value</w:t>
            </w:r>
          </w:p>
        </w:tc>
        <w:tc>
          <w:tcPr>
            <w:tcW w:type="dxa" w:w="30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Dialogue act tags (inform, request, offer, switch_frame) and slot–value pairs</w:t>
            </w:r>
          </w:p>
        </w:tc>
      </w:tr>
      <w:tr>
        <w:trPr>
          <w:cantSplit/>
        </w:trPr>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Frames (Raw)</w:t>
            </w:r>
          </w:p>
        </w:tc>
        <w:tc>
          <w:tcPr>
            <w:tcW w:type="dxa" w:w="295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labels.wizardSurveyTaskSuccessful, userSurveyRating</w:t>
            </w:r>
          </w:p>
        </w:tc>
        <w:tc>
          <w:tcPr>
            <w:tcW w:type="dxa" w:w="165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Boolean / Float (1–5)</w:t>
            </w:r>
          </w:p>
        </w:tc>
        <w:tc>
          <w:tcPr>
            <w:tcW w:type="dxa" w:w="30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Wizard task completion flag and user satisfaction rating</w:t>
            </w:r>
          </w:p>
        </w:tc>
      </w:tr>
      <w:tr>
        <w:trPr>
          <w:cantSplit/>
        </w:trPr>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MultiWOZ (Raw)</w:t>
            </w:r>
          </w:p>
        </w:tc>
        <w:tc>
          <w:tcPr>
            <w:tcW w:type="dxa" w:w="295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dialogue_id, services</w:t>
            </w:r>
          </w:p>
        </w:tc>
        <w:tc>
          <w:tcPr>
            <w:tcW w:type="dxa" w:w="165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String / List</w:t>
            </w:r>
          </w:p>
        </w:tc>
        <w:tc>
          <w:tcPr>
            <w:tcW w:type="dxa" w:w="30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Unique dialogue ID and active service domains (hotel, train, taxi, attraction)</w:t>
            </w:r>
          </w:p>
        </w:tc>
      </w:tr>
      <w:tr>
        <w:trPr>
          <w:cantSplit/>
        </w:trPr>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MultiWOZ (Raw)</w:t>
            </w:r>
          </w:p>
        </w:tc>
        <w:tc>
          <w:tcPr>
            <w:tcW w:type="dxa" w:w="295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turns[].speaker, utterance, frames[].state</w:t>
            </w:r>
          </w:p>
        </w:tc>
        <w:tc>
          <w:tcPr>
            <w:tcW w:type="dxa" w:w="165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String / Dict</w:t>
            </w:r>
          </w:p>
        </w:tc>
        <w:tc>
          <w:tcPr>
            <w:tcW w:type="dxa" w:w="30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Speaker (USER or SYSTEM), utterance text, and turn-level slot state dictionary</w:t>
            </w:r>
          </w:p>
        </w:tc>
      </w:tr>
      <w:tr>
        <w:trPr>
          <w:cantSplit/>
        </w:trPr>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Canonical (Tier 1)</w:t>
            </w:r>
          </w:p>
        </w:tc>
        <w:tc>
          <w:tcPr>
            <w:tcW w:type="dxa" w:w="295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origin_city, destination_city, accommodation_tier</w:t>
            </w:r>
          </w:p>
        </w:tc>
        <w:tc>
          <w:tcPr>
            <w:tcW w:type="dxa" w:w="165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String (City / Tier)</w:t>
            </w:r>
          </w:p>
        </w:tc>
        <w:tc>
          <w:tcPr>
            <w:tcW w:type="dxa" w:w="30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Normalized origin, destination, and hotel star rating or category</w:t>
            </w:r>
          </w:p>
        </w:tc>
      </w:tr>
      <w:tr>
        <w:trPr>
          <w:cantSplit/>
        </w:trPr>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Canonical (Tier 1)</w:t>
            </w:r>
          </w:p>
        </w:tc>
        <w:tc>
          <w:tcPr>
            <w:tcW w:type="dxa" w:w="295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departure_date, return_date, duration_nights</w:t>
            </w:r>
          </w:p>
        </w:tc>
        <w:tc>
          <w:tcPr>
            <w:tcW w:type="dxa" w:w="165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String (Date) / Int (nights)</w:t>
            </w:r>
          </w:p>
        </w:tc>
        <w:tc>
          <w:tcPr>
            <w:tcW w:type="dxa" w:w="30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Normalized trip dates and length of stay in nights</w:t>
            </w:r>
          </w:p>
        </w:tc>
      </w:tr>
      <w:tr>
        <w:trPr>
          <w:cantSplit/>
        </w:trPr>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Canonical (Tier 1)</w:t>
            </w:r>
          </w:p>
        </w:tc>
        <w:tc>
          <w:tcPr>
            <w:tcW w:type="dxa" w:w="295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traveler_count_adults, traveler_count_children, budget_amount</w:t>
            </w:r>
          </w:p>
        </w:tc>
        <w:tc>
          <w:tcPr>
            <w:tcW w:type="dxa" w:w="165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Int (persons) / Float (USD)</w:t>
            </w:r>
          </w:p>
        </w:tc>
        <w:tc>
          <w:tcPr>
            <w:tcW w:type="dxa" w:w="30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Party composition and numeric budget ceiling in US dollars</w:t>
            </w:r>
          </w:p>
        </w:tc>
      </w:tr>
      <w:tr>
        <w:trPr>
          <w:cantSplit/>
        </w:trPr>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Canonical (Tier 2)</w:t>
            </w:r>
          </w:p>
        </w:tc>
        <w:tc>
          <w:tcPr>
            <w:tcW w:type="dxa" w:w="295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visa_processing_window_days, passport_expiry_months</w:t>
            </w:r>
          </w:p>
        </w:tc>
        <w:tc>
          <w:tcPr>
            <w:tcW w:type="dxa" w:w="165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Int (days / months)</w:t>
            </w:r>
          </w:p>
        </w:tc>
        <w:tc>
          <w:tcPr>
            <w:tcW w:type="dxa" w:w="30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Departure lead window (days) and remaining passport validity (months)</w:t>
            </w:r>
          </w:p>
        </w:tc>
      </w:tr>
      <w:tr>
        <w:trPr>
          <w:cantSplit/>
        </w:trPr>
        <w:tc>
          <w:tcPr>
            <w:tcW w:type="dxa" w:w="172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Canonical (Tier 2)</w:t>
            </w:r>
          </w:p>
        </w:tc>
        <w:tc>
          <w:tcPr>
            <w:tcW w:type="dxa" w:w="295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package_type, sharing_basis, discount_applied_percentage</w:t>
            </w:r>
          </w:p>
        </w:tc>
        <w:tc>
          <w:tcPr>
            <w:tcW w:type="dxa" w:w="165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String / Float (%)</w:t>
            </w:r>
          </w:p>
        </w:tc>
        <w:tc>
          <w:tcPr>
            <w:tcW w:type="dxa" w:w="30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Package class (FIT or Group), room occupancy, and promotional discount (%)</w:t>
            </w:r>
          </w:p>
        </w:tc>
      </w:tr>
    </w:tbl>
    <w:p>
      <w:pPr>
        <w:keepNext w:val="0"/>
        <w:widowControl/>
        <w:spacing w:line="240" w:lineRule="auto" w:before="0" w:after="80"/>
        <w:ind w:firstLine="0" w:left="0"/>
        <w:jc w:val="left"/>
      </w:pPr>
    </w:p>
    <w:p>
      <w:pPr>
        <w:pStyle w:val="Heading1"/>
        <w:keepNext/>
        <w:pageBreakBefore/>
        <w:widowControl/>
        <w:spacing w:line="480" w:lineRule="auto" w:before="0" w:after="0"/>
        <w:ind w:firstLine="0" w:left="0"/>
        <w:jc w:val="center"/>
      </w:pPr>
      <w:r>
        <w:rPr>
          <w:rFonts w:ascii="Times New Roman" w:hAnsi="Times New Roman" w:cs="Times New Roman" w:eastAsia="Times New Roman"/>
          <w:b/>
          <w:i w:val="0"/>
          <w:color w:val="000000"/>
          <w:sz w:val="24"/>
        </w:rPr>
        <w:t>Appendix B</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Ten-Week Project Schedule and Milestone Completion Log</w:t>
      </w:r>
    </w:p>
    <w:p>
      <w:pPr>
        <w:keepNext w:val="0"/>
        <w:widowControl/>
        <w:spacing w:line="480" w:lineRule="auto" w:before="0" w:after="0"/>
        <w:ind w:firstLine="720" w:left="0"/>
        <w:jc w:val="left"/>
      </w:pPr>
      <w:r>
        <w:fldChar w:fldCharType="begin"/>
      </w:r>
      <w:r>
        <w:instrText xml:space="preserve"> REF _RefTabB1 \h \* MERGEFORMAT </w:instrText>
      </w:r>
      <w:r>
        <w:fldChar w:fldCharType="separate"/>
      </w:r>
      <w:r>
        <w:rPr>
          <w:rFonts w:ascii="Times New Roman" w:hAnsi="Times New Roman" w:cs="Times New Roman" w:eastAsia="Times New Roman"/>
          <w:b w:val="0"/>
          <w:i w:val="0"/>
          <w:color w:val="000000"/>
          <w:sz w:val="24"/>
        </w:rPr>
        <w:t>Table B1</w:t>
      </w:r>
      <w:r>
        <w:fldChar w:fldCharType="end"/>
      </w:r>
      <w:r>
        <w:rPr>
          <w:rFonts w:ascii="Times New Roman" w:hAnsi="Times New Roman" w:cs="Times New Roman" w:eastAsia="Times New Roman"/>
          <w:b w:val="0"/>
          <w:i w:val="0"/>
          <w:color w:val="000000"/>
          <w:sz w:val="24"/>
        </w:rPr>
        <w:t xml:space="preserve"> documents the completed 10-week execution schedule aligned with QM640 course milestones.</w:t>
      </w:r>
    </w:p>
    <w:p>
      <w:pPr>
        <w:keepNext/>
        <w:widowControl/>
        <w:spacing w:line="480" w:lineRule="auto" w:before="120" w:after="0"/>
        <w:ind w:firstLine="0" w:left="0"/>
        <w:jc w:val="left"/>
      </w:pPr>
      <w:bookmarkStart w:name="_RefTabB1" w:id="251"/>
      <w:r>
        <w:rPr>
          <w:rFonts w:ascii="Times New Roman" w:hAnsi="Times New Roman" w:cs="Times New Roman" w:eastAsia="Times New Roman"/>
          <w:b/>
          <w:color w:val="000000"/>
          <w:sz w:val="24"/>
        </w:rPr>
        <w:t xml:space="preserve">Table </w:t>
      </w:r>
      <w:bookmarkStart w:name="_RefTabNB1" w:id="252"/>
      <w:r>
        <w:rPr>
          <w:rFonts w:ascii="Times New Roman" w:hAnsi="Times New Roman" w:cs="Times New Roman" w:eastAsia="Times New Roman"/>
          <w:b/>
          <w:color w:val="000000"/>
          <w:sz w:val="24"/>
        </w:rPr>
        <w:t>B1</w:t>
      </w:r>
      <w:bookmarkEnd w:id="252"/>
      <w:bookmarkEnd w:id="251"/>
    </w:p>
    <w:p>
      <w:pPr>
        <w:keepNext/>
        <w:widowControl/>
        <w:spacing w:line="480" w:lineRule="auto" w:before="0" w:after="0"/>
        <w:ind w:firstLine="0" w:left="0"/>
        <w:jc w:val="left"/>
      </w:pPr>
      <w:r>
        <w:rPr>
          <w:rFonts w:ascii="Times New Roman" w:hAnsi="Times New Roman" w:cs="Times New Roman" w:eastAsia="Times New Roman"/>
          <w:b w:val="0"/>
          <w:i/>
          <w:color w:val="000000"/>
          <w:sz w:val="24"/>
        </w:rPr>
        <w:t>Ten-Week Project Schedule and Milestone Completion Status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86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Week</w:t>
            </w:r>
          </w:p>
        </w:tc>
        <w:tc>
          <w:tcPr>
            <w:tcW w:type="dxa" w:w="237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QM640 course topic</w:t>
            </w:r>
          </w:p>
        </w:tc>
        <w:tc>
          <w:tcPr>
            <w:tcW w:type="dxa" w:w="482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Completed project tasks and deliverables</w:t>
            </w:r>
          </w:p>
        </w:tc>
        <w:tc>
          <w:tcPr>
            <w:tcW w:type="dxa" w:w="129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Status</w:t>
            </w:r>
          </w:p>
        </w:tc>
      </w:tr>
      <w:tr>
        <w:trPr>
          <w:cantSplit/>
        </w:trPr>
        <w:tc>
          <w:tcPr>
            <w:tcW w:type="dxa" w:w="86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w:t>
            </w:r>
          </w:p>
        </w:tc>
        <w:tc>
          <w:tcPr>
            <w:tcW w:type="dxa" w:w="2376"/>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Define research problem &amp; topic</w:t>
            </w:r>
          </w:p>
        </w:tc>
        <w:tc>
          <w:tcPr>
            <w:tcW w:type="dxa" w:w="482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Business &amp; technical problem statements finalized; GitHub repository initialized; Frames &amp; MultiWOZ 2.2 ingested</w:t>
            </w:r>
          </w:p>
        </w:tc>
        <w:tc>
          <w:tcPr>
            <w:tcW w:type="dxa" w:w="129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Complete</w:t>
            </w:r>
          </w:p>
        </w:tc>
      </w:tr>
      <w:tr>
        <w:trPr>
          <w:cantSplit/>
        </w:trPr>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Synopsis draft</w:t>
            </w:r>
          </w:p>
        </w:tc>
        <w:tc>
          <w:tcPr>
            <w:tcW w:type="dxa" w:w="48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Four research questions, hypotheses, and two-tier Pydantic schema defined</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Complete</w:t>
            </w:r>
          </w:p>
        </w:tc>
      </w:tr>
      <w:tr>
        <w:trPr>
          <w:cantSplit/>
        </w:trPr>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Literature search &amp; data collection</w:t>
            </w:r>
          </w:p>
        </w:tc>
        <w:tc>
          <w:tcPr>
            <w:tcW w:type="dxa" w:w="48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26 peer-reviewed business &amp; technical sources synthesized; canonical corpus parsed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2,834 analytic)</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Complete</w:t>
            </w:r>
          </w:p>
        </w:tc>
      </w:tr>
      <w:tr>
        <w:trPr>
          <w:cantSplit/>
        </w:trPr>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Objectives &amp; hypotheses</w:t>
            </w:r>
          </w:p>
        </w:tc>
        <w:tc>
          <w:tcPr>
            <w:tcW w:type="dxa" w:w="48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Data quality audit, univariate/bivariate/multivariate EDA, noncentral-</w:t>
            </w:r>
            <w:r>
              <w:rPr>
                <w:rFonts w:ascii="Times New Roman" w:hAnsi="Times New Roman" w:cs="Times New Roman" w:eastAsia="Times New Roman"/>
                <w:b w:val="0"/>
                <w:i/>
                <w:color w:val="000000"/>
                <w:sz w:val="20"/>
              </w:rPr>
              <w:t>F</w:t>
            </w:r>
            <w:r>
              <w:rPr>
                <w:rFonts w:ascii="Times New Roman" w:hAnsi="Times New Roman" w:cs="Times New Roman" w:eastAsia="Times New Roman"/>
                <w:b w:val="0"/>
                <w:i w:val="0"/>
                <w:color w:val="000000"/>
                <w:sz w:val="20"/>
              </w:rPr>
              <w:t xml:space="preserve"> power analysis, and primary RQ1 clustering</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Complete</w:t>
            </w:r>
          </w:p>
        </w:tc>
      </w:tr>
      <w:tr>
        <w:trPr>
          <w:cantSplit/>
        </w:trPr>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Research design &amp; methodology</w:t>
            </w:r>
          </w:p>
        </w:tc>
        <w:tc>
          <w:tcPr>
            <w:tcW w:type="dxa" w:w="48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Interim report submitted; primary RQ2 experiment (99 calls) and RQ1 sensitivity/truncation grid (Steps 2b–2i) completed</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Complete</w:t>
            </w:r>
          </w:p>
        </w:tc>
      </w:tr>
      <w:tr>
        <w:trPr>
          <w:cantSplit/>
        </w:trPr>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Data analysis plan</w:t>
            </w:r>
          </w:p>
        </w:tc>
        <w:tc>
          <w:tcPr>
            <w:tcW w:type="dxa" w:w="48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Built RefinedArchetypeRouter (Blocks prefix router, κ = .535–.958); repeated RQ2 on refined archetypes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Complete</w:t>
            </w:r>
          </w:p>
        </w:tc>
      </w:tr>
      <w:tr>
        <w:trPr>
          <w:cantSplit/>
        </w:trPr>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Data analysis plan execution</w:t>
            </w:r>
          </w:p>
        </w:tc>
        <w:tc>
          <w:tcPr>
            <w:tcW w:type="dxa" w:w="48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Executed RQ3 2 × 2 factorial experiment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144) and dual-LLM judge reliability audit (gemini-2.5-pro, κ = .917)</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Complete</w:t>
            </w:r>
          </w:p>
        </w:tc>
      </w:tr>
      <w:tr>
        <w:trPr>
          <w:cantSplit/>
        </w:trPr>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Data analysis assessment</w:t>
            </w:r>
          </w:p>
        </w:tc>
        <w:tc>
          <w:tcPr>
            <w:tcW w:type="dxa" w:w="48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Executed RQ4 2 × 3 multi-turn simulation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 180), persona fidelity validation (95.6%, κ = .933), and HC3/ART checks</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Complete</w:t>
            </w:r>
          </w:p>
        </w:tc>
      </w:tr>
      <w:tr>
        <w:trPr>
          <w:cantSplit/>
        </w:trPr>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Refinement &amp; documentation</w:t>
            </w:r>
          </w:p>
        </w:tc>
        <w:tc>
          <w:tcPr>
            <w:tcW w:type="dxa" w:w="48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Generated publication architecture, workflow, and EDA diagrams; synchronized empirical Jupyter notebooks and README</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Complete</w:t>
            </w:r>
          </w:p>
        </w:tc>
      </w:tr>
      <w:tr>
        <w:trPr>
          <w:cantSplit/>
        </w:trPr>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10</w:t>
            </w:r>
          </w:p>
        </w:tc>
        <w:tc>
          <w:tcPr>
            <w:tcW w:type="dxa" w:w="237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Document results &amp; findings</w:t>
            </w:r>
          </w:p>
        </w:tc>
        <w:tc>
          <w:tcPr>
            <w:tcW w:type="dxa" w:w="482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Compiled, audited, and exported submission-ready Final Report (.docx and .pdf)</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Complete</w:t>
            </w:r>
          </w:p>
        </w:tc>
      </w:tr>
    </w:tbl>
    <w:p>
      <w:pPr>
        <w:keepNext w:val="0"/>
        <w:widowControl/>
        <w:spacing w:line="240" w:lineRule="auto" w:before="0" w:after="80"/>
        <w:ind w:firstLine="0" w:left="0"/>
        <w:jc w:val="left"/>
      </w:pPr>
    </w:p>
    <w:p>
      <w:pPr>
        <w:pStyle w:val="Heading1"/>
        <w:keepNext/>
        <w:pageBreakBefore/>
        <w:widowControl/>
        <w:spacing w:line="480" w:lineRule="auto" w:before="0" w:after="0"/>
        <w:ind w:firstLine="0" w:left="0"/>
        <w:jc w:val="center"/>
      </w:pPr>
      <w:r>
        <w:rPr>
          <w:rFonts w:ascii="Times New Roman" w:hAnsi="Times New Roman" w:cs="Times New Roman" w:eastAsia="Times New Roman"/>
          <w:b/>
          <w:i w:val="0"/>
          <w:color w:val="000000"/>
          <w:sz w:val="24"/>
        </w:rPr>
        <w:t>Appendix C</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LLM Behavioral Annotation Codebook, Reliability, and Dual-Judge Validation</w:t>
      </w:r>
    </w:p>
    <w:p>
      <w:pPr>
        <w:keepNext w:val="0"/>
        <w:widowControl/>
        <w:spacing w:line="480" w:lineRule="auto" w:before="0" w:after="0"/>
        <w:ind w:firstLine="720" w:left="0"/>
        <w:jc w:val="left"/>
      </w:pPr>
      <w:r>
        <w:fldChar w:fldCharType="begin"/>
      </w:r>
      <w:r>
        <w:instrText xml:space="preserve"> REF _RefTabC1 \h \* MERGEFORMAT </w:instrText>
      </w:r>
      <w:r>
        <w:fldChar w:fldCharType="separate"/>
      </w:r>
      <w:r>
        <w:rPr>
          <w:rFonts w:ascii="Times New Roman" w:hAnsi="Times New Roman" w:cs="Times New Roman" w:eastAsia="Times New Roman"/>
          <w:b w:val="0"/>
          <w:i w:val="0"/>
          <w:color w:val="000000"/>
          <w:sz w:val="24"/>
        </w:rPr>
        <w:t>Table C1</w:t>
      </w:r>
      <w:r>
        <w:fldChar w:fldCharType="end"/>
      </w:r>
      <w:r>
        <w:rPr>
          <w:rFonts w:ascii="Times New Roman" w:hAnsi="Times New Roman" w:cs="Times New Roman" w:eastAsia="Times New Roman"/>
          <w:b w:val="0"/>
          <w:i w:val="0"/>
          <w:color w:val="000000"/>
          <w:sz w:val="24"/>
        </w:rPr>
        <w:t xml:space="preserve"> defines all 16 structured fields of the LLM behavioral codebook (`UserBehaviour` in </w:t>
      </w:r>
      <w:r>
        <w:rPr>
          <w:rFonts w:ascii="Times New Roman" w:hAnsi="Times New Roman" w:cs="Times New Roman" w:eastAsia="Times New Roman"/>
          <w:b w:val="0"/>
          <w:i/>
          <w:color w:val="000000"/>
          <w:sz w:val="24"/>
        </w:rPr>
        <w:t>step2e_llm_user_annotation.py</w:t>
      </w:r>
      <w:r>
        <w:rPr>
          <w:rFonts w:ascii="Times New Roman" w:hAnsi="Times New Roman" w:cs="Times New Roman" w:eastAsia="Times New Roman"/>
          <w:b w:val="0"/>
          <w:i w:val="0"/>
          <w:color w:val="000000"/>
          <w:sz w:val="24"/>
        </w:rPr>
        <w:t xml:space="preserve">: 10 ordinal 1–5 rating scales, 3 categorical goal/tone clustering fields, and 3 audit-only fields excluded from clustering), </w:t>
      </w:r>
      <w:r>
        <w:fldChar w:fldCharType="begin"/>
      </w:r>
      <w:r>
        <w:instrText xml:space="preserve"> REF _RefTabC2 \h \* MERGEFORMAT </w:instrText>
      </w:r>
      <w:r>
        <w:fldChar w:fldCharType="separate"/>
      </w:r>
      <w:r>
        <w:rPr>
          <w:rFonts w:ascii="Times New Roman" w:hAnsi="Times New Roman" w:cs="Times New Roman" w:eastAsia="Times New Roman"/>
          <w:b w:val="0"/>
          <w:i w:val="0"/>
          <w:color w:val="000000"/>
          <w:sz w:val="24"/>
        </w:rPr>
        <w:t>Table C2</w:t>
      </w:r>
      <w:r>
        <w:fldChar w:fldCharType="end"/>
      </w:r>
      <w:r>
        <w:rPr>
          <w:rFonts w:ascii="Times New Roman" w:hAnsi="Times New Roman" w:cs="Times New Roman" w:eastAsia="Times New Roman"/>
          <w:b w:val="0"/>
          <w:i w:val="0"/>
          <w:color w:val="000000"/>
          <w:sz w:val="24"/>
        </w:rPr>
        <w:t xml:space="preserve"> reports test–retest reliability across all 16 fields and criterion validity against ground-truth Frames dialogue acts, and </w:t>
      </w:r>
      <w:r>
        <w:fldChar w:fldCharType="begin"/>
      </w:r>
      <w:r>
        <w:instrText xml:space="preserve"> REF _RefTabC3 \h \* MERGEFORMAT </w:instrText>
      </w:r>
      <w:r>
        <w:fldChar w:fldCharType="separate"/>
      </w:r>
      <w:r>
        <w:rPr>
          <w:rFonts w:ascii="Times New Roman" w:hAnsi="Times New Roman" w:cs="Times New Roman" w:eastAsia="Times New Roman"/>
          <w:b w:val="0"/>
          <w:i w:val="0"/>
          <w:color w:val="000000"/>
          <w:sz w:val="24"/>
        </w:rPr>
        <w:t>Table C3</w:t>
      </w:r>
      <w:r>
        <w:fldChar w:fldCharType="end"/>
      </w:r>
      <w:r>
        <w:rPr>
          <w:rFonts w:ascii="Times New Roman" w:hAnsi="Times New Roman" w:cs="Times New Roman" w:eastAsia="Times New Roman"/>
          <w:b w:val="0"/>
          <w:i w:val="0"/>
          <w:color w:val="000000"/>
          <w:sz w:val="24"/>
        </w:rPr>
        <w:t xml:space="preserve"> summarizes the cross-model dual-judge reliability in RQ3 and simulator persona validation in RQ4.</w:t>
      </w:r>
    </w:p>
    <w:p>
      <w:pPr>
        <w:keepNext/>
        <w:widowControl/>
        <w:spacing w:line="480" w:lineRule="auto" w:before="120" w:after="0"/>
        <w:ind w:firstLine="0" w:left="0"/>
        <w:jc w:val="left"/>
      </w:pPr>
      <w:bookmarkStart w:name="_RefTabC1" w:id="253"/>
      <w:r>
        <w:rPr>
          <w:rFonts w:ascii="Times New Roman" w:hAnsi="Times New Roman" w:cs="Times New Roman" w:eastAsia="Times New Roman"/>
          <w:b/>
          <w:color w:val="000000"/>
          <w:sz w:val="24"/>
        </w:rPr>
        <w:t xml:space="preserve">Table </w:t>
      </w:r>
      <w:bookmarkStart w:name="_RefTabNC1" w:id="254"/>
      <w:r>
        <w:rPr>
          <w:rFonts w:ascii="Times New Roman" w:hAnsi="Times New Roman" w:cs="Times New Roman" w:eastAsia="Times New Roman"/>
          <w:b/>
          <w:color w:val="000000"/>
          <w:sz w:val="24"/>
        </w:rPr>
        <w:t>C1</w:t>
      </w:r>
      <w:bookmarkEnd w:id="254"/>
      <w:bookmarkEnd w:id="253"/>
    </w:p>
    <w:p>
      <w:pPr>
        <w:keepNext/>
        <w:widowControl/>
        <w:spacing w:line="480" w:lineRule="auto" w:before="0" w:after="0"/>
        <w:ind w:firstLine="0" w:left="0"/>
        <w:jc w:val="left"/>
      </w:pPr>
      <w:r>
        <w:rPr>
          <w:rFonts w:ascii="Times New Roman" w:hAnsi="Times New Roman" w:cs="Times New Roman" w:eastAsia="Times New Roman"/>
          <w:b w:val="0"/>
          <w:i/>
          <w:color w:val="000000"/>
          <w:sz w:val="24"/>
        </w:rPr>
        <w:t>LLM Behavioral Annotation Codebook (All 16 Structured Schema Fields)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3120"/>
        <w:gridCol w:w="3120"/>
        <w:gridCol w:w="3120"/>
      </w:tblGrid>
      <w:tr>
        <w:trPr>
          <w:cantSplit/>
          <w:tblHeader/>
        </w:trPr>
        <w:tc>
          <w:tcPr>
            <w:tcW w:type="dxa" w:w="252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&amp; Schema field</w:t>
            </w:r>
          </w:p>
        </w:tc>
        <w:tc>
          <w:tcPr>
            <w:tcW w:type="dxa" w:w="180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Scale &amp; role</w:t>
            </w:r>
          </w:p>
        </w:tc>
        <w:tc>
          <w:tcPr>
            <w:tcW w:type="dxa" w:w="504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Operational definition and scale anchors</w:t>
            </w:r>
          </w:p>
        </w:tc>
      </w:tr>
      <w:tr>
        <w:trPr>
          <w:cantSplit/>
        </w:trPr>
        <w:tc>
          <w:tcPr>
            <w:tcW w:type="dxa" w:w="252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1. destination_flexibility</w:t>
            </w:r>
          </w:p>
        </w:tc>
        <w:tc>
          <w:tcPr>
            <w:tcW w:type="dxa" w:w="180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Ordinal 1–5 (Cluster)</w:t>
            </w:r>
          </w:p>
        </w:tc>
        <w:tc>
          <w:tcPr>
            <w:tcW w:type="dxa" w:w="504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1 = insists on one fixed destination; 5 = open to any destination recommendation</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2. date_flexibility</w:t>
            </w:r>
          </w:p>
        </w:tc>
        <w:tc>
          <w:tcPr>
            <w:tcW w:type="dxa" w:w="180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Ordinal 1–5 (Cluster)</w:t>
            </w:r>
          </w:p>
        </w:tc>
        <w:tc>
          <w:tcPr>
            <w:tcW w:type="dxa" w:w="50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 = fixed travel dates; 5 = wide date window or completely flexible timing</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3. exploration_breadth</w:t>
            </w:r>
          </w:p>
        </w:tc>
        <w:tc>
          <w:tcPr>
            <w:tcW w:type="dxa" w:w="180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Ordinal 1–5 (Cluster)</w:t>
            </w:r>
          </w:p>
        </w:tc>
        <w:tc>
          <w:tcPr>
            <w:tcW w:type="dxa" w:w="50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 = evaluates a single option; 5 = actively compares multiple destinations, hotels, or dates</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4. decisiveness</w:t>
            </w:r>
          </w:p>
        </w:tc>
        <w:tc>
          <w:tcPr>
            <w:tcW w:type="dxa" w:w="180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Ordinal 1–5 (Cluster)</w:t>
            </w:r>
          </w:p>
        </w:tc>
        <w:tc>
          <w:tcPr>
            <w:tcW w:type="dxa" w:w="50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 = hesitant or leaves undecided; 5 = commits quickly and firmly once a matching offer is shown</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5. detail_orientation</w:t>
            </w:r>
          </w:p>
        </w:tc>
        <w:tc>
          <w:tcPr>
            <w:tcW w:type="dxa" w:w="180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Ordinal 1–5 (Cluster)</w:t>
            </w:r>
          </w:p>
        </w:tc>
        <w:tc>
          <w:tcPr>
            <w:tcW w:type="dxa" w:w="50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 = asks no package details; 5 = probes amenities, star ratings, flight times, and inclusions</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6. revision_tendency</w:t>
            </w:r>
          </w:p>
        </w:tc>
        <w:tc>
          <w:tcPr>
            <w:tcW w:type="dxa" w:w="180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Ordinal 1–5 (Cluster)</w:t>
            </w:r>
          </w:p>
        </w:tc>
        <w:tc>
          <w:tcPr>
            <w:tcW w:type="dxa" w:w="50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 = never modifies initial constraints; 5 = repeatedly shifts dates, destinations, or budgets</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7. question_asking</w:t>
            </w:r>
          </w:p>
        </w:tc>
        <w:tc>
          <w:tcPr>
            <w:tcW w:type="dxa" w:w="180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Ordinal 1–5 (Cluster)</w:t>
            </w:r>
          </w:p>
        </w:tc>
        <w:tc>
          <w:tcPr>
            <w:tcW w:type="dxa" w:w="50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 = passive responder; 5 = asks frequent clarifying and comparison questions</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8. politeness</w:t>
            </w:r>
          </w:p>
        </w:tc>
        <w:tc>
          <w:tcPr>
            <w:tcW w:type="dxa" w:w="180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Ordinal 1–5 (Cluster)</w:t>
            </w:r>
          </w:p>
        </w:tc>
        <w:tc>
          <w:tcPr>
            <w:tcW w:type="dxa" w:w="50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 = curt or abrupt; 5 = consistently courteous and appreciative</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9. price_sensitivity</w:t>
            </w:r>
          </w:p>
        </w:tc>
        <w:tc>
          <w:tcPr>
            <w:tcW w:type="dxa" w:w="180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Ordinal 1–5 (Cluster)</w:t>
            </w:r>
          </w:p>
        </w:tc>
        <w:tc>
          <w:tcPr>
            <w:tcW w:type="dxa" w:w="50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 = price never mentioned or irrelevant; 5 = price/budget dominates every decision</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10. information_upfront</w:t>
            </w:r>
          </w:p>
        </w:tc>
        <w:tc>
          <w:tcPr>
            <w:tcW w:type="dxa" w:w="180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Ordinal 1–5 (Cluster)</w:t>
            </w:r>
          </w:p>
        </w:tc>
        <w:tc>
          <w:tcPr>
            <w:tcW w:type="dxa" w:w="50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 = reveals constraints gradually across turns; 5 = states nearly all trip constraints in opening message</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11. primary_goal</w:t>
            </w:r>
          </w:p>
        </w:tc>
        <w:tc>
          <w:tcPr>
            <w:tcW w:type="dxa" w:w="180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Categorical (Cluster)</w:t>
            </w:r>
          </w:p>
        </w:tc>
        <w:tc>
          <w:tcPr>
            <w:tcW w:type="dxa" w:w="50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6 classes: explore_destinations, price_shopping, specific_trip_booking, compare_options, information_only, other</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12. secondary_goals</w:t>
            </w:r>
          </w:p>
        </w:tc>
        <w:tc>
          <w:tcPr>
            <w:tcW w:type="dxa" w:w="180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Multi-label (Cluster)</w:t>
            </w:r>
          </w:p>
        </w:tc>
        <w:tc>
          <w:tcPr>
            <w:tcW w:type="dxa" w:w="50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Multi-hot subset of the 6 goal classes above clearly present in user utterances</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13. emotional_tone</w:t>
            </w:r>
          </w:p>
        </w:tc>
        <w:tc>
          <w:tcPr>
            <w:tcW w:type="dxa" w:w="180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Categorical (Cluster)</w:t>
            </w:r>
          </w:p>
        </w:tc>
        <w:tc>
          <w:tcPr>
            <w:tcW w:type="dxa" w:w="50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4 classes: positive, neutral, impatient, or frustrated</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14. outcome</w:t>
            </w:r>
          </w:p>
        </w:tc>
        <w:tc>
          <w:tcPr>
            <w:tcW w:type="dxa" w:w="180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Categorical (Audit)</w:t>
            </w:r>
          </w:p>
        </w:tc>
        <w:tc>
          <w:tcPr>
            <w:tcW w:type="dxa" w:w="50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4 classes: booked, no_suitable_option, undecided_or_left, unclear (excluded from clustering input)</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15. party_type</w:t>
            </w:r>
          </w:p>
        </w:tc>
        <w:tc>
          <w:tcPr>
            <w:tcW w:type="dxa" w:w="180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Categorical (Audit)</w:t>
            </w:r>
          </w:p>
        </w:tc>
        <w:tc>
          <w:tcPr>
            <w:tcW w:type="dxa" w:w="504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6 classes: solo, couple, family, group, business, unknown (excluded from clustering input)</w:t>
            </w:r>
          </w:p>
        </w:tc>
      </w:tr>
      <w:tr>
        <w:trPr>
          <w:cantSplit/>
        </w:trPr>
        <w:tc>
          <w:tcPr>
            <w:tcW w:type="dxa" w:w="252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16. unusual_conversation</w:t>
            </w:r>
          </w:p>
        </w:tc>
        <w:tc>
          <w:tcPr>
            <w:tcW w:type="dxa" w:w="180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Boolean (Audit)</w:t>
            </w:r>
          </w:p>
        </w:tc>
        <w:tc>
          <w:tcPr>
            <w:tcW w:type="dxa" w:w="504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True only if off-task or anomalous request (excluded from clustering input)</w:t>
            </w:r>
          </w:p>
        </w:tc>
      </w:tr>
    </w:tbl>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Fields 1–13 form the clustering feature matrix (</w:t>
      </w:r>
      <w:r>
        <w:rPr>
          <w:rFonts w:ascii="Times New Roman" w:hAnsi="Times New Roman" w:cs="Times New Roman" w:eastAsia="Times New Roman"/>
          <w:b w:val="0"/>
          <w:i/>
          <w:color w:val="000000"/>
          <w:sz w:val="24"/>
        </w:rPr>
        <w:t>llm_matrix</w:t>
      </w:r>
      <w:r>
        <w:rPr>
          <w:rFonts w:ascii="Times New Roman" w:hAnsi="Times New Roman" w:cs="Times New Roman" w:eastAsia="Times New Roman"/>
          <w:b w:val="0"/>
          <w:i w:val="0"/>
          <w:color w:val="000000"/>
          <w:sz w:val="24"/>
        </w:rPr>
        <w:t>: 10 ordinal + 6 primary_goal + 6 secondary_goals + 4 emotional_tone = 26 numeric columns). Fields 14–16 are retained strictly for post-clustering validation.</w:t>
      </w:r>
    </w:p>
    <w:p>
      <w:pPr>
        <w:keepNext/>
        <w:widowControl/>
        <w:spacing w:line="480" w:lineRule="auto" w:before="120" w:after="0"/>
        <w:ind w:firstLine="0" w:left="0"/>
        <w:jc w:val="left"/>
      </w:pPr>
      <w:bookmarkStart w:name="_RefTabC2" w:id="255"/>
      <w:r>
        <w:rPr>
          <w:rFonts w:ascii="Times New Roman" w:hAnsi="Times New Roman" w:cs="Times New Roman" w:eastAsia="Times New Roman"/>
          <w:b/>
          <w:color w:val="000000"/>
          <w:sz w:val="24"/>
        </w:rPr>
        <w:t xml:space="preserve">Table </w:t>
      </w:r>
      <w:bookmarkStart w:name="_RefTabNC2" w:id="256"/>
      <w:r>
        <w:rPr>
          <w:rFonts w:ascii="Times New Roman" w:hAnsi="Times New Roman" w:cs="Times New Roman" w:eastAsia="Times New Roman"/>
          <w:b/>
          <w:color w:val="000000"/>
          <w:sz w:val="24"/>
        </w:rPr>
        <w:t>C2</w:t>
      </w:r>
      <w:bookmarkEnd w:id="256"/>
      <w:bookmarkEnd w:id="255"/>
    </w:p>
    <w:p>
      <w:pPr>
        <w:keepNext/>
        <w:widowControl/>
        <w:spacing w:line="480" w:lineRule="auto" w:before="0" w:after="0"/>
        <w:ind w:firstLine="0" w:left="0"/>
        <w:jc w:val="left"/>
      </w:pPr>
      <w:r>
        <w:rPr>
          <w:rFonts w:ascii="Times New Roman" w:hAnsi="Times New Roman" w:cs="Times New Roman" w:eastAsia="Times New Roman"/>
          <w:b w:val="0"/>
          <w:i/>
          <w:color w:val="000000"/>
          <w:sz w:val="24"/>
        </w:rPr>
        <w:t>Test–Retest Reliability and Criterion Validity Across All 16 LLM Behavioral Schema Fields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280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Schema field (#1–16)</w:t>
            </w:r>
          </w:p>
        </w:tc>
        <w:tc>
          <w:tcPr>
            <w:tcW w:type="dxa" w:w="136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Test–retest κ</w:t>
            </w:r>
          </w:p>
        </w:tc>
        <w:tc>
          <w:tcPr>
            <w:tcW w:type="dxa" w:w="367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Ground-truth Frames act criterion or field role</w:t>
            </w:r>
          </w:p>
        </w:tc>
        <w:tc>
          <w:tcPr>
            <w:tcW w:type="dxa" w:w="151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Spearman ρ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w:t>
            </w:r>
          </w:p>
        </w:tc>
      </w:tr>
      <w:tr>
        <w:trPr>
          <w:cantSplit/>
        </w:trPr>
        <w:tc>
          <w:tcPr>
            <w:tcW w:type="dxa" w:w="280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1. Destination flexibility</w:t>
            </w:r>
          </w:p>
        </w:tc>
        <w:tc>
          <w:tcPr>
            <w:tcW w:type="dxa" w:w="136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.96</w:t>
            </w:r>
          </w:p>
        </w:tc>
        <w:tc>
          <w:tcPr>
            <w:tcW w:type="dxa" w:w="367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w:t>
            </w:r>
          </w:p>
        </w:tc>
        <w:tc>
          <w:tcPr>
            <w:tcW w:type="dxa" w:w="151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2. Date flexibility</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.89</w:t>
            </w:r>
          </w:p>
        </w:tc>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w:t>
            </w:r>
          </w:p>
        </w:tc>
        <w:tc>
          <w:tcPr>
            <w:tcW w:type="dxa" w:w="151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3. Exploration breadth</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.95</w:t>
            </w:r>
          </w:p>
        </w:tc>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Frame switches per user turn</w:t>
            </w:r>
          </w:p>
        </w:tc>
        <w:tc>
          <w:tcPr>
            <w:tcW w:type="dxa" w:w="151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.30</w:t>
            </w:r>
          </w:p>
        </w:tc>
      </w:tr>
      <w:tr>
        <w:trPr>
          <w:cantSplit/>
        </w:trPr>
        <w:tc>
          <w:tcPr>
            <w:tcW w:type="dxa" w:w="2808"/>
          </w:tcPr>
          <w:p>
            <w:pPr>
              <w:keepNext w:val="0"/>
              <w:widowControl/>
              <w:spacing w:line="240" w:lineRule="auto" w:before="30" w:after="30"/>
              <w:ind w:firstLine="0" w:left="0"/>
              <w:jc w:val="left"/>
            </w:pPr>
          </w:p>
        </w:tc>
        <w:tc>
          <w:tcPr>
            <w:tcW w:type="dxa" w:w="1368"/>
          </w:tcPr>
          <w:p>
            <w:pPr>
              <w:keepNext w:val="0"/>
              <w:widowControl/>
              <w:spacing w:line="240" w:lineRule="auto" w:before="30" w:after="30"/>
              <w:ind w:firstLine="0" w:left="0"/>
              <w:jc w:val="center"/>
            </w:pPr>
          </w:p>
        </w:tc>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Comparison requests per user turn</w:t>
            </w:r>
          </w:p>
        </w:tc>
        <w:tc>
          <w:tcPr>
            <w:tcW w:type="dxa" w:w="151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.26</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4. Decisiveness</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.91</w:t>
            </w:r>
          </w:p>
        </w:tc>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w:t>
            </w:r>
          </w:p>
        </w:tc>
        <w:tc>
          <w:tcPr>
            <w:tcW w:type="dxa" w:w="151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5. Detail orientation</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.89</w:t>
            </w:r>
          </w:p>
        </w:tc>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Distinct preference slots mentioned</w:t>
            </w:r>
          </w:p>
        </w:tc>
        <w:tc>
          <w:tcPr>
            <w:tcW w:type="dxa" w:w="151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.45</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6. Revision tendency</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.89</w:t>
            </w:r>
          </w:p>
        </w:tc>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Slot-value changes in user acts</w:t>
            </w:r>
          </w:p>
        </w:tc>
        <w:tc>
          <w:tcPr>
            <w:tcW w:type="dxa" w:w="151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.73</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7. Question asking</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.90</w:t>
            </w:r>
          </w:p>
        </w:tc>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Request acts per user turn</w:t>
            </w:r>
          </w:p>
        </w:tc>
        <w:tc>
          <w:tcPr>
            <w:tcW w:type="dxa" w:w="151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.65</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8. Politeness</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.91</w:t>
            </w:r>
          </w:p>
        </w:tc>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w:t>
            </w:r>
          </w:p>
        </w:tc>
        <w:tc>
          <w:tcPr>
            <w:tcW w:type="dxa" w:w="151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9. Price sensitivity</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.95</w:t>
            </w:r>
          </w:p>
        </w:tc>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Numeric budget stated</w:t>
            </w:r>
          </w:p>
        </w:tc>
        <w:tc>
          <w:tcPr>
            <w:tcW w:type="dxa" w:w="151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.28</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10. Information given up front</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.87</w:t>
            </w:r>
          </w:p>
        </w:tc>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Share of slots stated in first user turn</w:t>
            </w:r>
          </w:p>
        </w:tc>
        <w:tc>
          <w:tcPr>
            <w:tcW w:type="dxa" w:w="151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11. Primary goal (6 classes)</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.78</w:t>
            </w:r>
          </w:p>
        </w:tc>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Categorical Cohen's κ (clustering)</w:t>
            </w:r>
          </w:p>
        </w:tc>
        <w:tc>
          <w:tcPr>
            <w:tcW w:type="dxa" w:w="151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12. Secondary goals (multi-label)</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.75</w:t>
            </w:r>
          </w:p>
        </w:tc>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Binary presence Cohen's κ (clustering)</w:t>
            </w:r>
          </w:p>
        </w:tc>
        <w:tc>
          <w:tcPr>
            <w:tcW w:type="dxa" w:w="151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13. Emotional tone (4 classes)</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.88</w:t>
            </w:r>
          </w:p>
        </w:tc>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Categorical Cohen's κ (clustering)</w:t>
            </w:r>
          </w:p>
        </w:tc>
        <w:tc>
          <w:tcPr>
            <w:tcW w:type="dxa" w:w="151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14. Session outcome (4 classes)</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.98</w:t>
            </w:r>
          </w:p>
        </w:tc>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Categorical Cohen's κ (audit-only)</w:t>
            </w:r>
          </w:p>
        </w:tc>
        <w:tc>
          <w:tcPr>
            <w:tcW w:type="dxa" w:w="151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r>
      <w:tr>
        <w:trPr>
          <w:cantSplit/>
        </w:trPr>
        <w:tc>
          <w:tcPr>
            <w:tcW w:type="dxa" w:w="280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15. Party type (6 classes)</w:t>
            </w:r>
          </w:p>
        </w:tc>
        <w:tc>
          <w:tcPr>
            <w:tcW w:type="dxa" w:w="136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.93</w:t>
            </w:r>
          </w:p>
        </w:tc>
        <w:tc>
          <w:tcPr>
            <w:tcW w:type="dxa" w:w="367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Categorical Cohen's κ (audit-only)</w:t>
            </w:r>
          </w:p>
        </w:tc>
        <w:tc>
          <w:tcPr>
            <w:tcW w:type="dxa" w:w="151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r>
      <w:tr>
        <w:trPr>
          <w:cantSplit/>
        </w:trPr>
        <w:tc>
          <w:tcPr>
            <w:tcW w:type="dxa" w:w="280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16. Unusual conversation (boolean)</w:t>
            </w:r>
          </w:p>
        </w:tc>
        <w:tc>
          <w:tcPr>
            <w:tcW w:type="dxa" w:w="136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.80</w:t>
            </w:r>
          </w:p>
        </w:tc>
        <w:tc>
          <w:tcPr>
            <w:tcW w:type="dxa" w:w="367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Boolean Cohen's κ (99.0% raw agreement, audit-only)</w:t>
            </w:r>
          </w:p>
        </w:tc>
        <w:tc>
          <w:tcPr>
            <w:tcW w:type="dxa" w:w="151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r>
    </w:tbl>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Test–retest subsample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100 (quadratic-weighted κ for ordinal Fields 1–10; Cohen's κ for Fields 11–16); criterion validity </w:t>
      </w:r>
      <w:r>
        <w:rPr>
          <w:rFonts w:ascii="Times New Roman" w:hAnsi="Times New Roman" w:cs="Times New Roman" w:eastAsia="Times New Roman"/>
          <w:b w:val="0"/>
          <w:i/>
          <w:color w:val="000000"/>
          <w:sz w:val="24"/>
        </w:rPr>
        <w:t>N</w:t>
      </w:r>
      <w:r>
        <w:rPr>
          <w:rFonts w:ascii="Times New Roman" w:hAnsi="Times New Roman" w:cs="Times New Roman" w:eastAsia="Times New Roman"/>
          <w:b w:val="0"/>
          <w:i w:val="0"/>
          <w:color w:val="000000"/>
          <w:sz w:val="24"/>
        </w:rPr>
        <w:t xml:space="preserve"> = 1,334 Frames dialogues.</w:t>
      </w:r>
    </w:p>
    <w:p>
      <w:pPr>
        <w:keepNext/>
        <w:widowControl/>
        <w:spacing w:line="480" w:lineRule="auto" w:before="120" w:after="0"/>
        <w:ind w:firstLine="0" w:left="0"/>
        <w:jc w:val="left"/>
      </w:pPr>
      <w:bookmarkStart w:name="_RefTabC3" w:id="257"/>
      <w:r>
        <w:rPr>
          <w:rFonts w:ascii="Times New Roman" w:hAnsi="Times New Roman" w:cs="Times New Roman" w:eastAsia="Times New Roman"/>
          <w:b/>
          <w:color w:val="000000"/>
          <w:sz w:val="24"/>
        </w:rPr>
        <w:t xml:space="preserve">Table </w:t>
      </w:r>
      <w:bookmarkStart w:name="_RefTabNC3" w:id="258"/>
      <w:r>
        <w:rPr>
          <w:rFonts w:ascii="Times New Roman" w:hAnsi="Times New Roman" w:cs="Times New Roman" w:eastAsia="Times New Roman"/>
          <w:b/>
          <w:color w:val="000000"/>
          <w:sz w:val="24"/>
        </w:rPr>
        <w:t>C3</w:t>
      </w:r>
      <w:bookmarkEnd w:id="258"/>
      <w:bookmarkEnd w:id="257"/>
    </w:p>
    <w:p>
      <w:pPr>
        <w:keepNext/>
        <w:widowControl/>
        <w:spacing w:line="480" w:lineRule="auto" w:before="0" w:after="0"/>
        <w:ind w:firstLine="0" w:left="0"/>
        <w:jc w:val="left"/>
      </w:pPr>
      <w:r>
        <w:rPr>
          <w:rFonts w:ascii="Times New Roman" w:hAnsi="Times New Roman" w:cs="Times New Roman" w:eastAsia="Times New Roman"/>
          <w:b w:val="0"/>
          <w:i/>
          <w:color w:val="000000"/>
          <w:sz w:val="24"/>
        </w:rPr>
        <w:t>Cross-Model Dual-Judge Reliability (RQ3) and Simulator Persona Fidelity Validation (RQ4)</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560"/>
        <w:gridCol w:w="1560"/>
        <w:gridCol w:w="1560"/>
        <w:gridCol w:w="1560"/>
        <w:gridCol w:w="1560"/>
        <w:gridCol w:w="1560"/>
      </w:tblGrid>
      <w:tr>
        <w:trPr>
          <w:cantSplit/>
          <w:tblHeader/>
        </w:trPr>
        <w:tc>
          <w:tcPr>
            <w:tcW w:type="dxa" w:w="208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Validation audit</w:t>
            </w:r>
          </w:p>
        </w:tc>
        <w:tc>
          <w:tcPr>
            <w:tcW w:type="dxa" w:w="79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Sample </w:t>
            </w:r>
            <w:r>
              <w:rPr>
                <w:rFonts w:ascii="Times New Roman" w:hAnsi="Times New Roman" w:cs="Times New Roman" w:eastAsia="Times New Roman"/>
                <w:b w:val="0"/>
                <w:i/>
                <w:color w:val="000000"/>
                <w:sz w:val="20"/>
              </w:rPr>
              <w:t>n</w:t>
            </w:r>
          </w:p>
        </w:tc>
        <w:tc>
          <w:tcPr>
            <w:tcW w:type="dxa" w:w="194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Evaluator models compared</w:t>
            </w:r>
          </w:p>
        </w:tc>
        <w:tc>
          <w:tcPr>
            <w:tcW w:type="dxa" w:w="129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Raw agreement / Accuracy</w:t>
            </w:r>
          </w:p>
        </w:tc>
        <w:tc>
          <w:tcPr>
            <w:tcW w:type="dxa" w:w="122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Cohen's κ (PABAK)</w:t>
            </w:r>
          </w:p>
        </w:tc>
        <w:tc>
          <w:tcPr>
            <w:tcW w:type="dxa" w:w="201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Additional validity evidence</w:t>
            </w:r>
          </w:p>
        </w:tc>
      </w:tr>
      <w:tr>
        <w:trPr>
          <w:cantSplit/>
        </w:trPr>
        <w:tc>
          <w:tcPr>
            <w:tcW w:type="dxa" w:w="2088"/>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RQ3 Policy Compliance Dual-Judge Audit</w:t>
            </w:r>
          </w:p>
        </w:tc>
        <w:tc>
          <w:tcPr>
            <w:tcW w:type="dxa" w:w="79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48</w:t>
            </w:r>
          </w:p>
        </w:tc>
        <w:tc>
          <w:tcPr>
            <w:tcW w:type="dxa" w:w="1944"/>
          </w:tcPr>
          <w:p>
            <w:pPr>
              <w:keepNext/>
              <w:widowControl/>
              <w:spacing w:line="240" w:lineRule="auto" w:before="30" w:after="30"/>
              <w:ind w:firstLine="0" w:left="0"/>
              <w:jc w:val="left"/>
            </w:pPr>
            <w:r>
              <w:rPr>
                <w:rFonts w:ascii="Times New Roman" w:hAnsi="Times New Roman" w:cs="Times New Roman" w:eastAsia="Times New Roman"/>
                <w:b w:val="0"/>
                <w:i/>
                <w:color w:val="000000"/>
                <w:sz w:val="20"/>
              </w:rPr>
              <w:t>gemini-2.5-flash</w:t>
            </w:r>
            <w:r>
              <w:rPr>
                <w:rFonts w:ascii="Times New Roman" w:hAnsi="Times New Roman" w:cs="Times New Roman" w:eastAsia="Times New Roman"/>
                <w:b w:val="0"/>
                <w:i w:val="0"/>
                <w:color w:val="000000"/>
                <w:sz w:val="20"/>
              </w:rPr>
              <w:t xml:space="preserve"> vs. </w:t>
            </w:r>
            <w:r>
              <w:rPr>
                <w:rFonts w:ascii="Times New Roman" w:hAnsi="Times New Roman" w:cs="Times New Roman" w:eastAsia="Times New Roman"/>
                <w:b w:val="0"/>
                <w:i/>
                <w:color w:val="000000"/>
                <w:sz w:val="20"/>
              </w:rPr>
              <w:t>gemini-2.5-pro</w:t>
            </w:r>
          </w:p>
        </w:tc>
        <w:tc>
          <w:tcPr>
            <w:tcW w:type="dxa" w:w="129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95.8%</w:t>
            </w:r>
          </w:p>
        </w:tc>
        <w:tc>
          <w:tcPr>
            <w:tcW w:type="dxa" w:w="122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.917 (.917)</w:t>
            </w:r>
          </w:p>
        </w:tc>
        <w:tc>
          <w:tcPr>
            <w:tcW w:type="dxa" w:w="2016"/>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Flash vs. deterministic regex audit: 89.6% agreement, κ = .791</w:t>
            </w:r>
          </w:p>
        </w:tc>
      </w:tr>
      <w:tr>
        <w:trPr>
          <w:cantSplit/>
        </w:trPr>
        <w:tc>
          <w:tcPr>
            <w:tcW w:type="dxa" w:w="208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RQ4 Simulator Persona Fidelity Audit</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45</w:t>
            </w:r>
          </w:p>
        </w:tc>
        <w:tc>
          <w:tcPr>
            <w:tcW w:type="dxa" w:w="194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Intended Archetype vs. Blind </w:t>
            </w:r>
            <w:r>
              <w:rPr>
                <w:rFonts w:ascii="Times New Roman" w:hAnsi="Times New Roman" w:cs="Times New Roman" w:eastAsia="Times New Roman"/>
                <w:b w:val="0"/>
                <w:i/>
                <w:color w:val="000000"/>
                <w:sz w:val="20"/>
              </w:rPr>
              <w:t>gemini-2.5-pro</w:t>
            </w:r>
            <w:r>
              <w:rPr>
                <w:rFonts w:ascii="Times New Roman" w:hAnsi="Times New Roman" w:cs="Times New Roman" w:eastAsia="Times New Roman"/>
                <w:b w:val="0"/>
                <w:i w:val="0"/>
                <w:color w:val="000000"/>
                <w:sz w:val="20"/>
              </w:rPr>
              <w:t xml:space="preserve"> Judge</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95.6% (vs. 33.3% chance)</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.933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&lt; .001)</w:t>
            </w:r>
          </w:p>
        </w:tc>
        <w:tc>
          <w:tcPr>
            <w:tcW w:type="dxa" w:w="201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Mean ratings (Decisiveness / Exploration / Rigidity): DB = 5.0/1.0/1.5; OE = 3.9/4.3/2.0; RCS = 4.5/1.1/4.3</w:t>
            </w:r>
          </w:p>
        </w:tc>
      </w:tr>
    </w:tbl>
    <w:p>
      <w:pPr>
        <w:keepNext w:val="0"/>
        <w:widowControl/>
        <w:spacing w:line="240" w:lineRule="auto" w:before="0" w:after="80"/>
        <w:ind w:firstLine="0" w:left="0"/>
        <w:jc w:val="left"/>
      </w:pPr>
    </w:p>
    <w:p>
      <w:pPr>
        <w:pStyle w:val="Heading1"/>
        <w:keepNext/>
        <w:pageBreakBefore/>
        <w:widowControl/>
        <w:spacing w:line="480" w:lineRule="auto" w:before="0" w:after="0"/>
        <w:ind w:firstLine="0" w:left="0"/>
        <w:jc w:val="center"/>
      </w:pPr>
      <w:r>
        <w:rPr>
          <w:rFonts w:ascii="Times New Roman" w:hAnsi="Times New Roman" w:cs="Times New Roman" w:eastAsia="Times New Roman"/>
          <w:b/>
          <w:i w:val="0"/>
          <w:color w:val="000000"/>
          <w:sz w:val="24"/>
        </w:rPr>
        <w:t>Appendix D</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RQ1 Sensitivity Grid, Ablation Diagnostics, and Primary Archetype Profiles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Tables </w:t>
      </w:r>
      <w:r>
        <w:fldChar w:fldCharType="begin"/>
      </w:r>
      <w:r>
        <w:instrText xml:space="preserve"> REF _RefTabND1 \h \* MERGEFORMAT </w:instrText>
      </w:r>
      <w:r>
        <w:fldChar w:fldCharType="separate"/>
      </w:r>
      <w:r>
        <w:rPr>
          <w:rFonts w:ascii="Times New Roman" w:hAnsi="Times New Roman" w:cs="Times New Roman" w:eastAsia="Times New Roman"/>
          <w:b w:val="0"/>
          <w:i w:val="0"/>
          <w:color w:val="000000"/>
          <w:sz w:val="24"/>
        </w:rPr>
        <w:t>D1</w:t>
      </w:r>
      <w:r>
        <w:fldChar w:fldCharType="end"/>
      </w:r>
      <w:r>
        <w:rPr>
          <w:rFonts w:ascii="Times New Roman" w:hAnsi="Times New Roman" w:cs="Times New Roman" w:eastAsia="Times New Roman"/>
          <w:b w:val="0"/>
          <w:i w:val="0"/>
          <w:color w:val="000000"/>
          <w:sz w:val="24"/>
        </w:rPr>
        <w:t>–</w:t>
      </w:r>
      <w:r>
        <w:fldChar w:fldCharType="begin"/>
      </w:r>
      <w:r>
        <w:instrText xml:space="preserve"> REF _RefTabND6 \h \* MERGEFORMAT </w:instrText>
      </w:r>
      <w:r>
        <w:fldChar w:fldCharType="separate"/>
      </w:r>
      <w:r>
        <w:rPr>
          <w:rFonts w:ascii="Times New Roman" w:hAnsi="Times New Roman" w:cs="Times New Roman" w:eastAsia="Times New Roman"/>
          <w:b w:val="0"/>
          <w:i w:val="0"/>
          <w:color w:val="000000"/>
          <w:sz w:val="24"/>
        </w:rPr>
        <w:t>D6</w:t>
      </w:r>
      <w:r>
        <w:fldChar w:fldCharType="end"/>
      </w:r>
      <w:r>
        <w:rPr>
          <w:rFonts w:ascii="Times New Roman" w:hAnsi="Times New Roman" w:cs="Times New Roman" w:eastAsia="Times New Roman"/>
          <w:b w:val="0"/>
          <w:i w:val="0"/>
          <w:color w:val="000000"/>
          <w:sz w:val="24"/>
        </w:rPr>
        <w:t xml:space="preserve"> and </w:t>
      </w:r>
      <w:r>
        <w:rPr>
          <w:rFonts w:ascii="Times New Roman" w:hAnsi="Times New Roman" w:cs="Times New Roman" w:eastAsia="Times New Roman"/>
          <w:b w:val="0"/>
          <w:i w:val="0"/>
          <w:color w:val="000000"/>
          <w:sz w:val="24"/>
        </w:rPr>
        <w:t xml:space="preserve">Figures </w:t>
      </w:r>
      <w:r>
        <w:fldChar w:fldCharType="begin"/>
      </w:r>
      <w:r>
        <w:instrText xml:space="preserve"> REF _RefFigND1 \h \* MERGEFORMAT </w:instrText>
      </w:r>
      <w:r>
        <w:fldChar w:fldCharType="separate"/>
      </w:r>
      <w:r>
        <w:rPr>
          <w:rFonts w:ascii="Times New Roman" w:hAnsi="Times New Roman" w:cs="Times New Roman" w:eastAsia="Times New Roman"/>
          <w:b w:val="0"/>
          <w:i w:val="0"/>
          <w:color w:val="000000"/>
          <w:sz w:val="24"/>
        </w:rPr>
        <w:t>D1</w:t>
      </w:r>
      <w:r>
        <w:fldChar w:fldCharType="end"/>
      </w:r>
      <w:r>
        <w:rPr>
          <w:rFonts w:ascii="Times New Roman" w:hAnsi="Times New Roman" w:cs="Times New Roman" w:eastAsia="Times New Roman"/>
          <w:b w:val="0"/>
          <w:i w:val="0"/>
          <w:color w:val="000000"/>
          <w:sz w:val="24"/>
        </w:rPr>
        <w:t>–</w:t>
      </w:r>
      <w:r>
        <w:fldChar w:fldCharType="begin"/>
      </w:r>
      <w:r>
        <w:instrText xml:space="preserve"> REF _RefFigND4 \h \* MERGEFORMAT </w:instrText>
      </w:r>
      <w:r>
        <w:fldChar w:fldCharType="separate"/>
      </w:r>
      <w:r>
        <w:rPr>
          <w:rFonts w:ascii="Times New Roman" w:hAnsi="Times New Roman" w:cs="Times New Roman" w:eastAsia="Times New Roman"/>
          <w:b w:val="0"/>
          <w:i w:val="0"/>
          <w:color w:val="000000"/>
          <w:sz w:val="24"/>
        </w:rPr>
        <w:t>D4</w:t>
      </w:r>
      <w:r>
        <w:fldChar w:fldCharType="end"/>
      </w:r>
      <w:r>
        <w:rPr>
          <w:rFonts w:ascii="Times New Roman" w:hAnsi="Times New Roman" w:cs="Times New Roman" w:eastAsia="Times New Roman"/>
          <w:b w:val="0"/>
          <w:i w:val="0"/>
          <w:color w:val="000000"/>
          <w:sz w:val="24"/>
        </w:rPr>
        <w:t xml:space="preserve"> provide the complete diagnostic tables and visual plots supporting the RQ1 primary clustering benchmark and the representation × truncation sensitivity analysis.</w:t>
      </w:r>
    </w:p>
    <w:p>
      <w:pPr>
        <w:keepNext/>
        <w:widowControl/>
        <w:spacing w:line="480" w:lineRule="auto" w:before="120" w:after="0"/>
        <w:ind w:firstLine="0" w:left="0"/>
        <w:jc w:val="left"/>
      </w:pPr>
      <w:bookmarkStart w:name="_RefTabD1" w:id="259"/>
      <w:r>
        <w:rPr>
          <w:rFonts w:ascii="Times New Roman" w:hAnsi="Times New Roman" w:cs="Times New Roman" w:eastAsia="Times New Roman"/>
          <w:b/>
          <w:color w:val="000000"/>
          <w:sz w:val="24"/>
        </w:rPr>
        <w:t xml:space="preserve">Table </w:t>
      </w:r>
      <w:bookmarkStart w:name="_RefTabND1" w:id="260"/>
      <w:r>
        <w:rPr>
          <w:rFonts w:ascii="Times New Roman" w:hAnsi="Times New Roman" w:cs="Times New Roman" w:eastAsia="Times New Roman"/>
          <w:b/>
          <w:color w:val="000000"/>
          <w:sz w:val="24"/>
        </w:rPr>
        <w:t>D1</w:t>
      </w:r>
      <w:bookmarkEnd w:id="260"/>
      <w:bookmarkEnd w:id="259"/>
    </w:p>
    <w:p>
      <w:pPr>
        <w:keepNext/>
        <w:widowControl/>
        <w:spacing w:line="480" w:lineRule="auto" w:before="0" w:after="0"/>
        <w:ind w:firstLine="0" w:left="0"/>
        <w:jc w:val="left"/>
      </w:pPr>
      <w:r>
        <w:rPr>
          <w:rFonts w:ascii="Times New Roman" w:hAnsi="Times New Roman" w:cs="Times New Roman" w:eastAsia="Times New Roman"/>
          <w:b w:val="0"/>
          <w:i/>
          <w:color w:val="000000"/>
          <w:sz w:val="24"/>
        </w:rPr>
        <w:t>Choice of Number of Clusters k on the Golden Partition (MiniLM Trajectory Embeddings)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72"/>
        <w:gridCol w:w="1872"/>
        <w:gridCol w:w="1872"/>
        <w:gridCol w:w="1872"/>
        <w:gridCol w:w="1872"/>
      </w:tblGrid>
      <w:tr>
        <w:trPr>
          <w:cantSplit/>
          <w:tblHeader/>
        </w:trPr>
        <w:tc>
          <w:tcPr>
            <w:tcW w:type="dxa" w:w="86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k</w:t>
            </w:r>
          </w:p>
        </w:tc>
        <w:tc>
          <w:tcPr>
            <w:tcW w:type="dxa" w:w="201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Cosine Silhouette</w:t>
            </w:r>
          </w:p>
        </w:tc>
        <w:tc>
          <w:tcPr>
            <w:tcW w:type="dxa" w:w="216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Davies–Bouldin index</w:t>
            </w:r>
          </w:p>
        </w:tc>
        <w:tc>
          <w:tcPr>
            <w:tcW w:type="dxa" w:w="216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Within-cluster inertia</w:t>
            </w:r>
          </w:p>
        </w:tc>
        <w:tc>
          <w:tcPr>
            <w:tcW w:type="dxa" w:w="216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Smallest cluster (%)</w:t>
            </w:r>
          </w:p>
        </w:tc>
      </w:tr>
      <w:tr>
        <w:trPr>
          <w:cantSplit/>
        </w:trPr>
        <w:tc>
          <w:tcPr>
            <w:tcW w:type="dxa" w:w="86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2</w:t>
            </w:r>
          </w:p>
        </w:tc>
        <w:tc>
          <w:tcPr>
            <w:tcW w:type="dxa" w:w="201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.206</w:t>
            </w:r>
          </w:p>
        </w:tc>
        <w:tc>
          <w:tcPr>
            <w:tcW w:type="dxa" w:w="216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3.136</w:t>
            </w:r>
          </w:p>
        </w:tc>
        <w:tc>
          <w:tcPr>
            <w:tcW w:type="dxa" w:w="216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193.1</w:t>
            </w:r>
          </w:p>
        </w:tc>
        <w:tc>
          <w:tcPr>
            <w:tcW w:type="dxa" w:w="216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35.5</w:t>
            </w:r>
          </w:p>
        </w:tc>
      </w:tr>
      <w:tr>
        <w:trPr>
          <w:cantSplit/>
        </w:trPr>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.141</w:t>
            </w:r>
          </w:p>
        </w:tc>
        <w:tc>
          <w:tcPr>
            <w:tcW w:type="dxa" w:w="216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3.244</w:t>
            </w:r>
          </w:p>
        </w:tc>
        <w:tc>
          <w:tcPr>
            <w:tcW w:type="dxa" w:w="216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184.6</w:t>
            </w:r>
          </w:p>
        </w:tc>
        <w:tc>
          <w:tcPr>
            <w:tcW w:type="dxa" w:w="216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24.1</w:t>
            </w:r>
          </w:p>
        </w:tc>
      </w:tr>
      <w:tr>
        <w:trPr>
          <w:cantSplit/>
        </w:trPr>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.142</w:t>
            </w:r>
          </w:p>
        </w:tc>
        <w:tc>
          <w:tcPr>
            <w:tcW w:type="dxa" w:w="216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2.997</w:t>
            </w:r>
          </w:p>
        </w:tc>
        <w:tc>
          <w:tcPr>
            <w:tcW w:type="dxa" w:w="216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178.1</w:t>
            </w:r>
          </w:p>
        </w:tc>
        <w:tc>
          <w:tcPr>
            <w:tcW w:type="dxa" w:w="216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17.7</w:t>
            </w:r>
          </w:p>
        </w:tc>
      </w:tr>
      <w:tr>
        <w:trPr>
          <w:cantSplit/>
        </w:trPr>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.148</w:t>
            </w:r>
          </w:p>
        </w:tc>
        <w:tc>
          <w:tcPr>
            <w:tcW w:type="dxa" w:w="216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2.950</w:t>
            </w:r>
          </w:p>
        </w:tc>
        <w:tc>
          <w:tcPr>
            <w:tcW w:type="dxa" w:w="216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173.6</w:t>
            </w:r>
          </w:p>
        </w:tc>
        <w:tc>
          <w:tcPr>
            <w:tcW w:type="dxa" w:w="216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8.7</w:t>
            </w:r>
          </w:p>
        </w:tc>
      </w:tr>
      <w:tr>
        <w:trPr>
          <w:cantSplit/>
        </w:trPr>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.077</w:t>
            </w:r>
          </w:p>
        </w:tc>
        <w:tc>
          <w:tcPr>
            <w:tcW w:type="dxa" w:w="216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3.118</w:t>
            </w:r>
          </w:p>
        </w:tc>
        <w:tc>
          <w:tcPr>
            <w:tcW w:type="dxa" w:w="216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169.7</w:t>
            </w:r>
          </w:p>
        </w:tc>
        <w:tc>
          <w:tcPr>
            <w:tcW w:type="dxa" w:w="216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8.4</w:t>
            </w:r>
          </w:p>
        </w:tc>
      </w:tr>
    </w:tbl>
    <w:p>
      <w:pPr>
        <w:keepNext w:val="0"/>
        <w:widowControl/>
        <w:spacing w:line="240" w:lineRule="auto" w:before="0" w:after="80"/>
        <w:ind w:firstLine="0" w:left="0"/>
        <w:jc w:val="left"/>
      </w:pPr>
    </w:p>
    <w:p>
      <w:pPr>
        <w:keepNext/>
        <w:widowControl/>
        <w:spacing w:line="480" w:lineRule="auto" w:before="120" w:after="0"/>
        <w:ind w:firstLine="0" w:left="0"/>
        <w:jc w:val="left"/>
      </w:pPr>
      <w:bookmarkStart w:name="_RefTabD2" w:id="261"/>
      <w:r>
        <w:rPr>
          <w:rFonts w:ascii="Times New Roman" w:hAnsi="Times New Roman" w:cs="Times New Roman" w:eastAsia="Times New Roman"/>
          <w:b/>
          <w:color w:val="000000"/>
          <w:sz w:val="24"/>
        </w:rPr>
        <w:t xml:space="preserve">Table </w:t>
      </w:r>
      <w:bookmarkStart w:name="_RefTabND2" w:id="262"/>
      <w:r>
        <w:rPr>
          <w:rFonts w:ascii="Times New Roman" w:hAnsi="Times New Roman" w:cs="Times New Roman" w:eastAsia="Times New Roman"/>
          <w:b/>
          <w:color w:val="000000"/>
          <w:sz w:val="24"/>
        </w:rPr>
        <w:t>D2</w:t>
      </w:r>
      <w:bookmarkEnd w:id="262"/>
      <w:bookmarkEnd w:id="261"/>
    </w:p>
    <w:p>
      <w:pPr>
        <w:keepNext/>
        <w:widowControl/>
        <w:spacing w:line="480" w:lineRule="auto" w:before="0" w:after="0"/>
        <w:ind w:firstLine="0" w:left="0"/>
        <w:jc w:val="left"/>
      </w:pPr>
      <w:r>
        <w:rPr>
          <w:rFonts w:ascii="Times New Roman" w:hAnsi="Times New Roman" w:cs="Times New Roman" w:eastAsia="Times New Roman"/>
          <w:b w:val="0"/>
          <w:i/>
          <w:color w:val="000000"/>
          <w:sz w:val="24"/>
        </w:rPr>
        <w:t>Pairwise Post Hoc Comparisons of Mean Silhouette Across Clustering Algorithms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72"/>
        <w:gridCol w:w="1872"/>
        <w:gridCol w:w="1872"/>
        <w:gridCol w:w="1872"/>
        <w:gridCol w:w="1872"/>
      </w:tblGrid>
      <w:tr>
        <w:trPr>
          <w:cantSplit/>
          <w:tblHeader/>
        </w:trPr>
        <w:tc>
          <w:tcPr>
            <w:tcW w:type="dxa" w:w="288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Algorithm comparison</w:t>
            </w:r>
          </w:p>
        </w:tc>
        <w:tc>
          <w:tcPr>
            <w:tcW w:type="dxa" w:w="158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Mean difference</w:t>
            </w:r>
          </w:p>
        </w:tc>
        <w:tc>
          <w:tcPr>
            <w:tcW w:type="dxa" w:w="201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95% CI (Tukey HSD)</w:t>
            </w:r>
          </w:p>
        </w:tc>
        <w:tc>
          <w:tcPr>
            <w:tcW w:type="dxa" w:w="144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(Tukey HSD)</w:t>
            </w:r>
          </w:p>
        </w:tc>
        <w:tc>
          <w:tcPr>
            <w:tcW w:type="dxa" w:w="144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(Games–Howell)</w:t>
            </w:r>
          </w:p>
        </w:tc>
      </w:tr>
      <w:tr>
        <w:trPr>
          <w:cantSplit/>
        </w:trPr>
        <w:tc>
          <w:tcPr>
            <w:tcW w:type="dxa" w:w="288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K-Means − Agglomerative</w:t>
            </w:r>
          </w:p>
        </w:tc>
        <w:tc>
          <w:tcPr>
            <w:tcW w:type="dxa" w:w="158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.029</w:t>
            </w:r>
          </w:p>
        </w:tc>
        <w:tc>
          <w:tcPr>
            <w:tcW w:type="dxa" w:w="201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[.013, .046]</w:t>
            </w:r>
          </w:p>
        </w:tc>
        <w:tc>
          <w:tcPr>
            <w:tcW w:type="dxa" w:w="144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144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r>
      <w:tr>
        <w:trPr>
          <w:cantSplit/>
        </w:trPr>
        <w:tc>
          <w:tcPr>
            <w:tcW w:type="dxa" w:w="288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HDBSCAN − Agglomerative</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.093</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[.076, .110]</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r>
      <w:tr>
        <w:trPr>
          <w:cantSplit/>
        </w:trPr>
        <w:tc>
          <w:tcPr>
            <w:tcW w:type="dxa" w:w="288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HDBSCAN − K-Means</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.063</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[.047, .080]</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r>
    </w:tbl>
    <w:p>
      <w:pPr>
        <w:keepNext w:val="0"/>
        <w:widowControl/>
        <w:spacing w:line="240" w:lineRule="auto" w:before="0" w:after="80"/>
        <w:ind w:firstLine="0" w:left="0"/>
        <w:jc w:val="left"/>
      </w:pPr>
    </w:p>
    <w:p>
      <w:pPr>
        <w:keepNext/>
        <w:widowControl/>
        <w:spacing w:line="480" w:lineRule="auto" w:before="120" w:after="0"/>
        <w:ind w:firstLine="0" w:left="0"/>
        <w:jc w:val="left"/>
      </w:pPr>
      <w:bookmarkStart w:name="_RefTabD3" w:id="263"/>
      <w:r>
        <w:rPr>
          <w:rFonts w:ascii="Times New Roman" w:hAnsi="Times New Roman" w:cs="Times New Roman" w:eastAsia="Times New Roman"/>
          <w:b/>
          <w:color w:val="000000"/>
          <w:sz w:val="24"/>
        </w:rPr>
        <w:t xml:space="preserve">Table </w:t>
      </w:r>
      <w:bookmarkStart w:name="_RefTabND3" w:id="264"/>
      <w:r>
        <w:rPr>
          <w:rFonts w:ascii="Times New Roman" w:hAnsi="Times New Roman" w:cs="Times New Roman" w:eastAsia="Times New Roman"/>
          <w:b/>
          <w:color w:val="000000"/>
          <w:sz w:val="24"/>
        </w:rPr>
        <w:t>D3</w:t>
      </w:r>
      <w:bookmarkEnd w:id="264"/>
      <w:bookmarkEnd w:id="263"/>
    </w:p>
    <w:p>
      <w:pPr>
        <w:keepNext/>
        <w:widowControl/>
        <w:spacing w:line="480" w:lineRule="auto" w:before="0" w:after="0"/>
        <w:ind w:firstLine="0" w:left="0"/>
        <w:jc w:val="left"/>
      </w:pPr>
      <w:r>
        <w:rPr>
          <w:rFonts w:ascii="Times New Roman" w:hAnsi="Times New Roman" w:cs="Times New Roman" w:eastAsia="Times New Roman"/>
          <w:b w:val="0"/>
          <w:i/>
          <w:color w:val="000000"/>
          <w:sz w:val="24"/>
        </w:rPr>
        <w:t>Behavioral Profiles of the Three Primary Whole-Dialogue Archetypes (Golden Partition)</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316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Feature</w:t>
            </w:r>
          </w:p>
        </w:tc>
        <w:tc>
          <w:tcPr>
            <w:tcW w:type="dxa" w:w="2059"/>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Direct Transactional</w:t>
            </w:r>
          </w:p>
        </w:tc>
        <w:tc>
          <w:tcPr>
            <w:tcW w:type="dxa" w:w="2059"/>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Constraint Negotiator</w:t>
            </w:r>
          </w:p>
        </w:tc>
        <w:tc>
          <w:tcPr>
            <w:tcW w:type="dxa" w:w="207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Guided Explorer</w:t>
            </w:r>
          </w:p>
        </w:tc>
      </w:tr>
      <w:tr>
        <w:trPr>
          <w:cantSplit/>
        </w:trPr>
        <w:tc>
          <w:tcPr>
            <w:tcW w:type="dxa" w:w="3168"/>
          </w:tcPr>
          <w:p>
            <w:pPr>
              <w:keepNext/>
              <w:widowControl/>
              <w:spacing w:line="240" w:lineRule="auto" w:before="30" w:after="30"/>
              <w:ind w:firstLine="0" w:left="0"/>
              <w:jc w:val="left"/>
            </w:pP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 xml:space="preserve"> (%)</w:t>
            </w:r>
          </w:p>
        </w:tc>
        <w:tc>
          <w:tcPr>
            <w:tcW w:type="dxa" w:w="2059"/>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240 (25.7%)</w:t>
            </w:r>
          </w:p>
        </w:tc>
        <w:tc>
          <w:tcPr>
            <w:tcW w:type="dxa" w:w="2059"/>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225 (24.1%)</w:t>
            </w:r>
          </w:p>
        </w:tc>
        <w:tc>
          <w:tcPr>
            <w:tcW w:type="dxa" w:w="207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468 (50.2%)</w:t>
            </w:r>
          </w:p>
        </w:tc>
      </w:tr>
      <w:tr>
        <w:trPr>
          <w:cantSplit/>
        </w:trPr>
        <w:tc>
          <w:tcPr>
            <w:tcW w:type="dxa" w:w="316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 xml:space="preserve">Turns,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2059"/>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9.92 (5.02)</w:t>
            </w:r>
          </w:p>
        </w:tc>
        <w:tc>
          <w:tcPr>
            <w:tcW w:type="dxa" w:w="2059"/>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15.64 (6.84)</w:t>
            </w:r>
          </w:p>
        </w:tc>
        <w:tc>
          <w:tcPr>
            <w:tcW w:type="dxa" w:w="207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17.19 (6.10)</w:t>
            </w:r>
          </w:p>
        </w:tc>
      </w:tr>
      <w:tr>
        <w:trPr>
          <w:cantSplit/>
        </w:trPr>
        <w:tc>
          <w:tcPr>
            <w:tcW w:type="dxa" w:w="316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Words per user / agent turn</w:t>
            </w:r>
          </w:p>
        </w:tc>
        <w:tc>
          <w:tcPr>
            <w:tcW w:type="dxa" w:w="2059"/>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10.60 / 11.67</w:t>
            </w:r>
          </w:p>
        </w:tc>
        <w:tc>
          <w:tcPr>
            <w:tcW w:type="dxa" w:w="2059"/>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12.94 / 18.15</w:t>
            </w:r>
          </w:p>
        </w:tc>
        <w:tc>
          <w:tcPr>
            <w:tcW w:type="dxa" w:w="207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9.63 / 15.71</w:t>
            </w:r>
          </w:p>
        </w:tc>
      </w:tr>
      <w:tr>
        <w:trPr>
          <w:cantSplit/>
        </w:trPr>
        <w:tc>
          <w:tcPr>
            <w:tcW w:type="dxa" w:w="316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Slot-value revisions / Hesitations</w:t>
            </w:r>
          </w:p>
        </w:tc>
        <w:tc>
          <w:tcPr>
            <w:tcW w:type="dxa" w:w="2059"/>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6.9 / 0.7</w:t>
            </w:r>
          </w:p>
        </w:tc>
        <w:tc>
          <w:tcPr>
            <w:tcW w:type="dxa" w:w="2059"/>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20.3 / 1.1</w:t>
            </w:r>
          </w:p>
        </w:tc>
        <w:tc>
          <w:tcPr>
            <w:tcW w:type="dxa" w:w="207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16.7 / 1.1</w:t>
            </w:r>
          </w:p>
        </w:tc>
      </w:tr>
      <w:tr>
        <w:trPr>
          <w:cantSplit/>
        </w:trPr>
        <w:tc>
          <w:tcPr>
            <w:tcW w:type="dxa" w:w="316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Agent package offers</w:t>
            </w:r>
          </w:p>
        </w:tc>
        <w:tc>
          <w:tcPr>
            <w:tcW w:type="dxa" w:w="2059"/>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0.84</w:t>
            </w:r>
          </w:p>
        </w:tc>
        <w:tc>
          <w:tcPr>
            <w:tcW w:type="dxa" w:w="2059"/>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4.28</w:t>
            </w:r>
          </w:p>
        </w:tc>
        <w:tc>
          <w:tcPr>
            <w:tcW w:type="dxa" w:w="207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3.73</w:t>
            </w:r>
          </w:p>
        </w:tc>
      </w:tr>
      <w:tr>
        <w:trPr>
          <w:cantSplit/>
        </w:trPr>
        <w:tc>
          <w:tcPr>
            <w:tcW w:type="dxa" w:w="3168"/>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Budget stated (%) / Task success (%)</w:t>
            </w:r>
          </w:p>
        </w:tc>
        <w:tc>
          <w:tcPr>
            <w:tcW w:type="dxa" w:w="2059"/>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63.7% / 92.1%</w:t>
            </w:r>
          </w:p>
        </w:tc>
        <w:tc>
          <w:tcPr>
            <w:tcW w:type="dxa" w:w="2059"/>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70.7% / 94.2%</w:t>
            </w:r>
          </w:p>
        </w:tc>
        <w:tc>
          <w:tcPr>
            <w:tcW w:type="dxa" w:w="207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75.4% / 95.3%</w:t>
            </w:r>
          </w:p>
        </w:tc>
      </w:tr>
    </w:tbl>
    <w:p>
      <w:pPr>
        <w:keepNext w:val="0"/>
        <w:widowControl/>
        <w:spacing w:line="240" w:lineRule="auto" w:before="0" w:after="80"/>
        <w:ind w:firstLine="0" w:left="0"/>
        <w:jc w:val="left"/>
      </w:pPr>
    </w:p>
    <w:p>
      <w:pPr>
        <w:keepNext/>
        <w:widowControl/>
        <w:spacing w:line="480" w:lineRule="auto" w:before="120" w:after="0"/>
        <w:ind w:firstLine="0" w:left="0"/>
        <w:jc w:val="left"/>
      </w:pPr>
      <w:bookmarkStart w:name="_RefTabD4" w:id="265"/>
      <w:r>
        <w:rPr>
          <w:rFonts w:ascii="Times New Roman" w:hAnsi="Times New Roman" w:cs="Times New Roman" w:eastAsia="Times New Roman"/>
          <w:b/>
          <w:color w:val="000000"/>
          <w:sz w:val="24"/>
        </w:rPr>
        <w:t xml:space="preserve">Table </w:t>
      </w:r>
      <w:bookmarkStart w:name="_RefTabND4" w:id="266"/>
      <w:r>
        <w:rPr>
          <w:rFonts w:ascii="Times New Roman" w:hAnsi="Times New Roman" w:cs="Times New Roman" w:eastAsia="Times New Roman"/>
          <w:b/>
          <w:color w:val="000000"/>
          <w:sz w:val="24"/>
        </w:rPr>
        <w:t>D4</w:t>
      </w:r>
      <w:bookmarkEnd w:id="266"/>
      <w:bookmarkEnd w:id="265"/>
    </w:p>
    <w:p>
      <w:pPr>
        <w:keepNext/>
        <w:widowControl/>
        <w:spacing w:line="480" w:lineRule="auto" w:before="0" w:after="0"/>
        <w:ind w:firstLine="0" w:left="0"/>
        <w:jc w:val="left"/>
      </w:pPr>
      <w:r>
        <w:rPr>
          <w:rFonts w:ascii="Times New Roman" w:hAnsi="Times New Roman" w:cs="Times New Roman" w:eastAsia="Times New Roman"/>
          <w:b w:val="0"/>
          <w:i/>
          <w:color w:val="000000"/>
          <w:sz w:val="24"/>
        </w:rPr>
        <w:t>Primary Archetype Assignment and Centroid Similarity Across Partitions and MultiWOZ 2.2</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560"/>
        <w:gridCol w:w="1560"/>
        <w:gridCol w:w="1560"/>
        <w:gridCol w:w="1560"/>
        <w:gridCol w:w="1560"/>
        <w:gridCol w:w="1560"/>
      </w:tblGrid>
      <w:tr>
        <w:trPr>
          <w:cantSplit/>
          <w:tblHeader/>
        </w:trPr>
        <w:tc>
          <w:tcPr>
            <w:tcW w:type="dxa" w:w="216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Sample</w:t>
            </w:r>
          </w:p>
        </w:tc>
        <w:tc>
          <w:tcPr>
            <w:tcW w:type="dxa" w:w="86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N</w:t>
            </w:r>
          </w:p>
        </w:tc>
        <w:tc>
          <w:tcPr>
            <w:tcW w:type="dxa" w:w="201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Centroid cosine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144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Direct Transactional (%)</w:t>
            </w:r>
          </w:p>
        </w:tc>
        <w:tc>
          <w:tcPr>
            <w:tcW w:type="dxa" w:w="144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Constraint Negotiator (%)</w:t>
            </w:r>
          </w:p>
        </w:tc>
        <w:tc>
          <w:tcPr>
            <w:tcW w:type="dxa" w:w="144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Guided Explorer (%)</w:t>
            </w:r>
          </w:p>
        </w:tc>
      </w:tr>
      <w:tr>
        <w:trPr>
          <w:cantSplit/>
        </w:trPr>
        <w:tc>
          <w:tcPr>
            <w:tcW w:type="dxa" w:w="216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Frames golden</w:t>
            </w:r>
          </w:p>
        </w:tc>
        <w:tc>
          <w:tcPr>
            <w:tcW w:type="dxa" w:w="86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933</w:t>
            </w:r>
          </w:p>
        </w:tc>
        <w:tc>
          <w:tcPr>
            <w:tcW w:type="dxa" w:w="201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.895 (.042)</w:t>
            </w:r>
          </w:p>
        </w:tc>
        <w:tc>
          <w:tcPr>
            <w:tcW w:type="dxa" w:w="144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25.7</w:t>
            </w:r>
          </w:p>
        </w:tc>
        <w:tc>
          <w:tcPr>
            <w:tcW w:type="dxa" w:w="144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24.1</w:t>
            </w:r>
          </w:p>
        </w:tc>
        <w:tc>
          <w:tcPr>
            <w:tcW w:type="dxa" w:w="144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50.2</w:t>
            </w:r>
          </w:p>
        </w:tc>
      </w:tr>
      <w:tr>
        <w:trPr>
          <w:cantSplit/>
        </w:trPr>
        <w:tc>
          <w:tcPr>
            <w:tcW w:type="dxa" w:w="216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Frames held-out</w:t>
            </w:r>
          </w:p>
        </w:tc>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401</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.894 (.042)</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29.4</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20.2</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50.4</w:t>
            </w:r>
          </w:p>
        </w:tc>
      </w:tr>
      <w:tr>
        <w:trPr>
          <w:cantSplit/>
        </w:trPr>
        <w:tc>
          <w:tcPr>
            <w:tcW w:type="dxa" w:w="216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MultiWOZ 2.2</w:t>
            </w:r>
          </w:p>
        </w:tc>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1,499</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.805 (.037)</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0.9</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15.1</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84.0</w:t>
            </w:r>
          </w:p>
        </w:tc>
      </w:tr>
    </w:tbl>
    <w:p>
      <w:pPr>
        <w:keepNext w:val="0"/>
        <w:widowControl/>
        <w:spacing w:line="240" w:lineRule="auto" w:before="0" w:after="80"/>
        <w:ind w:firstLine="0" w:left="0"/>
        <w:jc w:val="left"/>
      </w:pPr>
    </w:p>
    <w:p>
      <w:pPr>
        <w:keepNext/>
        <w:widowControl/>
        <w:spacing w:line="480" w:lineRule="auto" w:before="120" w:after="0"/>
        <w:ind w:firstLine="0" w:left="0"/>
        <w:jc w:val="left"/>
      </w:pPr>
      <w:bookmarkStart w:name="_RefTabD5" w:id="267"/>
      <w:r>
        <w:rPr>
          <w:rFonts w:ascii="Times New Roman" w:hAnsi="Times New Roman" w:cs="Times New Roman" w:eastAsia="Times New Roman"/>
          <w:b/>
          <w:color w:val="000000"/>
          <w:sz w:val="24"/>
        </w:rPr>
        <w:t xml:space="preserve">Table </w:t>
      </w:r>
      <w:bookmarkStart w:name="_RefTabND5" w:id="268"/>
      <w:r>
        <w:rPr>
          <w:rFonts w:ascii="Times New Roman" w:hAnsi="Times New Roman" w:cs="Times New Roman" w:eastAsia="Times New Roman"/>
          <w:b/>
          <w:color w:val="000000"/>
          <w:sz w:val="24"/>
        </w:rPr>
        <w:t>D5</w:t>
      </w:r>
      <w:bookmarkEnd w:id="268"/>
      <w:bookmarkEnd w:id="267"/>
    </w:p>
    <w:p>
      <w:pPr>
        <w:keepNext/>
        <w:widowControl/>
        <w:spacing w:line="480" w:lineRule="auto" w:before="0" w:after="0"/>
        <w:ind w:firstLine="0" w:left="0"/>
        <w:jc w:val="left"/>
      </w:pPr>
      <w:r>
        <w:rPr>
          <w:rFonts w:ascii="Times New Roman" w:hAnsi="Times New Roman" w:cs="Times New Roman" w:eastAsia="Times New Roman"/>
          <w:b w:val="0"/>
          <w:i/>
          <w:color w:val="000000"/>
          <w:sz w:val="24"/>
        </w:rPr>
        <w:t>Stability, Routing Agreement, and Outcome Association of Hybrid Archetypes by Conversation Length</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170"/>
        <w:gridCol w:w="1170"/>
        <w:gridCol w:w="1170"/>
        <w:gridCol w:w="1170"/>
        <w:gridCol w:w="1170"/>
        <w:gridCol w:w="1170"/>
        <w:gridCol w:w="1170"/>
        <w:gridCol w:w="1170"/>
      </w:tblGrid>
      <w:tr>
        <w:trPr>
          <w:cantSplit/>
          <w:tblHeader/>
        </w:trPr>
        <w:tc>
          <w:tcPr>
            <w:tcW w:type="dxa" w:w="194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User messages used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w:t>
            </w:r>
          </w:p>
        </w:tc>
        <w:tc>
          <w:tcPr>
            <w:tcW w:type="dxa" w:w="115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Dialogues shortened (%)</w:t>
            </w:r>
          </w:p>
        </w:tc>
        <w:tc>
          <w:tcPr>
            <w:tcW w:type="dxa" w:w="100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Bootstrap ARI</w:t>
            </w:r>
          </w:p>
        </w:tc>
        <w:tc>
          <w:tcPr>
            <w:tcW w:type="dxa" w:w="108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Core members (%)</w:t>
            </w:r>
          </w:p>
        </w:tc>
        <w:tc>
          <w:tcPr>
            <w:tcW w:type="dxa" w:w="108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Smallest cluster (%)</w:t>
            </w:r>
          </w:p>
        </w:tc>
        <w:tc>
          <w:tcPr>
            <w:tcW w:type="dxa" w:w="93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Raw L1 κ</w:t>
            </w:r>
          </w:p>
        </w:tc>
        <w:tc>
          <w:tcPr>
            <w:tcW w:type="dxa" w:w="115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Blocks router κ</w:t>
            </w:r>
          </w:p>
        </w:tc>
        <w:tc>
          <w:tcPr>
            <w:tcW w:type="dxa" w:w="100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Outcome </w:t>
            </w:r>
            <w:r>
              <w:rPr>
                <w:rFonts w:ascii="Times New Roman" w:hAnsi="Times New Roman" w:cs="Times New Roman" w:eastAsia="Times New Roman"/>
                <w:b w:val="0"/>
                <w:i/>
                <w:color w:val="000000"/>
                <w:sz w:val="20"/>
              </w:rPr>
              <w:t>V</w:t>
            </w:r>
          </w:p>
        </w:tc>
      </w:tr>
      <w:tr>
        <w:trPr>
          <w:cantSplit/>
        </w:trPr>
        <w:tc>
          <w:tcPr>
            <w:tcW w:type="dxa" w:w="194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First 3 messages</w:t>
            </w:r>
          </w:p>
        </w:tc>
        <w:tc>
          <w:tcPr>
            <w:tcW w:type="dxa" w:w="115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94.7</w:t>
            </w:r>
          </w:p>
        </w:tc>
        <w:tc>
          <w:tcPr>
            <w:tcW w:type="dxa" w:w="100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.89</w:t>
            </w:r>
          </w:p>
        </w:tc>
        <w:tc>
          <w:tcPr>
            <w:tcW w:type="dxa" w:w="108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92.7</w:t>
            </w:r>
          </w:p>
        </w:tc>
        <w:tc>
          <w:tcPr>
            <w:tcW w:type="dxa" w:w="108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18.3</w:t>
            </w:r>
          </w:p>
        </w:tc>
        <w:tc>
          <w:tcPr>
            <w:tcW w:type="dxa" w:w="93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.72</w:t>
            </w:r>
          </w:p>
        </w:tc>
        <w:tc>
          <w:tcPr>
            <w:tcW w:type="dxa" w:w="115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.359</w:t>
            </w:r>
          </w:p>
        </w:tc>
        <w:tc>
          <w:tcPr>
            <w:tcW w:type="dxa" w:w="100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.16</w:t>
            </w:r>
          </w:p>
        </w:tc>
      </w:tr>
      <w:tr>
        <w:trPr>
          <w:cantSplit/>
        </w:trPr>
        <w:tc>
          <w:tcPr>
            <w:tcW w:type="dxa" w:w="194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First 5 messages</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78.2</w:t>
            </w:r>
          </w:p>
        </w:tc>
        <w:tc>
          <w:tcPr>
            <w:tcW w:type="dxa" w:w="100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.84</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77.1</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20.3</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.38</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.535</w:t>
            </w:r>
          </w:p>
        </w:tc>
        <w:tc>
          <w:tcPr>
            <w:tcW w:type="dxa" w:w="100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.27</w:t>
            </w:r>
          </w:p>
        </w:tc>
      </w:tr>
      <w:tr>
        <w:trPr>
          <w:cantSplit/>
        </w:trPr>
        <w:tc>
          <w:tcPr>
            <w:tcW w:type="dxa" w:w="194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First 7 messages</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53.2</w:t>
            </w:r>
          </w:p>
        </w:tc>
        <w:tc>
          <w:tcPr>
            <w:tcW w:type="dxa" w:w="100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.85</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89.9</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29.7</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.25</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.722</w:t>
            </w:r>
          </w:p>
        </w:tc>
        <w:tc>
          <w:tcPr>
            <w:tcW w:type="dxa" w:w="100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.38</w:t>
            </w:r>
          </w:p>
        </w:tc>
      </w:tr>
      <w:tr>
        <w:trPr>
          <w:cantSplit/>
        </w:trPr>
        <w:tc>
          <w:tcPr>
            <w:tcW w:type="dxa" w:w="194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First 9 messages</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30.7</w:t>
            </w:r>
          </w:p>
        </w:tc>
        <w:tc>
          <w:tcPr>
            <w:tcW w:type="dxa" w:w="100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.89</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93.1</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25.5</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.24</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.958</w:t>
            </w:r>
          </w:p>
        </w:tc>
        <w:tc>
          <w:tcPr>
            <w:tcW w:type="dxa" w:w="100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.45</w:t>
            </w:r>
          </w:p>
        </w:tc>
      </w:tr>
      <w:tr>
        <w:trPr>
          <w:cantSplit/>
        </w:trPr>
        <w:tc>
          <w:tcPr>
            <w:tcW w:type="dxa" w:w="194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Whole conversation</w:t>
            </w:r>
          </w:p>
        </w:tc>
        <w:tc>
          <w:tcPr>
            <w:tcW w:type="dxa" w:w="115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0.0</w:t>
            </w:r>
          </w:p>
        </w:tc>
        <w:tc>
          <w:tcPr>
            <w:tcW w:type="dxa" w:w="100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.62</w:t>
            </w:r>
          </w:p>
        </w:tc>
        <w:tc>
          <w:tcPr>
            <w:tcW w:type="dxa" w:w="108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53.7</w:t>
            </w:r>
          </w:p>
        </w:tc>
        <w:tc>
          <w:tcPr>
            <w:tcW w:type="dxa" w:w="108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7.9</w:t>
            </w:r>
          </w:p>
        </w:tc>
        <w:tc>
          <w:tcPr>
            <w:tcW w:type="dxa" w:w="93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.22</w:t>
            </w:r>
          </w:p>
        </w:tc>
        <w:tc>
          <w:tcPr>
            <w:tcW w:type="dxa" w:w="115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w:t>
            </w:r>
          </w:p>
        </w:tc>
        <w:tc>
          <w:tcPr>
            <w:tcW w:type="dxa" w:w="100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.57</w:t>
            </w:r>
          </w:p>
        </w:tc>
      </w:tr>
    </w:tbl>
    <w:p>
      <w:pPr>
        <w:keepNext w:val="0"/>
        <w:widowControl/>
        <w:spacing w:line="480" w:lineRule="auto" w:before="0" w:after="120"/>
        <w:ind w:firstLine="0" w:left="0"/>
        <w:jc w:val="left"/>
      </w:pPr>
      <w:r>
        <w:rPr>
          <w:rFonts w:ascii="Times New Roman" w:hAnsi="Times New Roman" w:cs="Times New Roman" w:eastAsia="Times New Roman"/>
          <w:b w:val="0"/>
          <w:i/>
          <w:color w:val="000000"/>
          <w:sz w:val="24"/>
        </w:rPr>
        <w:t>Note.</w:t>
      </w:r>
      <w:r>
        <w:rPr>
          <w:rFonts w:ascii="Times New Roman" w:hAnsi="Times New Roman" w:cs="Times New Roman" w:eastAsia="Times New Roman"/>
          <w:b w:val="0"/>
          <w:i w:val="0"/>
          <w:color w:val="000000"/>
          <w:sz w:val="24"/>
        </w:rPr>
        <w:t xml:space="preserve"> Raw L1 κ uses unprojected 5-turn features (step2g); Blocks router κ projects prefix features into the exact golden Blocks space (RefinedArchetypeRouter).</w:t>
      </w:r>
    </w:p>
    <w:p>
      <w:pPr>
        <w:keepNext/>
        <w:widowControl/>
        <w:spacing w:line="480" w:lineRule="auto" w:before="120" w:after="0"/>
        <w:ind w:firstLine="0" w:left="0"/>
        <w:jc w:val="left"/>
      </w:pPr>
      <w:bookmarkStart w:name="_RefTabD6" w:id="269"/>
      <w:r>
        <w:rPr>
          <w:rFonts w:ascii="Times New Roman" w:hAnsi="Times New Roman" w:cs="Times New Roman" w:eastAsia="Times New Roman"/>
          <w:b/>
          <w:color w:val="000000"/>
          <w:sz w:val="24"/>
        </w:rPr>
        <w:t xml:space="preserve">Table </w:t>
      </w:r>
      <w:bookmarkStart w:name="_RefTabND6" w:id="270"/>
      <w:r>
        <w:rPr>
          <w:rFonts w:ascii="Times New Roman" w:hAnsi="Times New Roman" w:cs="Times New Roman" w:eastAsia="Times New Roman"/>
          <w:b/>
          <w:color w:val="000000"/>
          <w:sz w:val="24"/>
        </w:rPr>
        <w:t>D6</w:t>
      </w:r>
      <w:bookmarkEnd w:id="270"/>
      <w:bookmarkEnd w:id="269"/>
    </w:p>
    <w:p>
      <w:pPr>
        <w:keepNext/>
        <w:widowControl/>
        <w:spacing w:line="480" w:lineRule="auto" w:before="0" w:after="0"/>
        <w:ind w:firstLine="0" w:left="0"/>
        <w:jc w:val="left"/>
      </w:pPr>
      <w:r>
        <w:rPr>
          <w:rFonts w:ascii="Times New Roman" w:hAnsi="Times New Roman" w:cs="Times New Roman" w:eastAsia="Times New Roman"/>
          <w:b w:val="0"/>
          <w:i/>
          <w:color w:val="000000"/>
          <w:sz w:val="24"/>
        </w:rPr>
        <w:t>Ablation of the Refined Archetype Definition at M = 9 User Messages (k = 3)</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560"/>
        <w:gridCol w:w="1560"/>
        <w:gridCol w:w="1560"/>
        <w:gridCol w:w="1560"/>
        <w:gridCol w:w="1560"/>
        <w:gridCol w:w="1560"/>
      </w:tblGrid>
      <w:tr>
        <w:trPr>
          <w:cantSplit/>
          <w:tblHeader/>
        </w:trPr>
        <w:tc>
          <w:tcPr>
            <w:tcW w:type="dxa" w:w="331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Representation configuration</w:t>
            </w:r>
          </w:p>
        </w:tc>
        <w:tc>
          <w:tcPr>
            <w:tcW w:type="dxa" w:w="115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ARI (whole)</w:t>
            </w:r>
          </w:p>
        </w:tc>
        <w:tc>
          <w:tcPr>
            <w:tcW w:type="dxa" w:w="122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ARI (9 msgs)</w:t>
            </w:r>
          </w:p>
        </w:tc>
        <w:tc>
          <w:tcPr>
            <w:tcW w:type="dxa" w:w="129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Core members (%)</w:t>
            </w:r>
          </w:p>
        </w:tc>
        <w:tc>
          <w:tcPr>
            <w:tcW w:type="dxa" w:w="115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Outcome </w:t>
            </w:r>
            <w:r>
              <w:rPr>
                <w:rFonts w:ascii="Times New Roman" w:hAnsi="Times New Roman" w:cs="Times New Roman" w:eastAsia="Times New Roman"/>
                <w:b w:val="0"/>
                <w:i/>
                <w:color w:val="000000"/>
                <w:sz w:val="20"/>
              </w:rPr>
              <w:t>V</w:t>
            </w:r>
          </w:p>
        </w:tc>
        <w:tc>
          <w:tcPr>
            <w:tcW w:type="dxa" w:w="122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ARI vs. adopted</w:t>
            </w:r>
          </w:p>
        </w:tc>
      </w:tr>
      <w:tr>
        <w:trPr>
          <w:cantSplit/>
        </w:trPr>
        <w:tc>
          <w:tcPr>
            <w:tcW w:type="dxa" w:w="331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Gemini embedding + Gemini behavior profile (adopted)</w:t>
            </w:r>
          </w:p>
        </w:tc>
        <w:tc>
          <w:tcPr>
            <w:tcW w:type="dxa" w:w="115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.56</w:t>
            </w:r>
          </w:p>
        </w:tc>
        <w:tc>
          <w:tcPr>
            <w:tcW w:type="dxa" w:w="122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.87</w:t>
            </w:r>
          </w:p>
        </w:tc>
        <w:tc>
          <w:tcPr>
            <w:tcW w:type="dxa" w:w="129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89.2</w:t>
            </w:r>
          </w:p>
        </w:tc>
        <w:tc>
          <w:tcPr>
            <w:tcW w:type="dxa" w:w="115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.45</w:t>
            </w:r>
          </w:p>
        </w:tc>
        <w:tc>
          <w:tcPr>
            <w:tcW w:type="dxa" w:w="122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1.00</w:t>
            </w:r>
          </w:p>
        </w:tc>
      </w:tr>
      <w:tr>
        <w:trPr>
          <w:cantSplit/>
        </w:trPr>
        <w:tc>
          <w:tcPr>
            <w:tcW w:type="dxa" w:w="331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MiniLM embedding + Gemini behavior profile</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.69</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.85</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87.7</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.40</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.33</w:t>
            </w:r>
          </w:p>
        </w:tc>
      </w:tr>
      <w:tr>
        <w:trPr>
          <w:cantSplit/>
        </w:trPr>
        <w:tc>
          <w:tcPr>
            <w:tcW w:type="dxa" w:w="331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Gemini behavior profile only</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.73</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.85</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97.6</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.35</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.17</w:t>
            </w:r>
          </w:p>
        </w:tc>
      </w:tr>
      <w:tr>
        <w:trPr>
          <w:cantSplit/>
        </w:trPr>
        <w:tc>
          <w:tcPr>
            <w:tcW w:type="dxa" w:w="331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Gemini embedding only</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.91</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.91</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92.0</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.34</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.45</w:t>
            </w:r>
          </w:p>
        </w:tc>
      </w:tr>
      <w:tr>
        <w:trPr>
          <w:cantSplit/>
        </w:trPr>
        <w:tc>
          <w:tcPr>
            <w:tcW w:type="dxa" w:w="331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MiniLM embedding only</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.68</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.72</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72.1</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.27</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w:t>
            </w:r>
          </w:p>
        </w:tc>
      </w:tr>
      <w:tr>
        <w:trPr>
          <w:cantSplit/>
        </w:trPr>
        <w:tc>
          <w:tcPr>
            <w:tcW w:type="dxa" w:w="331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MiniLM embedding + dialogue-act features (no LLM)</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.61</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.76</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88.0</w:t>
            </w:r>
          </w:p>
        </w:tc>
        <w:tc>
          <w:tcPr>
            <w:tcW w:type="dxa" w:w="115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.45</w:t>
            </w:r>
          </w:p>
        </w:tc>
        <w:tc>
          <w:tcPr>
            <w:tcW w:type="dxa" w:w="122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.16</w:t>
            </w:r>
          </w:p>
        </w:tc>
      </w:tr>
    </w:tbl>
    <w:p>
      <w:pPr>
        <w:keepNext w:val="0"/>
        <w:widowControl/>
        <w:spacing w:line="240" w:lineRule="auto" w:before="0" w:after="80"/>
        <w:ind w:firstLine="0" w:left="0"/>
        <w:jc w:val="left"/>
      </w:pPr>
    </w:p>
    <w:p>
      <w:pPr>
        <w:keepNext/>
        <w:widowControl/>
        <w:spacing w:line="480" w:lineRule="auto" w:before="120" w:after="0"/>
        <w:ind w:firstLine="0" w:left="0"/>
        <w:jc w:val="left"/>
      </w:pPr>
      <w:bookmarkStart w:name="_RefFigD1" w:id="271"/>
      <w:r>
        <w:rPr>
          <w:rFonts w:ascii="Times New Roman" w:hAnsi="Times New Roman" w:cs="Times New Roman" w:eastAsia="Times New Roman"/>
          <w:b/>
          <w:color w:val="000000"/>
          <w:sz w:val="24"/>
        </w:rPr>
        <w:t xml:space="preserve">Figure </w:t>
      </w:r>
      <w:bookmarkStart w:name="_RefFigND1" w:id="272"/>
      <w:r>
        <w:rPr>
          <w:rFonts w:ascii="Times New Roman" w:hAnsi="Times New Roman" w:cs="Times New Roman" w:eastAsia="Times New Roman"/>
          <w:b/>
          <w:color w:val="000000"/>
          <w:sz w:val="24"/>
        </w:rPr>
        <w:t>D1</w:t>
      </w:r>
      <w:bookmarkEnd w:id="272"/>
      <w:bookmarkEnd w:id="271"/>
    </w:p>
    <w:p>
      <w:pPr>
        <w:keepNext/>
        <w:widowControl/>
        <w:spacing w:line="480" w:lineRule="auto" w:before="0" w:after="0"/>
        <w:ind w:firstLine="0" w:left="0"/>
        <w:jc w:val="left"/>
      </w:pPr>
      <w:r>
        <w:rPr>
          <w:rFonts w:ascii="Times New Roman" w:hAnsi="Times New Roman" w:cs="Times New Roman" w:eastAsia="Times New Roman"/>
          <w:b w:val="0"/>
          <w:i/>
          <w:color w:val="000000"/>
          <w:sz w:val="24"/>
        </w:rPr>
        <w:t>Cluster-Number Diagnostics on Golden Partition</w:t>
      </w:r>
    </w:p>
    <w:p>
      <w:pPr>
        <w:keepNext/>
        <w:widowControl/>
        <w:spacing w:line="240" w:lineRule="auto" w:before="0" w:after="0"/>
        <w:ind w:firstLine="0" w:left="0"/>
        <w:jc w:val="center"/>
      </w:pPr>
      <w:r>
        <w:drawing>
          <wp:inline xmlns:a="http://schemas.openxmlformats.org/drawingml/2006/main" xmlns:pic="http://schemas.openxmlformats.org/drawingml/2006/picture">
            <wp:extent cx="4754880" cy="1556143"/>
            <wp:docPr id="9" name="Picture 9"/>
            <wp:cNvGraphicFramePr>
              <a:graphicFrameLocks noChangeAspect="1"/>
            </wp:cNvGraphicFramePr>
            <a:graphic>
              <a:graphicData uri="http://schemas.openxmlformats.org/drawingml/2006/picture">
                <pic:pic>
                  <pic:nvPicPr>
                    <pic:cNvPr id="0" name="fig_rq1_k_selection.png"/>
                    <pic:cNvPicPr/>
                  </pic:nvPicPr>
                  <pic:blipFill>
                    <a:blip r:embed="rId49"/>
                    <a:stretch>
                      <a:fillRect/>
                    </a:stretch>
                  </pic:blipFill>
                  <pic:spPr>
                    <a:xfrm>
                      <a:off x="0" y="0"/>
                      <a:ext cx="4754880" cy="1556143"/>
                    </a:xfrm>
                    <a:prstGeom prst="rect"/>
                  </pic:spPr>
                </pic:pic>
              </a:graphicData>
            </a:graphic>
          </wp:inline>
        </w:drawing>
      </w:r>
    </w:p>
    <w:p>
      <w:pPr>
        <w:keepNext/>
        <w:widowControl/>
        <w:spacing w:line="480" w:lineRule="auto" w:before="120" w:after="0"/>
        <w:ind w:firstLine="0" w:left="0"/>
        <w:jc w:val="left"/>
      </w:pPr>
      <w:bookmarkStart w:name="_RefFigD2" w:id="273"/>
      <w:r>
        <w:rPr>
          <w:rFonts w:ascii="Times New Roman" w:hAnsi="Times New Roman" w:cs="Times New Roman" w:eastAsia="Times New Roman"/>
          <w:b/>
          <w:color w:val="000000"/>
          <w:sz w:val="24"/>
        </w:rPr>
        <w:t xml:space="preserve">Figure </w:t>
      </w:r>
      <w:bookmarkStart w:name="_RefFigND2" w:id="274"/>
      <w:r>
        <w:rPr>
          <w:rFonts w:ascii="Times New Roman" w:hAnsi="Times New Roman" w:cs="Times New Roman" w:eastAsia="Times New Roman"/>
          <w:b/>
          <w:color w:val="000000"/>
          <w:sz w:val="24"/>
        </w:rPr>
        <w:t>D2</w:t>
      </w:r>
      <w:bookmarkEnd w:id="274"/>
      <w:bookmarkEnd w:id="273"/>
    </w:p>
    <w:p>
      <w:pPr>
        <w:keepNext/>
        <w:widowControl/>
        <w:spacing w:line="480" w:lineRule="auto" w:before="0" w:after="0"/>
        <w:ind w:firstLine="0" w:left="0"/>
        <w:jc w:val="left"/>
      </w:pPr>
      <w:r>
        <w:rPr>
          <w:rFonts w:ascii="Times New Roman" w:hAnsi="Times New Roman" w:cs="Times New Roman" w:eastAsia="Times New Roman"/>
          <w:b w:val="0"/>
          <w:i/>
          <w:color w:val="000000"/>
          <w:sz w:val="24"/>
        </w:rPr>
        <w:t>Silhouette Coefficients Across 159 Subsample Runs by Algorithm</w:t>
      </w:r>
    </w:p>
    <w:p>
      <w:pPr>
        <w:keepNext/>
        <w:widowControl/>
        <w:spacing w:line="240" w:lineRule="auto" w:before="0" w:after="0"/>
        <w:ind w:firstLine="0" w:left="0"/>
        <w:jc w:val="center"/>
      </w:pPr>
      <w:r>
        <w:drawing>
          <wp:inline xmlns:a="http://schemas.openxmlformats.org/drawingml/2006/main" xmlns:pic="http://schemas.openxmlformats.org/drawingml/2006/picture">
            <wp:extent cx="4572000" cy="2743200"/>
            <wp:docPr id="10" name="Picture 10"/>
            <wp:cNvGraphicFramePr>
              <a:graphicFrameLocks noChangeAspect="1"/>
            </wp:cNvGraphicFramePr>
            <a:graphic>
              <a:graphicData uri="http://schemas.openxmlformats.org/drawingml/2006/picture">
                <pic:pic>
                  <pic:nvPicPr>
                    <pic:cNvPr id="0" name="fig_rq1_silhouette.png"/>
                    <pic:cNvPicPr/>
                  </pic:nvPicPr>
                  <pic:blipFill>
                    <a:blip r:embed="rId50"/>
                    <a:stretch>
                      <a:fillRect/>
                    </a:stretch>
                  </pic:blipFill>
                  <pic:spPr>
                    <a:xfrm>
                      <a:off x="0" y="0"/>
                      <a:ext cx="4572000" cy="2743200"/>
                    </a:xfrm>
                    <a:prstGeom prst="rect"/>
                  </pic:spPr>
                </pic:pic>
              </a:graphicData>
            </a:graphic>
          </wp:inline>
        </w:drawing>
      </w:r>
    </w:p>
    <w:p>
      <w:pPr>
        <w:keepNext/>
        <w:widowControl/>
        <w:spacing w:line="480" w:lineRule="auto" w:before="120" w:after="0"/>
        <w:ind w:firstLine="0" w:left="0"/>
        <w:jc w:val="left"/>
      </w:pPr>
      <w:bookmarkStart w:name="_RefFigD3" w:id="275"/>
      <w:r>
        <w:rPr>
          <w:rFonts w:ascii="Times New Roman" w:hAnsi="Times New Roman" w:cs="Times New Roman" w:eastAsia="Times New Roman"/>
          <w:b/>
          <w:color w:val="000000"/>
          <w:sz w:val="24"/>
        </w:rPr>
        <w:t xml:space="preserve">Figure </w:t>
      </w:r>
      <w:bookmarkStart w:name="_RefFigND3" w:id="276"/>
      <w:r>
        <w:rPr>
          <w:rFonts w:ascii="Times New Roman" w:hAnsi="Times New Roman" w:cs="Times New Roman" w:eastAsia="Times New Roman"/>
          <w:b/>
          <w:color w:val="000000"/>
          <w:sz w:val="24"/>
        </w:rPr>
        <w:t>D3</w:t>
      </w:r>
      <w:bookmarkEnd w:id="276"/>
      <w:bookmarkEnd w:id="275"/>
    </w:p>
    <w:p>
      <w:pPr>
        <w:keepNext/>
        <w:widowControl/>
        <w:spacing w:line="480" w:lineRule="auto" w:before="0" w:after="0"/>
        <w:ind w:firstLine="0" w:left="0"/>
        <w:jc w:val="left"/>
      </w:pPr>
      <w:r>
        <w:rPr>
          <w:rFonts w:ascii="Times New Roman" w:hAnsi="Times New Roman" w:cs="Times New Roman" w:eastAsia="Times New Roman"/>
          <w:b w:val="0"/>
          <w:i/>
          <w:color w:val="000000"/>
          <w:sz w:val="24"/>
        </w:rPr>
        <w:t>UMAP Projection of Frames Archetypes and MultiWOZ 2.2 External Transfer Check</w:t>
      </w:r>
    </w:p>
    <w:p>
      <w:pPr>
        <w:keepNext/>
        <w:widowControl/>
        <w:spacing w:line="240" w:lineRule="auto" w:before="0" w:after="0"/>
        <w:ind w:firstLine="0" w:left="0"/>
        <w:jc w:val="center"/>
      </w:pPr>
      <w:r>
        <w:drawing>
          <wp:inline xmlns:a="http://schemas.openxmlformats.org/drawingml/2006/main" xmlns:pic="http://schemas.openxmlformats.org/drawingml/2006/picture">
            <wp:extent cx="4846320" cy="2114758"/>
            <wp:docPr id="11" name="Picture 11"/>
            <wp:cNvGraphicFramePr>
              <a:graphicFrameLocks noChangeAspect="1"/>
            </wp:cNvGraphicFramePr>
            <a:graphic>
              <a:graphicData uri="http://schemas.openxmlformats.org/drawingml/2006/picture">
                <pic:pic>
                  <pic:nvPicPr>
                    <pic:cNvPr id="0" name="fig_rq1_umap.png"/>
                    <pic:cNvPicPr/>
                  </pic:nvPicPr>
                  <pic:blipFill>
                    <a:blip r:embed="rId51"/>
                    <a:stretch>
                      <a:fillRect/>
                    </a:stretch>
                  </pic:blipFill>
                  <pic:spPr>
                    <a:xfrm>
                      <a:off x="0" y="0"/>
                      <a:ext cx="4846320" cy="2114758"/>
                    </a:xfrm>
                    <a:prstGeom prst="rect"/>
                  </pic:spPr>
                </pic:pic>
              </a:graphicData>
            </a:graphic>
          </wp:inline>
        </w:drawing>
      </w:r>
    </w:p>
    <w:p>
      <w:pPr>
        <w:keepNext/>
        <w:widowControl/>
        <w:spacing w:line="480" w:lineRule="auto" w:before="120" w:after="0"/>
        <w:ind w:firstLine="0" w:left="0"/>
        <w:jc w:val="left"/>
      </w:pPr>
      <w:bookmarkStart w:name="_RefFigD4" w:id="277"/>
      <w:r>
        <w:rPr>
          <w:rFonts w:ascii="Times New Roman" w:hAnsi="Times New Roman" w:cs="Times New Roman" w:eastAsia="Times New Roman"/>
          <w:b/>
          <w:color w:val="000000"/>
          <w:sz w:val="24"/>
        </w:rPr>
        <w:t xml:space="preserve">Figure </w:t>
      </w:r>
      <w:bookmarkStart w:name="_RefFigND4" w:id="278"/>
      <w:r>
        <w:rPr>
          <w:rFonts w:ascii="Times New Roman" w:hAnsi="Times New Roman" w:cs="Times New Roman" w:eastAsia="Times New Roman"/>
          <w:b/>
          <w:color w:val="000000"/>
          <w:sz w:val="24"/>
        </w:rPr>
        <w:t>D4</w:t>
      </w:r>
      <w:bookmarkEnd w:id="278"/>
      <w:bookmarkEnd w:id="277"/>
    </w:p>
    <w:p>
      <w:pPr>
        <w:keepNext/>
        <w:widowControl/>
        <w:spacing w:line="480" w:lineRule="auto" w:before="0" w:after="0"/>
        <w:ind w:firstLine="0" w:left="0"/>
        <w:jc w:val="left"/>
      </w:pPr>
      <w:r>
        <w:rPr>
          <w:rFonts w:ascii="Times New Roman" w:hAnsi="Times New Roman" w:cs="Times New Roman" w:eastAsia="Times New Roman"/>
          <w:b w:val="0"/>
          <w:i/>
          <w:color w:val="000000"/>
          <w:sz w:val="24"/>
        </w:rPr>
        <w:t>Hybrid Archetype Stability, Routing, and Outcome Association Across Truncation Horizons</w:t>
      </w:r>
    </w:p>
    <w:p>
      <w:pPr>
        <w:keepNext/>
        <w:widowControl/>
        <w:spacing w:line="240" w:lineRule="auto" w:before="0" w:after="0"/>
        <w:ind w:firstLine="0" w:left="0"/>
        <w:jc w:val="center"/>
      </w:pPr>
      <w:r>
        <w:drawing>
          <wp:inline xmlns:a="http://schemas.openxmlformats.org/drawingml/2006/main" xmlns:pic="http://schemas.openxmlformats.org/drawingml/2006/picture">
            <wp:extent cx="4846320" cy="3553968"/>
            <wp:docPr id="12" name="Picture 12"/>
            <wp:cNvGraphicFramePr>
              <a:graphicFrameLocks noChangeAspect="1"/>
            </wp:cNvGraphicFramePr>
            <a:graphic>
              <a:graphicData uri="http://schemas.openxmlformats.org/drawingml/2006/picture">
                <pic:pic>
                  <pic:nvPicPr>
                    <pic:cNvPr id="0" name="fig_rq1_truncation_2x2.png"/>
                    <pic:cNvPicPr/>
                  </pic:nvPicPr>
                  <pic:blipFill>
                    <a:blip r:embed="rId52"/>
                    <a:stretch>
                      <a:fillRect/>
                    </a:stretch>
                  </pic:blipFill>
                  <pic:spPr>
                    <a:xfrm>
                      <a:off x="0" y="0"/>
                      <a:ext cx="4846320" cy="3553968"/>
                    </a:xfrm>
                    <a:prstGeom prst="rect"/>
                  </pic:spPr>
                </pic:pic>
              </a:graphicData>
            </a:graphic>
          </wp:inline>
        </w:drawing>
      </w:r>
    </w:p>
    <w:p>
      <w:pPr>
        <w:pStyle w:val="Heading1"/>
        <w:keepNext/>
        <w:pageBreakBefore/>
        <w:widowControl/>
        <w:spacing w:line="480" w:lineRule="auto" w:before="0" w:after="0"/>
        <w:ind w:firstLine="0" w:left="0"/>
        <w:jc w:val="center"/>
      </w:pPr>
      <w:r>
        <w:rPr>
          <w:rFonts w:ascii="Times New Roman" w:hAnsi="Times New Roman" w:cs="Times New Roman" w:eastAsia="Times New Roman"/>
          <w:b/>
          <w:i w:val="0"/>
          <w:color w:val="000000"/>
          <w:sz w:val="24"/>
        </w:rPr>
        <w:t>Appendix E</w:t>
      </w:r>
    </w:p>
    <w:p>
      <w:pPr>
        <w:pStyle w:val="Heading1"/>
        <w:keepNext/>
        <w:pageBreakBefore w:val="0"/>
        <w:widowControl/>
        <w:spacing w:line="480" w:lineRule="auto" w:before="0" w:after="0"/>
        <w:ind w:firstLine="0" w:left="0"/>
        <w:jc w:val="center"/>
      </w:pPr>
      <w:r>
        <w:rPr>
          <w:rFonts w:ascii="Times New Roman" w:hAnsi="Times New Roman" w:cs="Times New Roman" w:eastAsia="Times New Roman"/>
          <w:b/>
          <w:i w:val="0"/>
          <w:color w:val="000000"/>
          <w:sz w:val="24"/>
        </w:rPr>
        <w:t>Supplementary EDA, RQ2 Pairwise Contrasts, and RQ3/RQ4 Groundwork Diagnostics</w:t>
      </w:r>
    </w:p>
    <w:p>
      <w:pPr>
        <w:keepNext w:val="0"/>
        <w:widowControl/>
        <w:spacing w:line="480" w:lineRule="auto" w:before="0" w:after="0"/>
        <w:ind w:firstLine="720" w:left="0"/>
        <w:jc w:val="left"/>
      </w:pPr>
      <w:r>
        <w:rPr>
          <w:rFonts w:ascii="Times New Roman" w:hAnsi="Times New Roman" w:cs="Times New Roman" w:eastAsia="Times New Roman"/>
          <w:b w:val="0"/>
          <w:i w:val="0"/>
          <w:color w:val="000000"/>
          <w:sz w:val="24"/>
        </w:rPr>
        <w:t xml:space="preserve">Tables </w:t>
      </w:r>
      <w:r>
        <w:fldChar w:fldCharType="begin"/>
      </w:r>
      <w:r>
        <w:instrText xml:space="preserve"> REF _RefTabNE1 \h \* MERGEFORMAT </w:instrText>
      </w:r>
      <w:r>
        <w:fldChar w:fldCharType="separate"/>
      </w:r>
      <w:r>
        <w:rPr>
          <w:rFonts w:ascii="Times New Roman" w:hAnsi="Times New Roman" w:cs="Times New Roman" w:eastAsia="Times New Roman"/>
          <w:b w:val="0"/>
          <w:i w:val="0"/>
          <w:color w:val="000000"/>
          <w:sz w:val="24"/>
        </w:rPr>
        <w:t>E1</w:t>
      </w:r>
      <w:r>
        <w:fldChar w:fldCharType="end"/>
      </w:r>
      <w:r>
        <w:rPr>
          <w:rFonts w:ascii="Times New Roman" w:hAnsi="Times New Roman" w:cs="Times New Roman" w:eastAsia="Times New Roman"/>
          <w:b w:val="0"/>
          <w:i w:val="0"/>
          <w:color w:val="000000"/>
          <w:sz w:val="24"/>
        </w:rPr>
        <w:t>–</w:t>
      </w:r>
      <w:r>
        <w:fldChar w:fldCharType="begin"/>
      </w:r>
      <w:r>
        <w:instrText xml:space="preserve"> REF _RefTabNE5 \h \* MERGEFORMAT </w:instrText>
      </w:r>
      <w:r>
        <w:fldChar w:fldCharType="separate"/>
      </w:r>
      <w:r>
        <w:rPr>
          <w:rFonts w:ascii="Times New Roman" w:hAnsi="Times New Roman" w:cs="Times New Roman" w:eastAsia="Times New Roman"/>
          <w:b w:val="0"/>
          <w:i w:val="0"/>
          <w:color w:val="000000"/>
          <w:sz w:val="24"/>
        </w:rPr>
        <w:t>E5</w:t>
      </w:r>
      <w:r>
        <w:fldChar w:fldCharType="end"/>
      </w:r>
      <w:r>
        <w:rPr>
          <w:rFonts w:ascii="Times New Roman" w:hAnsi="Times New Roman" w:cs="Times New Roman" w:eastAsia="Times New Roman"/>
          <w:b w:val="0"/>
          <w:i w:val="0"/>
          <w:color w:val="000000"/>
          <w:sz w:val="24"/>
        </w:rPr>
        <w:t xml:space="preserve"> and </w:t>
      </w:r>
      <w:r>
        <w:rPr>
          <w:rFonts w:ascii="Times New Roman" w:hAnsi="Times New Roman" w:cs="Times New Roman" w:eastAsia="Times New Roman"/>
          <w:b w:val="0"/>
          <w:i w:val="0"/>
          <w:color w:val="000000"/>
          <w:sz w:val="24"/>
        </w:rPr>
        <w:t xml:space="preserve">Figures </w:t>
      </w:r>
      <w:r>
        <w:fldChar w:fldCharType="begin"/>
      </w:r>
      <w:r>
        <w:instrText xml:space="preserve"> REF _RefFigNE1 \h \* MERGEFORMAT </w:instrText>
      </w:r>
      <w:r>
        <w:fldChar w:fldCharType="separate"/>
      </w:r>
      <w:r>
        <w:rPr>
          <w:rFonts w:ascii="Times New Roman" w:hAnsi="Times New Roman" w:cs="Times New Roman" w:eastAsia="Times New Roman"/>
          <w:b w:val="0"/>
          <w:i w:val="0"/>
          <w:color w:val="000000"/>
          <w:sz w:val="24"/>
        </w:rPr>
        <w:t>E1</w:t>
      </w:r>
      <w:r>
        <w:fldChar w:fldCharType="end"/>
      </w:r>
      <w:r>
        <w:rPr>
          <w:rFonts w:ascii="Times New Roman" w:hAnsi="Times New Roman" w:cs="Times New Roman" w:eastAsia="Times New Roman"/>
          <w:b w:val="0"/>
          <w:i w:val="0"/>
          <w:color w:val="000000"/>
          <w:sz w:val="24"/>
        </w:rPr>
        <w:t>–</w:t>
      </w:r>
      <w:r>
        <w:fldChar w:fldCharType="begin"/>
      </w:r>
      <w:r>
        <w:instrText xml:space="preserve"> REF _RefFigNE3 \h \* MERGEFORMAT </w:instrText>
      </w:r>
      <w:r>
        <w:fldChar w:fldCharType="separate"/>
      </w:r>
      <w:r>
        <w:rPr>
          <w:rFonts w:ascii="Times New Roman" w:hAnsi="Times New Roman" w:cs="Times New Roman" w:eastAsia="Times New Roman"/>
          <w:b w:val="0"/>
          <w:i w:val="0"/>
          <w:color w:val="000000"/>
          <w:sz w:val="24"/>
        </w:rPr>
        <w:t>E3</w:t>
      </w:r>
      <w:r>
        <w:fldChar w:fldCharType="end"/>
      </w:r>
      <w:r>
        <w:rPr>
          <w:rFonts w:ascii="Times New Roman" w:hAnsi="Times New Roman" w:cs="Times New Roman" w:eastAsia="Times New Roman"/>
          <w:b w:val="0"/>
          <w:i w:val="0"/>
          <w:color w:val="000000"/>
          <w:sz w:val="24"/>
        </w:rPr>
        <w:t xml:space="preserve"> provide the supplementary slot-completeness table, multivariate PCA loadings, Holm-adjusted pairwise contrasts for RQ2, corpus rule coverage audit for RQ3, and human turn-economy baseline for RQ4.</w:t>
      </w:r>
    </w:p>
    <w:p>
      <w:pPr>
        <w:keepNext/>
        <w:widowControl/>
        <w:spacing w:line="480" w:lineRule="auto" w:before="120" w:after="0"/>
        <w:ind w:firstLine="0" w:left="0"/>
        <w:jc w:val="left"/>
      </w:pPr>
      <w:bookmarkStart w:name="_RefTabE1" w:id="279"/>
      <w:r>
        <w:rPr>
          <w:rFonts w:ascii="Times New Roman" w:hAnsi="Times New Roman" w:cs="Times New Roman" w:eastAsia="Times New Roman"/>
          <w:b/>
          <w:color w:val="000000"/>
          <w:sz w:val="24"/>
        </w:rPr>
        <w:t xml:space="preserve">Table </w:t>
      </w:r>
      <w:bookmarkStart w:name="_RefTabNE1" w:id="280"/>
      <w:r>
        <w:rPr>
          <w:rFonts w:ascii="Times New Roman" w:hAnsi="Times New Roman" w:cs="Times New Roman" w:eastAsia="Times New Roman"/>
          <w:b/>
          <w:color w:val="000000"/>
          <w:sz w:val="24"/>
        </w:rPr>
        <w:t>E1</w:t>
      </w:r>
      <w:bookmarkEnd w:id="280"/>
      <w:bookmarkEnd w:id="279"/>
    </w:p>
    <w:p>
      <w:pPr>
        <w:keepNext/>
        <w:widowControl/>
        <w:spacing w:line="480" w:lineRule="auto" w:before="0" w:after="0"/>
        <w:ind w:firstLine="0" w:left="0"/>
        <w:jc w:val="left"/>
      </w:pPr>
      <w:r>
        <w:rPr>
          <w:rFonts w:ascii="Times New Roman" w:hAnsi="Times New Roman" w:cs="Times New Roman" w:eastAsia="Times New Roman"/>
          <w:b w:val="0"/>
          <w:i/>
          <w:color w:val="000000"/>
          <w:sz w:val="24"/>
        </w:rPr>
        <w:t>Observed Canonical Slot Completeness by Corpus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360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Canonical slot</w:t>
            </w:r>
          </w:p>
        </w:tc>
        <w:tc>
          <w:tcPr>
            <w:tcW w:type="dxa" w:w="158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Schema tier</w:t>
            </w:r>
          </w:p>
        </w:tc>
        <w:tc>
          <w:tcPr>
            <w:tcW w:type="dxa" w:w="208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Microsoft Frames (%)</w:t>
            </w:r>
          </w:p>
        </w:tc>
        <w:tc>
          <w:tcPr>
            <w:tcW w:type="dxa" w:w="2088"/>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MultiWOZ 2.2 (%)</w:t>
            </w:r>
          </w:p>
        </w:tc>
      </w:tr>
      <w:tr>
        <w:trPr>
          <w:cantSplit/>
        </w:trPr>
        <w:tc>
          <w:tcPr>
            <w:tcW w:type="dxa" w:w="360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origin city</w:t>
            </w:r>
          </w:p>
        </w:tc>
        <w:tc>
          <w:tcPr>
            <w:tcW w:type="dxa" w:w="158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Tier 1</w:t>
            </w:r>
          </w:p>
        </w:tc>
        <w:tc>
          <w:tcPr>
            <w:tcW w:type="dxa" w:w="208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99.4</w:t>
            </w:r>
          </w:p>
        </w:tc>
        <w:tc>
          <w:tcPr>
            <w:tcW w:type="dxa" w:w="2088"/>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70.8</w:t>
            </w:r>
          </w:p>
        </w:tc>
      </w:tr>
      <w:tr>
        <w:trPr>
          <w:cantSplit/>
        </w:trPr>
        <w:tc>
          <w:tcPr>
            <w:tcW w:type="dxa" w:w="36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destination city</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Tier 1</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99.0</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71.4</w:t>
            </w:r>
          </w:p>
        </w:tc>
      </w:tr>
      <w:tr>
        <w:trPr>
          <w:cantSplit/>
        </w:trPr>
        <w:tc>
          <w:tcPr>
            <w:tcW w:type="dxa" w:w="36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departure date</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Tier 1</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84.9</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68.6</w:t>
            </w:r>
          </w:p>
        </w:tc>
      </w:tr>
      <w:tr>
        <w:trPr>
          <w:cantSplit/>
        </w:trPr>
        <w:tc>
          <w:tcPr>
            <w:tcW w:type="dxa" w:w="36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return date</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Tier 1</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70.8</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w:t>
            </w:r>
          </w:p>
        </w:tc>
      </w:tr>
      <w:tr>
        <w:trPr>
          <w:cantSplit/>
        </w:trPr>
        <w:tc>
          <w:tcPr>
            <w:tcW w:type="dxa" w:w="36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duration nights</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Tier 1</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61.8</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27.0</w:t>
            </w:r>
          </w:p>
        </w:tc>
      </w:tr>
      <w:tr>
        <w:trPr>
          <w:cantSplit/>
        </w:trPr>
        <w:tc>
          <w:tcPr>
            <w:tcW w:type="dxa" w:w="36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traveler count adults</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Tier 1</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63.9</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54.0</w:t>
            </w:r>
          </w:p>
        </w:tc>
      </w:tr>
      <w:tr>
        <w:trPr>
          <w:cantSplit/>
        </w:trPr>
        <w:tc>
          <w:tcPr>
            <w:tcW w:type="dxa" w:w="36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traveler count children</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Tier 1</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18.4</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w:t>
            </w:r>
          </w:p>
        </w:tc>
      </w:tr>
      <w:tr>
        <w:trPr>
          <w:cantSplit/>
        </w:trPr>
        <w:tc>
          <w:tcPr>
            <w:tcW w:type="dxa" w:w="36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budget amount</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Tier 1</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72.9</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24.1</w:t>
            </w:r>
          </w:p>
        </w:tc>
      </w:tr>
      <w:tr>
        <w:trPr>
          <w:cantSplit/>
        </w:trPr>
        <w:tc>
          <w:tcPr>
            <w:tcW w:type="dxa" w:w="36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accommodation tier</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Tier 1</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72.7</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19.7</w:t>
            </w:r>
          </w:p>
        </w:tc>
      </w:tr>
      <w:tr>
        <w:trPr>
          <w:cantSplit/>
        </w:trPr>
        <w:tc>
          <w:tcPr>
            <w:tcW w:type="dxa" w:w="36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visa processing window days</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Tier 2</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w:t>
            </w:r>
          </w:p>
        </w:tc>
      </w:tr>
      <w:tr>
        <w:trPr>
          <w:cantSplit/>
        </w:trPr>
        <w:tc>
          <w:tcPr>
            <w:tcW w:type="dxa" w:w="36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passport expiry months</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Tier 2</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w:t>
            </w:r>
          </w:p>
        </w:tc>
      </w:tr>
      <w:tr>
        <w:trPr>
          <w:cantSplit/>
        </w:trPr>
        <w:tc>
          <w:tcPr>
            <w:tcW w:type="dxa" w:w="360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discount applied percentage</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Tier 2</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w:t>
            </w:r>
          </w:p>
        </w:tc>
        <w:tc>
          <w:tcPr>
            <w:tcW w:type="dxa" w:w="2088"/>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w:t>
            </w:r>
          </w:p>
        </w:tc>
      </w:tr>
    </w:tbl>
    <w:p>
      <w:pPr>
        <w:keepNext w:val="0"/>
        <w:widowControl/>
        <w:spacing w:line="240" w:lineRule="auto" w:before="0" w:after="80"/>
        <w:ind w:firstLine="0" w:left="0"/>
        <w:jc w:val="left"/>
      </w:pPr>
    </w:p>
    <w:p>
      <w:pPr>
        <w:keepNext/>
        <w:widowControl/>
        <w:spacing w:line="480" w:lineRule="auto" w:before="120" w:after="0"/>
        <w:ind w:firstLine="0" w:left="0"/>
        <w:jc w:val="left"/>
      </w:pPr>
      <w:bookmarkStart w:name="_RefTabE2" w:id="281"/>
      <w:r>
        <w:rPr>
          <w:rFonts w:ascii="Times New Roman" w:hAnsi="Times New Roman" w:cs="Times New Roman" w:eastAsia="Times New Roman"/>
          <w:b/>
          <w:color w:val="000000"/>
          <w:sz w:val="24"/>
        </w:rPr>
        <w:t xml:space="preserve">Table </w:t>
      </w:r>
      <w:bookmarkStart w:name="_RefTabNE2" w:id="282"/>
      <w:r>
        <w:rPr>
          <w:rFonts w:ascii="Times New Roman" w:hAnsi="Times New Roman" w:cs="Times New Roman" w:eastAsia="Times New Roman"/>
          <w:b/>
          <w:color w:val="000000"/>
          <w:sz w:val="24"/>
        </w:rPr>
        <w:t>E2</w:t>
      </w:r>
      <w:bookmarkEnd w:id="282"/>
      <w:bookmarkEnd w:id="281"/>
    </w:p>
    <w:p>
      <w:pPr>
        <w:keepNext/>
        <w:widowControl/>
        <w:spacing w:line="480" w:lineRule="auto" w:before="0" w:after="0"/>
        <w:ind w:firstLine="0" w:left="0"/>
        <w:jc w:val="left"/>
      </w:pPr>
      <w:r>
        <w:rPr>
          <w:rFonts w:ascii="Times New Roman" w:hAnsi="Times New Roman" w:cs="Times New Roman" w:eastAsia="Times New Roman"/>
          <w:b w:val="0"/>
          <w:i/>
          <w:color w:val="000000"/>
          <w:sz w:val="24"/>
        </w:rPr>
        <w:t>Multivariate Principal Component Loadings of Structural and Behavioral Features (Frames)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2340"/>
        <w:gridCol w:w="2340"/>
        <w:gridCol w:w="2340"/>
        <w:gridCol w:w="2340"/>
      </w:tblGrid>
      <w:tr>
        <w:trPr>
          <w:cantSplit/>
          <w:tblHeader/>
        </w:trPr>
        <w:tc>
          <w:tcPr>
            <w:tcW w:type="dxa" w:w="331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Variable</w:t>
            </w:r>
          </w:p>
        </w:tc>
        <w:tc>
          <w:tcPr>
            <w:tcW w:type="dxa" w:w="201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PC1 loading (40.8% var.)</w:t>
            </w:r>
          </w:p>
        </w:tc>
        <w:tc>
          <w:tcPr>
            <w:tcW w:type="dxa" w:w="201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PC2 loading (17.2% var.)</w:t>
            </w:r>
          </w:p>
        </w:tc>
        <w:tc>
          <w:tcPr>
            <w:tcW w:type="dxa" w:w="201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PC3 loading (10.6% var.)</w:t>
            </w:r>
          </w:p>
        </w:tc>
      </w:tr>
      <w:tr>
        <w:trPr>
          <w:cantSplit/>
        </w:trPr>
        <w:tc>
          <w:tcPr>
            <w:tcW w:type="dxa" w:w="3312"/>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Total Turns</w:t>
            </w:r>
          </w:p>
        </w:tc>
        <w:tc>
          <w:tcPr>
            <w:tcW w:type="dxa" w:w="201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.393</w:t>
            </w:r>
          </w:p>
        </w:tc>
        <w:tc>
          <w:tcPr>
            <w:tcW w:type="dxa" w:w="201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.166</w:t>
            </w:r>
          </w:p>
        </w:tc>
        <w:tc>
          <w:tcPr>
            <w:tcW w:type="dxa" w:w="201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−.234</w:t>
            </w:r>
          </w:p>
        </w:tc>
      </w:tr>
      <w:tr>
        <w:trPr>
          <w:cantSplit/>
        </w:trPr>
        <w:tc>
          <w:tcPr>
            <w:tcW w:type="dxa" w:w="331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Slot Revisions</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.424</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.195</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−.064</w:t>
            </w:r>
          </w:p>
        </w:tc>
      </w:tr>
      <w:tr>
        <w:trPr>
          <w:cantSplit/>
        </w:trPr>
        <w:tc>
          <w:tcPr>
            <w:tcW w:type="dxa" w:w="331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Agent Offers</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.361</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.292</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−.078</w:t>
            </w:r>
          </w:p>
        </w:tc>
      </w:tr>
      <w:tr>
        <w:trPr>
          <w:cantSplit/>
        </w:trPr>
        <w:tc>
          <w:tcPr>
            <w:tcW w:type="dxa" w:w="331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User Words/Turn</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.025</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−.087</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.888</w:t>
            </w:r>
          </w:p>
        </w:tc>
      </w:tr>
      <w:tr>
        <w:trPr>
          <w:cantSplit/>
        </w:trPr>
        <w:tc>
          <w:tcPr>
            <w:tcW w:type="dxa" w:w="331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Dest. Flexibility</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.327</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−.182</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.135</w:t>
            </w:r>
          </w:p>
        </w:tc>
      </w:tr>
      <w:tr>
        <w:trPr>
          <w:cantSplit/>
        </w:trPr>
        <w:tc>
          <w:tcPr>
            <w:tcW w:type="dxa" w:w="331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Exploration Breadth</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.417</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−.108</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.101</w:t>
            </w:r>
          </w:p>
        </w:tc>
      </w:tr>
      <w:tr>
        <w:trPr>
          <w:cantSplit/>
        </w:trPr>
        <w:tc>
          <w:tcPr>
            <w:tcW w:type="dxa" w:w="331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Decisiveness</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−.259</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.503</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.028</w:t>
            </w:r>
          </w:p>
        </w:tc>
      </w:tr>
      <w:tr>
        <w:trPr>
          <w:cantSplit/>
        </w:trPr>
        <w:tc>
          <w:tcPr>
            <w:tcW w:type="dxa" w:w="331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Revision Tendency</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.297</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−.460</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.025</w:t>
            </w:r>
          </w:p>
        </w:tc>
      </w:tr>
      <w:tr>
        <w:trPr>
          <w:cantSplit/>
        </w:trPr>
        <w:tc>
          <w:tcPr>
            <w:tcW w:type="dxa" w:w="331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Question Asking</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.301</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.248</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.027</w:t>
            </w:r>
          </w:p>
        </w:tc>
      </w:tr>
      <w:tr>
        <w:trPr>
          <w:cantSplit/>
        </w:trPr>
        <w:tc>
          <w:tcPr>
            <w:tcW w:type="dxa" w:w="3312"/>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Politeness</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.089</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.520</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.341</w:t>
            </w:r>
          </w:p>
        </w:tc>
      </w:tr>
    </w:tbl>
    <w:p>
      <w:pPr>
        <w:keepNext w:val="0"/>
        <w:widowControl/>
        <w:spacing w:line="240" w:lineRule="auto" w:before="0" w:after="80"/>
        <w:ind w:firstLine="0" w:left="0"/>
        <w:jc w:val="left"/>
      </w:pPr>
    </w:p>
    <w:p>
      <w:pPr>
        <w:keepNext/>
        <w:widowControl/>
        <w:spacing w:line="480" w:lineRule="auto" w:before="120" w:after="0"/>
        <w:ind w:firstLine="0" w:left="0"/>
        <w:jc w:val="left"/>
      </w:pPr>
      <w:bookmarkStart w:name="_RefTabE3" w:id="283"/>
      <w:r>
        <w:rPr>
          <w:rFonts w:ascii="Times New Roman" w:hAnsi="Times New Roman" w:cs="Times New Roman" w:eastAsia="Times New Roman"/>
          <w:b/>
          <w:color w:val="000000"/>
          <w:sz w:val="24"/>
        </w:rPr>
        <w:t xml:space="preserve">Table </w:t>
      </w:r>
      <w:bookmarkStart w:name="_RefTabNE3" w:id="284"/>
      <w:r>
        <w:rPr>
          <w:rFonts w:ascii="Times New Roman" w:hAnsi="Times New Roman" w:cs="Times New Roman" w:eastAsia="Times New Roman"/>
          <w:b/>
          <w:color w:val="000000"/>
          <w:sz w:val="24"/>
        </w:rPr>
        <w:t>E3</w:t>
      </w:r>
      <w:bookmarkEnd w:id="284"/>
      <w:bookmarkEnd w:id="283"/>
    </w:p>
    <w:p>
      <w:pPr>
        <w:keepNext/>
        <w:widowControl/>
        <w:spacing w:line="480" w:lineRule="auto" w:before="0" w:after="0"/>
        <w:ind w:firstLine="0" w:left="0"/>
        <w:jc w:val="left"/>
      </w:pPr>
      <w:r>
        <w:rPr>
          <w:rFonts w:ascii="Times New Roman" w:hAnsi="Times New Roman" w:cs="Times New Roman" w:eastAsia="Times New Roman"/>
          <w:b w:val="0"/>
          <w:i/>
          <w:color w:val="000000"/>
          <w:sz w:val="24"/>
        </w:rPr>
        <w:t>Holm-Adjusted Paired Contrasts for Refined RQ2 Outcomes (N = 33)</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337"/>
        <w:gridCol w:w="1337"/>
        <w:gridCol w:w="1337"/>
        <w:gridCol w:w="1337"/>
        <w:gridCol w:w="1337"/>
        <w:gridCol w:w="1337"/>
        <w:gridCol w:w="1337"/>
      </w:tblGrid>
      <w:tr>
        <w:trPr>
          <w:cantSplit/>
          <w:tblHeader/>
        </w:trPr>
        <w:tc>
          <w:tcPr>
            <w:tcW w:type="dxa" w:w="252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Outcome metric</w:t>
            </w:r>
          </w:p>
        </w:tc>
        <w:tc>
          <w:tcPr>
            <w:tcW w:type="dxa" w:w="266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Pairwise contrast</w:t>
            </w:r>
          </w:p>
        </w:tc>
        <w:tc>
          <w:tcPr>
            <w:tcW w:type="dxa" w:w="108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Mean diff.</w:t>
            </w:r>
          </w:p>
        </w:tc>
        <w:tc>
          <w:tcPr>
            <w:tcW w:type="dxa" w:w="79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t</w:t>
            </w:r>
          </w:p>
        </w:tc>
        <w:tc>
          <w:tcPr>
            <w:tcW w:type="dxa" w:w="57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df</w:t>
            </w:r>
          </w:p>
        </w:tc>
        <w:tc>
          <w:tcPr>
            <w:tcW w:type="dxa" w:w="93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 xml:space="preserve"> (Holm)</w:t>
            </w:r>
          </w:p>
        </w:tc>
        <w:tc>
          <w:tcPr>
            <w:tcW w:type="dxa" w:w="79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d</w:t>
            </w:r>
            <w:r>
              <w:rPr>
                <w:rFonts w:ascii="Times New Roman" w:hAnsi="Times New Roman" w:cs="Times New Roman" w:eastAsia="Times New Roman"/>
                <w:b w:val="0"/>
                <w:i/>
                <w:color w:val="000000"/>
                <w:sz w:val="20"/>
                <w:vertAlign w:val="subscript"/>
              </w:rPr>
              <w:t>z</w:t>
            </w:r>
          </w:p>
        </w:tc>
      </w:tr>
      <w:tr>
        <w:trPr>
          <w:cantSplit/>
        </w:trPr>
        <w:tc>
          <w:tcPr>
            <w:tcW w:type="dxa" w:w="2520"/>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Refined: SBERT style cosine</w:t>
            </w:r>
          </w:p>
        </w:tc>
        <w:tc>
          <w:tcPr>
            <w:tcW w:type="dxa" w:w="266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Cluster-Adaptive vs. Static</w:t>
            </w:r>
          </w:p>
        </w:tc>
        <w:tc>
          <w:tcPr>
            <w:tcW w:type="dxa" w:w="108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.144</w:t>
            </w:r>
          </w:p>
        </w:tc>
        <w:tc>
          <w:tcPr>
            <w:tcW w:type="dxa" w:w="79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4.24</w:t>
            </w:r>
          </w:p>
        </w:tc>
        <w:tc>
          <w:tcPr>
            <w:tcW w:type="dxa" w:w="57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c>
          <w:tcPr>
            <w:tcW w:type="dxa" w:w="93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79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0.74</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SBERT style cosine</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Cluster-Adaptive vs. Zero-Shot</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.067</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2.36</w:t>
            </w:r>
          </w:p>
        </w:tc>
        <w:tc>
          <w:tcPr>
            <w:tcW w:type="dxa" w:w="57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.049</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0.41</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SBERT style cosine</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Static vs. Zero-Shot</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−.077</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−2.20</w:t>
            </w:r>
          </w:p>
        </w:tc>
        <w:tc>
          <w:tcPr>
            <w:tcW w:type="dxa" w:w="57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.049</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−0.38</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Gemini style cosine</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Cluster-Adaptive vs. Zero-Shot</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.027</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1.20</w:t>
            </w:r>
          </w:p>
        </w:tc>
        <w:tc>
          <w:tcPr>
            <w:tcW w:type="dxa" w:w="57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.713</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0.21</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Gemini style cosine</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Static vs. Zero-Shot</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.024</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0.79</w:t>
            </w:r>
          </w:p>
        </w:tc>
        <w:tc>
          <w:tcPr>
            <w:tcW w:type="dxa" w:w="57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.865</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0.14</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Gemini style cosine</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Cluster-Adaptive vs. Static</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.004</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0.13</w:t>
            </w:r>
          </w:p>
        </w:tc>
        <w:tc>
          <w:tcPr>
            <w:tcW w:type="dxa" w:w="57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.895</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0.02</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BERTScore F1</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Cluster-Adaptive vs. Static</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.056</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1.45</w:t>
            </w:r>
          </w:p>
        </w:tc>
        <w:tc>
          <w:tcPr>
            <w:tcW w:type="dxa" w:w="57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.472</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0.25</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BERTScore F1</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Cluster-Adaptive vs. Zero-Shot</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.025</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0.85</w:t>
            </w:r>
          </w:p>
        </w:tc>
        <w:tc>
          <w:tcPr>
            <w:tcW w:type="dxa" w:w="57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.804</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0.15</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BERTScore F1</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Static vs. Zero-Shot</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−.031</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−0.75</w:t>
            </w:r>
          </w:p>
        </w:tc>
        <w:tc>
          <w:tcPr>
            <w:tcW w:type="dxa" w:w="57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.804</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−0.13</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Pacing error (words)</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Cluster-Adaptive vs. Zero-Shot</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−6.25</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−3.49</w:t>
            </w:r>
          </w:p>
        </w:tc>
        <w:tc>
          <w:tcPr>
            <w:tcW w:type="dxa" w:w="57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.004</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−0.61</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Pacing error (words)</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Cluster-Adaptive vs. Static</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−2.46</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−2.66</w:t>
            </w:r>
          </w:p>
        </w:tc>
        <w:tc>
          <w:tcPr>
            <w:tcW w:type="dxa" w:w="57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.024</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−0.46</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Pacing error (words)</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Static vs. Zero-Shot</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−3.79</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−1.82</w:t>
            </w:r>
          </w:p>
        </w:tc>
        <w:tc>
          <w:tcPr>
            <w:tcW w:type="dxa" w:w="57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.078</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−0.32</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Response length (words)</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Cluster-Adaptive vs. Static</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6.82</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7.00</w:t>
            </w:r>
          </w:p>
        </w:tc>
        <w:tc>
          <w:tcPr>
            <w:tcW w:type="dxa" w:w="57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1.22</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Response length (words)</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Static vs. Zero-Shot</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−10.91</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−4.29</w:t>
            </w:r>
          </w:p>
        </w:tc>
        <w:tc>
          <w:tcPr>
            <w:tcW w:type="dxa" w:w="57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&lt; .001</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−0.75</w:t>
            </w:r>
          </w:p>
        </w:tc>
      </w:tr>
      <w:tr>
        <w:trPr>
          <w:cantSplit/>
        </w:trPr>
        <w:tc>
          <w:tcPr>
            <w:tcW w:type="dxa" w:w="2520"/>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Refined: Response length (words)</w:t>
            </w:r>
          </w:p>
        </w:tc>
        <w:tc>
          <w:tcPr>
            <w:tcW w:type="dxa" w:w="266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Cluster-Adaptive vs. Zero-Shot</w:t>
            </w:r>
          </w:p>
        </w:tc>
        <w:tc>
          <w:tcPr>
            <w:tcW w:type="dxa" w:w="108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−4.09</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−1.84</w:t>
            </w:r>
          </w:p>
        </w:tc>
        <w:tc>
          <w:tcPr>
            <w:tcW w:type="dxa" w:w="57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32</w:t>
            </w:r>
          </w:p>
        </w:tc>
        <w:tc>
          <w:tcPr>
            <w:tcW w:type="dxa" w:w="93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.075</w:t>
            </w:r>
          </w:p>
        </w:tc>
        <w:tc>
          <w:tcPr>
            <w:tcW w:type="dxa" w:w="79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−0.32</w:t>
            </w:r>
          </w:p>
        </w:tc>
      </w:tr>
    </w:tbl>
    <w:p>
      <w:pPr>
        <w:keepNext w:val="0"/>
        <w:widowControl/>
        <w:spacing w:line="240" w:lineRule="auto" w:before="0" w:after="80"/>
        <w:ind w:firstLine="0" w:left="0"/>
        <w:jc w:val="left"/>
      </w:pPr>
    </w:p>
    <w:p>
      <w:pPr>
        <w:keepNext/>
        <w:widowControl/>
        <w:spacing w:line="480" w:lineRule="auto" w:before="120" w:after="0"/>
        <w:ind w:firstLine="0" w:left="0"/>
        <w:jc w:val="left"/>
      </w:pPr>
      <w:bookmarkStart w:name="_RefTabE4" w:id="285"/>
      <w:r>
        <w:rPr>
          <w:rFonts w:ascii="Times New Roman" w:hAnsi="Times New Roman" w:cs="Times New Roman" w:eastAsia="Times New Roman"/>
          <w:b/>
          <w:color w:val="000000"/>
          <w:sz w:val="24"/>
        </w:rPr>
        <w:t xml:space="preserve">Table </w:t>
      </w:r>
      <w:bookmarkStart w:name="_RefTabNE4" w:id="286"/>
      <w:r>
        <w:rPr>
          <w:rFonts w:ascii="Times New Roman" w:hAnsi="Times New Roman" w:cs="Times New Roman" w:eastAsia="Times New Roman"/>
          <w:b/>
          <w:color w:val="000000"/>
          <w:sz w:val="24"/>
        </w:rPr>
        <w:t>E4</w:t>
      </w:r>
      <w:bookmarkEnd w:id="286"/>
      <w:bookmarkEnd w:id="285"/>
    </w:p>
    <w:p>
      <w:pPr>
        <w:keepNext/>
        <w:widowControl/>
        <w:spacing w:line="480" w:lineRule="auto" w:before="0" w:after="0"/>
        <w:ind w:firstLine="0" w:left="0"/>
        <w:jc w:val="left"/>
      </w:pPr>
      <w:r>
        <w:rPr>
          <w:rFonts w:ascii="Times New Roman" w:hAnsi="Times New Roman" w:cs="Times New Roman" w:eastAsia="Times New Roman"/>
          <w:b w:val="0"/>
          <w:i/>
          <w:color w:val="000000"/>
          <w:sz w:val="24"/>
        </w:rPr>
        <w:t>Empirical Corpus Audit of Policy Rule Coverage in Microsoft Frames (N = 1,334)</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72"/>
        <w:gridCol w:w="1872"/>
        <w:gridCol w:w="1872"/>
        <w:gridCol w:w="1872"/>
        <w:gridCol w:w="1872"/>
      </w:tblGrid>
      <w:tr>
        <w:trPr>
          <w:cantSplit/>
          <w:tblHeader/>
        </w:trPr>
        <w:tc>
          <w:tcPr>
            <w:tcW w:type="dxa" w:w="230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Declarative rule</w:t>
            </w:r>
          </w:p>
        </w:tc>
        <w:tc>
          <w:tcPr>
            <w:tcW w:type="dxa" w:w="273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Required canonical slot</w:t>
            </w:r>
          </w:p>
        </w:tc>
        <w:tc>
          <w:tcPr>
            <w:tcW w:type="dxa" w:w="1440"/>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Slot observed (%)</w:t>
            </w:r>
          </w:p>
        </w:tc>
        <w:tc>
          <w:tcPr>
            <w:tcW w:type="dxa" w:w="158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Dialogues triggering (</w:t>
            </w:r>
            <w:r>
              <w:rPr>
                <w:rFonts w:ascii="Times New Roman" w:hAnsi="Times New Roman" w:cs="Times New Roman" w:eastAsia="Times New Roman"/>
                <w:b w:val="0"/>
                <w:i/>
                <w:color w:val="000000"/>
                <w:sz w:val="20"/>
              </w:rPr>
              <w:t>n</w:t>
            </w:r>
            <w:r>
              <w:rPr>
                <w:rFonts w:ascii="Times New Roman" w:hAnsi="Times New Roman" w:cs="Times New Roman" w:eastAsia="Times New Roman"/>
                <w:b w:val="0"/>
                <w:i w:val="0"/>
                <w:color w:val="000000"/>
                <w:sz w:val="20"/>
              </w:rPr>
              <w:t>)</w:t>
            </w:r>
          </w:p>
        </w:tc>
        <w:tc>
          <w:tcPr>
            <w:tcW w:type="dxa" w:w="129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Triggering (%)</w:t>
            </w:r>
          </w:p>
        </w:tc>
      </w:tr>
      <w:tr>
        <w:trPr>
          <w:cantSplit/>
        </w:trPr>
        <w:tc>
          <w:tcPr>
            <w:tcW w:type="dxa" w:w="2304"/>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pax capacity</w:t>
            </w:r>
          </w:p>
        </w:tc>
        <w:tc>
          <w:tcPr>
            <w:tcW w:type="dxa" w:w="2736"/>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traveler count adults</w:t>
            </w:r>
          </w:p>
        </w:tc>
        <w:tc>
          <w:tcPr>
            <w:tcW w:type="dxa" w:w="1440"/>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24.1</w:t>
            </w:r>
          </w:p>
        </w:tc>
        <w:tc>
          <w:tcPr>
            <w:tcW w:type="dxa" w:w="158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54</w:t>
            </w:r>
          </w:p>
        </w:tc>
        <w:tc>
          <w:tcPr>
            <w:tcW w:type="dxa" w:w="129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4.05</w:t>
            </w:r>
          </w:p>
        </w:tc>
      </w:tr>
      <w:tr>
        <w:trPr>
          <w:cantSplit/>
        </w:trPr>
        <w:tc>
          <w:tcPr>
            <w:tcW w:type="dxa" w:w="230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budget minimum</w:t>
            </w:r>
          </w:p>
        </w:tc>
        <w:tc>
          <w:tcPr>
            <w:tcW w:type="dxa" w:w="273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budget amount</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65.1</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266</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19.94</w:t>
            </w:r>
          </w:p>
        </w:tc>
      </w:tr>
      <w:tr>
        <w:trPr>
          <w:cantSplit/>
        </w:trPr>
        <w:tc>
          <w:tcPr>
            <w:tcW w:type="dxa" w:w="230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visa window</w:t>
            </w:r>
          </w:p>
        </w:tc>
        <w:tc>
          <w:tcPr>
            <w:tcW w:type="dxa" w:w="273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visa processing window days</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0.00</w:t>
            </w:r>
          </w:p>
        </w:tc>
      </w:tr>
      <w:tr>
        <w:trPr>
          <w:cantSplit/>
        </w:trPr>
        <w:tc>
          <w:tcPr>
            <w:tcW w:type="dxa" w:w="230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passport validity</w:t>
            </w:r>
          </w:p>
        </w:tc>
        <w:tc>
          <w:tcPr>
            <w:tcW w:type="dxa" w:w="273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passport expiry months</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0.00</w:t>
            </w:r>
          </w:p>
        </w:tc>
      </w:tr>
      <w:tr>
        <w:trPr>
          <w:cantSplit/>
        </w:trPr>
        <w:tc>
          <w:tcPr>
            <w:tcW w:type="dxa" w:w="2304"/>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discount threshold</w:t>
            </w:r>
          </w:p>
        </w:tc>
        <w:tc>
          <w:tcPr>
            <w:tcW w:type="dxa" w:w="273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discount applied percentage</w:t>
            </w:r>
          </w:p>
        </w:tc>
        <w:tc>
          <w:tcPr>
            <w:tcW w:type="dxa" w:w="1440"/>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w:t>
            </w:r>
          </w:p>
        </w:tc>
        <w:tc>
          <w:tcPr>
            <w:tcW w:type="dxa" w:w="158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w:t>
            </w:r>
          </w:p>
        </w:tc>
        <w:tc>
          <w:tcPr>
            <w:tcW w:type="dxa" w:w="129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0.00</w:t>
            </w:r>
          </w:p>
        </w:tc>
      </w:tr>
    </w:tbl>
    <w:p>
      <w:pPr>
        <w:keepNext w:val="0"/>
        <w:widowControl/>
        <w:spacing w:line="240" w:lineRule="auto" w:before="0" w:after="80"/>
        <w:ind w:firstLine="0" w:left="0"/>
        <w:jc w:val="left"/>
      </w:pPr>
    </w:p>
    <w:p>
      <w:pPr>
        <w:keepNext/>
        <w:widowControl/>
        <w:spacing w:line="480" w:lineRule="auto" w:before="120" w:after="0"/>
        <w:ind w:firstLine="0" w:left="0"/>
        <w:jc w:val="left"/>
      </w:pPr>
      <w:bookmarkStart w:name="_RefTabE5" w:id="287"/>
      <w:r>
        <w:rPr>
          <w:rFonts w:ascii="Times New Roman" w:hAnsi="Times New Roman" w:cs="Times New Roman" w:eastAsia="Times New Roman"/>
          <w:b/>
          <w:color w:val="000000"/>
          <w:sz w:val="24"/>
        </w:rPr>
        <w:t xml:space="preserve">Table </w:t>
      </w:r>
      <w:bookmarkStart w:name="_RefTabNE5" w:id="288"/>
      <w:r>
        <w:rPr>
          <w:rFonts w:ascii="Times New Roman" w:hAnsi="Times New Roman" w:cs="Times New Roman" w:eastAsia="Times New Roman"/>
          <w:b/>
          <w:color w:val="000000"/>
          <w:sz w:val="24"/>
        </w:rPr>
        <w:t>E5</w:t>
      </w:r>
      <w:bookmarkEnd w:id="288"/>
      <w:bookmarkEnd w:id="287"/>
    </w:p>
    <w:p>
      <w:pPr>
        <w:keepNext/>
        <w:widowControl/>
        <w:spacing w:line="480" w:lineRule="auto" w:before="0" w:after="0"/>
        <w:ind w:firstLine="0" w:left="0"/>
        <w:jc w:val="left"/>
      </w:pPr>
      <w:r>
        <w:rPr>
          <w:rFonts w:ascii="Times New Roman" w:hAnsi="Times New Roman" w:cs="Times New Roman" w:eastAsia="Times New Roman"/>
          <w:b w:val="0"/>
          <w:i/>
          <w:color w:val="000000"/>
          <w:sz w:val="24"/>
        </w:rPr>
        <w:t>Human Wizard Baseline of Turn Economy and Redundant Elicitation by Refined Archetype (Frames)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H w:val="nil"/>
          <w:insideV w:val="nil"/>
        </w:tblBorders>
      </w:tblPr>
      <w:tblGrid>
        <w:gridCol w:w="1872"/>
        <w:gridCol w:w="1872"/>
        <w:gridCol w:w="1872"/>
        <w:gridCol w:w="1872"/>
        <w:gridCol w:w="1872"/>
      </w:tblGrid>
      <w:tr>
        <w:trPr>
          <w:cantSplit/>
          <w:tblHeader/>
        </w:trPr>
        <w:tc>
          <w:tcPr>
            <w:tcW w:type="dxa" w:w="273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Refined user archetype</w:t>
            </w:r>
          </w:p>
        </w:tc>
        <w:tc>
          <w:tcPr>
            <w:tcW w:type="dxa" w:w="864"/>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color w:val="000000"/>
                <w:sz w:val="20"/>
              </w:rPr>
              <w:t>n</w:t>
            </w:r>
          </w:p>
        </w:tc>
        <w:tc>
          <w:tcPr>
            <w:tcW w:type="dxa" w:w="187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Turns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1872"/>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RER </w:t>
            </w:r>
            <w:r>
              <w:rPr>
                <w:rFonts w:ascii="Times New Roman" w:hAnsi="Times New Roman" w:cs="Times New Roman" w:eastAsia="Times New Roman"/>
                <w:b w:val="0"/>
                <w:i/>
                <w:color w:val="000000"/>
                <w:sz w:val="20"/>
              </w:rPr>
              <w:t>M</w:t>
            </w:r>
            <w:r>
              <w:rPr>
                <w:rFonts w:ascii="Times New Roman" w:hAnsi="Times New Roman" w:cs="Times New Roman" w:eastAsia="Times New Roman"/>
                <w:b w:val="0"/>
                <w:i w:val="0"/>
                <w:color w:val="000000"/>
                <w:sz w:val="20"/>
              </w:rPr>
              <w:t xml:space="preserve"> (</w:t>
            </w:r>
            <w:r>
              <w:rPr>
                <w:rFonts w:ascii="Times New Roman" w:hAnsi="Times New Roman" w:cs="Times New Roman" w:eastAsia="Times New Roman"/>
                <w:b w:val="0"/>
                <w:i/>
                <w:color w:val="000000"/>
                <w:sz w:val="20"/>
              </w:rPr>
              <w:t>SD</w:t>
            </w:r>
            <w:r>
              <w:rPr>
                <w:rFonts w:ascii="Times New Roman" w:hAnsi="Times New Roman" w:cs="Times New Roman" w:eastAsia="Times New Roman"/>
                <w:b w:val="0"/>
                <w:i w:val="0"/>
                <w:color w:val="000000"/>
                <w:sz w:val="20"/>
              </w:rPr>
              <w:t>)</w:t>
            </w:r>
          </w:p>
        </w:tc>
        <w:tc>
          <w:tcPr>
            <w:tcW w:type="dxa" w:w="2016"/>
            <w:tcBorders>
              <w:bottom w:val="single" w:sz="6" w:space="0" w:color="000000"/>
            </w:tcBorders>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 xml:space="preserve">Wizard request turns </w:t>
            </w:r>
            <w:r>
              <w:rPr>
                <w:rFonts w:ascii="Times New Roman" w:hAnsi="Times New Roman" w:cs="Times New Roman" w:eastAsia="Times New Roman"/>
                <w:b w:val="0"/>
                <w:i/>
                <w:color w:val="000000"/>
                <w:sz w:val="20"/>
              </w:rPr>
              <w:t>M</w:t>
            </w:r>
          </w:p>
        </w:tc>
      </w:tr>
      <w:tr>
        <w:trPr>
          <w:cantSplit/>
        </w:trPr>
        <w:tc>
          <w:tcPr>
            <w:tcW w:type="dxa" w:w="2736"/>
          </w:tcPr>
          <w:p>
            <w:pPr>
              <w:keepNext/>
              <w:widowControl/>
              <w:spacing w:line="240" w:lineRule="auto" w:before="30" w:after="30"/>
              <w:ind w:firstLine="0" w:left="0"/>
              <w:jc w:val="left"/>
            </w:pPr>
            <w:r>
              <w:rPr>
                <w:rFonts w:ascii="Times New Roman" w:hAnsi="Times New Roman" w:cs="Times New Roman" w:eastAsia="Times New Roman"/>
                <w:b w:val="0"/>
                <w:i w:val="0"/>
                <w:color w:val="000000"/>
                <w:sz w:val="20"/>
              </w:rPr>
              <w:t>Decisive Booker</w:t>
            </w:r>
          </w:p>
        </w:tc>
        <w:tc>
          <w:tcPr>
            <w:tcW w:type="dxa" w:w="864"/>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595</w:t>
            </w:r>
          </w:p>
        </w:tc>
        <w:tc>
          <w:tcPr>
            <w:tcW w:type="dxa" w:w="187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14.56 (4.52)</w:t>
            </w:r>
          </w:p>
        </w:tc>
        <w:tc>
          <w:tcPr>
            <w:tcW w:type="dxa" w:w="1872"/>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.014 (.047)</w:t>
            </w:r>
          </w:p>
        </w:tc>
        <w:tc>
          <w:tcPr>
            <w:tcW w:type="dxa" w:w="2016"/>
          </w:tcPr>
          <w:p>
            <w:pPr>
              <w:keepNext/>
              <w:widowControl/>
              <w:spacing w:line="240" w:lineRule="auto" w:before="30" w:after="30"/>
              <w:ind w:firstLine="0" w:left="0"/>
              <w:jc w:val="center"/>
            </w:pPr>
            <w:r>
              <w:rPr>
                <w:rFonts w:ascii="Times New Roman" w:hAnsi="Times New Roman" w:cs="Times New Roman" w:eastAsia="Times New Roman"/>
                <w:b w:val="0"/>
                <w:i w:val="0"/>
                <w:color w:val="000000"/>
                <w:sz w:val="20"/>
              </w:rPr>
              <w:t>1.44</w:t>
            </w:r>
          </w:p>
        </w:tc>
      </w:tr>
      <w:tr>
        <w:trPr>
          <w:cantSplit/>
        </w:trPr>
        <w:tc>
          <w:tcPr>
            <w:tcW w:type="dxa" w:w="273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Open Explorer</w:t>
            </w:r>
          </w:p>
        </w:tc>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337</w:t>
            </w:r>
          </w:p>
        </w:tc>
        <w:tc>
          <w:tcPr>
            <w:tcW w:type="dxa" w:w="187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20.75 (7.07)</w:t>
            </w:r>
          </w:p>
        </w:tc>
        <w:tc>
          <w:tcPr>
            <w:tcW w:type="dxa" w:w="187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.016 (.049)</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1.82</w:t>
            </w:r>
          </w:p>
        </w:tc>
      </w:tr>
      <w:tr>
        <w:trPr>
          <w:cantSplit/>
        </w:trPr>
        <w:tc>
          <w:tcPr>
            <w:tcW w:type="dxa" w:w="2736"/>
          </w:tcPr>
          <w:p>
            <w:pPr>
              <w:keepNext w:val="0"/>
              <w:widowControl/>
              <w:spacing w:line="240" w:lineRule="auto" w:before="30" w:after="30"/>
              <w:ind w:firstLine="0" w:left="0"/>
              <w:jc w:val="left"/>
            </w:pPr>
            <w:r>
              <w:rPr>
                <w:rFonts w:ascii="Times New Roman" w:hAnsi="Times New Roman" w:cs="Times New Roman" w:eastAsia="Times New Roman"/>
                <w:b w:val="0"/>
                <w:i w:val="0"/>
                <w:color w:val="000000"/>
                <w:sz w:val="20"/>
              </w:rPr>
              <w:t>Rigid-Constraint Seeker</w:t>
            </w:r>
          </w:p>
        </w:tc>
        <w:tc>
          <w:tcPr>
            <w:tcW w:type="dxa" w:w="864"/>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402</w:t>
            </w:r>
          </w:p>
        </w:tc>
        <w:tc>
          <w:tcPr>
            <w:tcW w:type="dxa" w:w="187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10.60 (5.59)</w:t>
            </w:r>
          </w:p>
        </w:tc>
        <w:tc>
          <w:tcPr>
            <w:tcW w:type="dxa" w:w="1872"/>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.017 (.061)</w:t>
            </w:r>
          </w:p>
        </w:tc>
        <w:tc>
          <w:tcPr>
            <w:tcW w:type="dxa" w:w="2016"/>
          </w:tcPr>
          <w:p>
            <w:pPr>
              <w:keepNext w:val="0"/>
              <w:widowControl/>
              <w:spacing w:line="240" w:lineRule="auto" w:before="30" w:after="30"/>
              <w:ind w:firstLine="0" w:left="0"/>
              <w:jc w:val="center"/>
            </w:pPr>
            <w:r>
              <w:rPr>
                <w:rFonts w:ascii="Times New Roman" w:hAnsi="Times New Roman" w:cs="Times New Roman" w:eastAsia="Times New Roman"/>
                <w:b w:val="0"/>
                <w:i w:val="0"/>
                <w:color w:val="000000"/>
                <w:sz w:val="20"/>
              </w:rPr>
              <w:t>1.27</w:t>
            </w:r>
          </w:p>
        </w:tc>
      </w:tr>
    </w:tbl>
    <w:p>
      <w:pPr>
        <w:keepNext w:val="0"/>
        <w:widowControl/>
        <w:spacing w:line="240" w:lineRule="auto" w:before="0" w:after="80"/>
        <w:ind w:firstLine="0" w:left="0"/>
        <w:jc w:val="left"/>
      </w:pPr>
    </w:p>
    <w:p>
      <w:pPr>
        <w:keepNext/>
        <w:widowControl/>
        <w:spacing w:line="480" w:lineRule="auto" w:before="120" w:after="0"/>
        <w:ind w:firstLine="0" w:left="0"/>
        <w:jc w:val="left"/>
      </w:pPr>
      <w:bookmarkStart w:name="_RefFigE1" w:id="289"/>
      <w:r>
        <w:rPr>
          <w:rFonts w:ascii="Times New Roman" w:hAnsi="Times New Roman" w:cs="Times New Roman" w:eastAsia="Times New Roman"/>
          <w:b/>
          <w:color w:val="000000"/>
          <w:sz w:val="24"/>
        </w:rPr>
        <w:t xml:space="preserve">Figure </w:t>
      </w:r>
      <w:bookmarkStart w:name="_RefFigNE1" w:id="290"/>
      <w:r>
        <w:rPr>
          <w:rFonts w:ascii="Times New Roman" w:hAnsi="Times New Roman" w:cs="Times New Roman" w:eastAsia="Times New Roman"/>
          <w:b/>
          <w:color w:val="000000"/>
          <w:sz w:val="24"/>
        </w:rPr>
        <w:t>E1</w:t>
      </w:r>
      <w:bookmarkEnd w:id="290"/>
      <w:bookmarkEnd w:id="289"/>
    </w:p>
    <w:p>
      <w:pPr>
        <w:keepNext/>
        <w:widowControl/>
        <w:spacing w:line="480" w:lineRule="auto" w:before="0" w:after="0"/>
        <w:ind w:firstLine="0" w:left="0"/>
        <w:jc w:val="left"/>
      </w:pPr>
      <w:r>
        <w:rPr>
          <w:rFonts w:ascii="Times New Roman" w:hAnsi="Times New Roman" w:cs="Times New Roman" w:eastAsia="Times New Roman"/>
          <w:b w:val="0"/>
          <w:i/>
          <w:color w:val="000000"/>
          <w:sz w:val="24"/>
        </w:rPr>
        <w:t>Observed Slot Completeness by Corpus</w:t>
      </w:r>
    </w:p>
    <w:p>
      <w:pPr>
        <w:keepNext/>
        <w:widowControl/>
        <w:spacing w:line="240" w:lineRule="auto" w:before="0" w:after="0"/>
        <w:ind w:firstLine="0" w:left="0"/>
        <w:jc w:val="center"/>
      </w:pPr>
      <w:r>
        <w:drawing>
          <wp:inline xmlns:a="http://schemas.openxmlformats.org/drawingml/2006/main" xmlns:pic="http://schemas.openxmlformats.org/drawingml/2006/picture">
            <wp:extent cx="4206240" cy="1766621"/>
            <wp:docPr id="13" name="Picture 13"/>
            <wp:cNvGraphicFramePr>
              <a:graphicFrameLocks noChangeAspect="1"/>
            </wp:cNvGraphicFramePr>
            <a:graphic>
              <a:graphicData uri="http://schemas.openxmlformats.org/drawingml/2006/picture">
                <pic:pic>
                  <pic:nvPicPr>
                    <pic:cNvPr id="0" name="fig_eda_slots.png"/>
                    <pic:cNvPicPr/>
                  </pic:nvPicPr>
                  <pic:blipFill>
                    <a:blip r:embed="rId53"/>
                    <a:stretch>
                      <a:fillRect/>
                    </a:stretch>
                  </pic:blipFill>
                  <pic:spPr>
                    <a:xfrm>
                      <a:off x="0" y="0"/>
                      <a:ext cx="4206240" cy="1766621"/>
                    </a:xfrm>
                    <a:prstGeom prst="rect"/>
                  </pic:spPr>
                </pic:pic>
              </a:graphicData>
            </a:graphic>
          </wp:inline>
        </w:drawing>
      </w:r>
    </w:p>
    <w:p>
      <w:pPr>
        <w:keepNext/>
        <w:widowControl/>
        <w:spacing w:line="480" w:lineRule="auto" w:before="120" w:after="0"/>
        <w:ind w:firstLine="0" w:left="0"/>
        <w:jc w:val="left"/>
      </w:pPr>
      <w:bookmarkStart w:name="_RefFigE2" w:id="291"/>
      <w:r>
        <w:rPr>
          <w:rFonts w:ascii="Times New Roman" w:hAnsi="Times New Roman" w:cs="Times New Roman" w:eastAsia="Times New Roman"/>
          <w:b/>
          <w:color w:val="000000"/>
          <w:sz w:val="24"/>
        </w:rPr>
        <w:t xml:space="preserve">Figure </w:t>
      </w:r>
      <w:bookmarkStart w:name="_RefFigNE2" w:id="292"/>
      <w:r>
        <w:rPr>
          <w:rFonts w:ascii="Times New Roman" w:hAnsi="Times New Roman" w:cs="Times New Roman" w:eastAsia="Times New Roman"/>
          <w:b/>
          <w:color w:val="000000"/>
          <w:sz w:val="24"/>
        </w:rPr>
        <w:t>E2</w:t>
      </w:r>
      <w:bookmarkEnd w:id="292"/>
      <w:bookmarkEnd w:id="291"/>
    </w:p>
    <w:p>
      <w:pPr>
        <w:keepNext/>
        <w:widowControl/>
        <w:spacing w:line="480" w:lineRule="auto" w:before="0" w:after="0"/>
        <w:ind w:firstLine="0" w:left="0"/>
        <w:jc w:val="left"/>
      </w:pPr>
      <w:r>
        <w:rPr>
          <w:rFonts w:ascii="Times New Roman" w:hAnsi="Times New Roman" w:cs="Times New Roman" w:eastAsia="Times New Roman"/>
          <w:b w:val="0"/>
          <w:i/>
          <w:color w:val="000000"/>
          <w:sz w:val="24"/>
        </w:rPr>
        <w:t>Primary RQ2 Results on Unrefined Whole-Dialogue Archetypes</w:t>
      </w:r>
    </w:p>
    <w:p>
      <w:pPr>
        <w:keepNext/>
        <w:widowControl/>
        <w:spacing w:line="240" w:lineRule="auto" w:before="0" w:after="0"/>
        <w:ind w:firstLine="0" w:left="0"/>
        <w:jc w:val="center"/>
      </w:pPr>
      <w:r>
        <w:drawing>
          <wp:inline xmlns:a="http://schemas.openxmlformats.org/drawingml/2006/main" xmlns:pic="http://schemas.openxmlformats.org/drawingml/2006/picture">
            <wp:extent cx="4754880" cy="1901952"/>
            <wp:docPr id="14" name="Picture 14"/>
            <wp:cNvGraphicFramePr>
              <a:graphicFrameLocks noChangeAspect="1"/>
            </wp:cNvGraphicFramePr>
            <a:graphic>
              <a:graphicData uri="http://schemas.openxmlformats.org/drawingml/2006/picture">
                <pic:pic>
                  <pic:nvPicPr>
                    <pic:cNvPr id="0" name="fig_rq2_results.png"/>
                    <pic:cNvPicPr/>
                  </pic:nvPicPr>
                  <pic:blipFill>
                    <a:blip r:embed="rId54"/>
                    <a:stretch>
                      <a:fillRect/>
                    </a:stretch>
                  </pic:blipFill>
                  <pic:spPr>
                    <a:xfrm>
                      <a:off x="0" y="0"/>
                      <a:ext cx="4754880" cy="1901952"/>
                    </a:xfrm>
                    <a:prstGeom prst="rect"/>
                  </pic:spPr>
                </pic:pic>
              </a:graphicData>
            </a:graphic>
          </wp:inline>
        </w:drawing>
      </w:r>
    </w:p>
    <w:p>
      <w:pPr>
        <w:keepNext/>
        <w:widowControl/>
        <w:spacing w:line="480" w:lineRule="auto" w:before="120" w:after="0"/>
        <w:ind w:firstLine="0" w:left="0"/>
        <w:jc w:val="left"/>
      </w:pPr>
      <w:bookmarkStart w:name="_RefFigE3" w:id="293"/>
      <w:r>
        <w:rPr>
          <w:rFonts w:ascii="Times New Roman" w:hAnsi="Times New Roman" w:cs="Times New Roman" w:eastAsia="Times New Roman"/>
          <w:b/>
          <w:color w:val="000000"/>
          <w:sz w:val="24"/>
        </w:rPr>
        <w:t xml:space="preserve">Figure </w:t>
      </w:r>
      <w:bookmarkStart w:name="_RefFigNE3" w:id="294"/>
      <w:r>
        <w:rPr>
          <w:rFonts w:ascii="Times New Roman" w:hAnsi="Times New Roman" w:cs="Times New Roman" w:eastAsia="Times New Roman"/>
          <w:b/>
          <w:color w:val="000000"/>
          <w:sz w:val="24"/>
        </w:rPr>
        <w:t>E3</w:t>
      </w:r>
      <w:bookmarkEnd w:id="294"/>
      <w:bookmarkEnd w:id="293"/>
    </w:p>
    <w:p>
      <w:pPr>
        <w:keepNext/>
        <w:widowControl/>
        <w:spacing w:line="480" w:lineRule="auto" w:before="0" w:after="0"/>
        <w:ind w:firstLine="0" w:left="0"/>
        <w:jc w:val="left"/>
      </w:pPr>
      <w:r>
        <w:rPr>
          <w:rFonts w:ascii="Times New Roman" w:hAnsi="Times New Roman" w:cs="Times New Roman" w:eastAsia="Times New Roman"/>
          <w:b w:val="0"/>
          <w:i/>
          <w:color w:val="000000"/>
          <w:sz w:val="24"/>
        </w:rPr>
        <w:t>Human Wizard Baseline of Turn Economy and Redundant Elicitation by Refined Archetype</w:t>
      </w:r>
    </w:p>
    <w:p>
      <w:pPr>
        <w:keepNext/>
        <w:widowControl/>
        <w:spacing w:line="240" w:lineRule="auto" w:before="0" w:after="0"/>
        <w:ind w:firstLine="0" w:left="0"/>
        <w:jc w:val="center"/>
      </w:pPr>
      <w:r>
        <w:drawing>
          <wp:inline xmlns:a="http://schemas.openxmlformats.org/drawingml/2006/main" xmlns:pic="http://schemas.openxmlformats.org/drawingml/2006/picture">
            <wp:extent cx="4754880" cy="1901952"/>
            <wp:docPr id="15" name="Picture 15"/>
            <wp:cNvGraphicFramePr>
              <a:graphicFrameLocks noChangeAspect="1"/>
            </wp:cNvGraphicFramePr>
            <a:graphic>
              <a:graphicData uri="http://schemas.openxmlformats.org/drawingml/2006/picture">
                <pic:pic>
                  <pic:nvPicPr>
                    <pic:cNvPr id="0" name="fig_rq4_baseline_refined.png"/>
                    <pic:cNvPicPr/>
                  </pic:nvPicPr>
                  <pic:blipFill>
                    <a:blip r:embed="rId55"/>
                    <a:stretch>
                      <a:fillRect/>
                    </a:stretch>
                  </pic:blipFill>
                  <pic:spPr>
                    <a:xfrm>
                      <a:off x="0" y="0"/>
                      <a:ext cx="4754880" cy="1901952"/>
                    </a:xfrm>
                    <a:prstGeom prst="rect"/>
                  </pic:spPr>
                </pic:pic>
              </a:graphicData>
            </a:graphic>
          </wp:inline>
        </w:drawing>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line="240" w:lineRule="auto" w:before="0" w:after="0"/>
      <w:ind w:firstLine="0" w:left="0"/>
      <w:jc w:val="right"/>
    </w:pPr>
    <w:r>
      <w:rPr>
        <w:rFonts w:ascii="Times New Roman" w:hAnsi="Times New Roman" w:cs="Times New Roman" w:eastAsia="Times New Roman"/>
        <w:color w:val="00000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eastAsiaTheme="majorEastAsia" w:cstheme="majorBidi" w:ascii="Times New Roman" w:hAnsi="Times New Roman" w:cs="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eastAsiaTheme="majorEastAsia" w:cstheme="majorBidi" w:ascii="Times New Roman" w:hAnsi="Times New Roman" w:cs="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eastAsiaTheme="majorEastAsia" w:cstheme="majorBidi" w:ascii="Times New Roman" w:hAnsi="Times New Roman" w:cs="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github.com/surnella/QM640-Dialogue-Clustering-Capstone"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doi.org/10.18653/v1/2025.sigdial-1.7" TargetMode="External"/><Relationship Id="rId20" Type="http://schemas.openxmlformats.org/officeDocument/2006/relationships/hyperlink" Target="https://doi.org/10.48550/arXiv.2005.14165" TargetMode="External"/><Relationship Id="rId21" Type="http://schemas.openxmlformats.org/officeDocument/2006/relationships/hyperlink" Target="https://doi.org/10.18653/v1/D18-1547" TargetMode="External"/><Relationship Id="rId22" Type="http://schemas.openxmlformats.org/officeDocument/2006/relationships/hyperlink" Target="https://doi.org/10.1080/10548408.2019.1592059" TargetMode="External"/><Relationship Id="rId23" Type="http://schemas.openxmlformats.org/officeDocument/2006/relationships/hyperlink" Target="https://doi.org/10.4324/9780203771587" TargetMode="External"/><Relationship Id="rId24" Type="http://schemas.openxmlformats.org/officeDocument/2006/relationships/hyperlink" Target="https://doi.org/10.1109/TPAMI.1979.4766909" TargetMode="External"/><Relationship Id="rId25" Type="http://schemas.openxmlformats.org/officeDocument/2006/relationships/hyperlink" Target="https://doi.org/10.18653/v1/W17-5526" TargetMode="External"/><Relationship Id="rId26" Type="http://schemas.openxmlformats.org/officeDocument/2006/relationships/hyperlink" Target="https://doi.org/10.3758/BF03193146" TargetMode="External"/><Relationship Id="rId27" Type="http://schemas.openxmlformats.org/officeDocument/2006/relationships/hyperlink" Target="https://doi.org/10.1073/pnas.2305016120" TargetMode="External"/><Relationship Id="rId28" Type="http://schemas.openxmlformats.org/officeDocument/2006/relationships/hyperlink" Target="https://doi.org/10.1007/BF02289823" TargetMode="External"/><Relationship Id="rId29" Type="http://schemas.openxmlformats.org/officeDocument/2006/relationships/hyperlink" Target="https://doi.org/10.1016/j.csda.2006.11.025" TargetMode="External"/><Relationship Id="rId30" Type="http://schemas.openxmlformats.org/officeDocument/2006/relationships/hyperlink" Target="https://doi.org/10.1007/BF01908075" TargetMode="External"/><Relationship Id="rId31" Type="http://schemas.openxmlformats.org/officeDocument/2006/relationships/hyperlink" Target="https://aclanthology.org/2022.lrec-1.619" TargetMode="External"/><Relationship Id="rId32" Type="http://schemas.openxmlformats.org/officeDocument/2006/relationships/hyperlink" Target="https://doi.org/10.1108/978-1-78756-687-320191001" TargetMode="External"/><Relationship Id="rId33" Type="http://schemas.openxmlformats.org/officeDocument/2006/relationships/hyperlink" Target="https://doi.org/10.1145/3453154" TargetMode="External"/><Relationship Id="rId34" Type="http://schemas.openxmlformats.org/officeDocument/2006/relationships/hyperlink" Target="https://doi.org/10.1109/TBDATA.2019.2921572" TargetMode="External"/><Relationship Id="rId35" Type="http://schemas.openxmlformats.org/officeDocument/2006/relationships/hyperlink" Target="https://doi.org/10.48550/arXiv.2503.07891" TargetMode="External"/><Relationship Id="rId36" Type="http://schemas.openxmlformats.org/officeDocument/2006/relationships/hyperlink" Target="https://doi.org/10.18653/v1/2022.deelio-1.10" TargetMode="External"/><Relationship Id="rId37" Type="http://schemas.openxmlformats.org/officeDocument/2006/relationships/hyperlink" Target="https://doi.org/10.21105/joss.00205" TargetMode="External"/><Relationship Id="rId38" Type="http://schemas.openxmlformats.org/officeDocument/2006/relationships/hyperlink" Target="https://doi.org/10.48550/arXiv.1802.03426" TargetMode="External"/><Relationship Id="rId39" Type="http://schemas.openxmlformats.org/officeDocument/2006/relationships/hyperlink" Target="https://doi.org/10.1080/13683500.2019.1706457" TargetMode="External"/><Relationship Id="rId40" Type="http://schemas.openxmlformats.org/officeDocument/2006/relationships/hyperlink" Target="https://jmlr.org/papers/v12/pedregosa11a.html" TargetMode="External"/><Relationship Id="rId41" Type="http://schemas.openxmlformats.org/officeDocument/2006/relationships/hyperlink" Target="https://doi.org/10.18653/v1/2023.emnlp-demo.40" TargetMode="External"/><Relationship Id="rId42" Type="http://schemas.openxmlformats.org/officeDocument/2006/relationships/hyperlink" Target="https://doi.org/10.18653/v1/D19-1410" TargetMode="External"/><Relationship Id="rId43" Type="http://schemas.openxmlformats.org/officeDocument/2006/relationships/hyperlink" Target="https://doi.org/10.1016/0377-0427(87)90125-7" TargetMode="External"/><Relationship Id="rId44" Type="http://schemas.openxmlformats.org/officeDocument/2006/relationships/hyperlink" Target="https://doi.org/10.25080/Majora-92bf1922-011" TargetMode="External"/><Relationship Id="rId45" Type="http://schemas.openxmlformats.org/officeDocument/2006/relationships/hyperlink" Target="https://doi.org/10.1145/1978942.1978963" TargetMode="External"/><Relationship Id="rId46" Type="http://schemas.openxmlformats.org/officeDocument/2006/relationships/hyperlink" Target="https://doi.org/10.48550/arXiv.2406.12045" TargetMode="External"/><Relationship Id="rId47" Type="http://schemas.openxmlformats.org/officeDocument/2006/relationships/hyperlink" Target="https://doi.org/10.18653/v1/2020.nlp4convai-1.13" TargetMode="External"/><Relationship Id="rId48" Type="http://schemas.openxmlformats.org/officeDocument/2006/relationships/hyperlink" Target="https://openreview.net/forum?id=SkeHuCVFDr" TargetMode="External"/><Relationship Id="rId49" Type="http://schemas.openxmlformats.org/officeDocument/2006/relationships/image" Target="media/image9.png"/><Relationship Id="rId50" Type="http://schemas.openxmlformats.org/officeDocument/2006/relationships/image" Target="media/image10.png"/><Relationship Id="rId51" Type="http://schemas.openxmlformats.org/officeDocument/2006/relationships/image" Target="media/image11.png"/><Relationship Id="rId52" Type="http://schemas.openxmlformats.org/officeDocument/2006/relationships/image" Target="media/image12.png"/><Relationship Id="rId53" Type="http://schemas.openxmlformats.org/officeDocument/2006/relationships/image" Target="media/image13.png"/><Relationship Id="rId54" Type="http://schemas.openxmlformats.org/officeDocument/2006/relationships/image" Target="media/image14.png"/><Relationship Id="rId5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