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480" w:lineRule="auto" w:before="0" w:after="0"/>
        <w:ind w:firstLine="0" w:left="0"/>
        <w:jc w:val="left"/>
      </w:pPr>
    </w:p>
    <w:p>
      <w:pPr>
        <w:keepNext w:val="0"/>
        <w:widowControl/>
        <w:spacing w:line="480" w:lineRule="auto" w:before="0" w:after="0"/>
        <w:ind w:firstLine="0" w:left="0"/>
        <w:jc w:val="left"/>
      </w:pPr>
    </w:p>
    <w:p>
      <w:pPr>
        <w:keepNext w:val="0"/>
        <w:widowControl/>
        <w:spacing w:line="480" w:lineRule="auto" w:before="0" w:after="0"/>
        <w:ind w:firstLine="0" w:left="0"/>
        <w:jc w:val="left"/>
      </w:pPr>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Cluster-Adaptive Prompting for Multi-Turn Travel and Tourism Conversational Systems</w:t>
      </w:r>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Interim Report</w:t>
      </w:r>
    </w:p>
    <w:p>
      <w:pPr>
        <w:keepNext w:val="0"/>
        <w:widowControl/>
        <w:spacing w:line="480" w:lineRule="auto" w:before="0" w:after="0"/>
        <w:ind w:firstLine="0" w:left="0"/>
        <w:jc w:val="left"/>
      </w:pP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Surnella Sandeep</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Department of Data Analytics, Walsh College</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QM640: Data Analytics Capstone</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Mr. Smitraj Raut</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October 27, 2026</w:t>
      </w:r>
    </w:p>
    <w:p>
      <w:pPr>
        <w:keepNext w:val="0"/>
        <w:widowControl/>
        <w:spacing w:line="240" w:lineRule="auto" w:before="0" w:after="0"/>
        <w:ind w:firstLine="0" w:left="0"/>
        <w:jc w:val="left"/>
      </w:pPr>
      <w:r>
        <w:br w:type="page"/>
      </w:r>
    </w:p>
    <w:p>
      <w:pPr>
        <w:keepNext w:val="0"/>
        <w:widowControl/>
        <w:spacing w:line="480" w:lineRule="auto" w:before="0" w:after="0"/>
        <w:ind w:firstLine="0" w:left="0"/>
        <w:jc w:val="left"/>
      </w:pPr>
      <w:r>
        <w:rPr>
          <w:rFonts w:ascii="Times New Roman" w:hAnsi="Times New Roman" w:cs="Times New Roman" w:eastAsia="Times New Roman"/>
          <w:b/>
          <w:i w:val="0"/>
          <w:color w:val="000000"/>
          <w:sz w:val="24"/>
        </w:rPr>
        <w:t>GitHub repository:</w:t>
      </w:r>
      <w:r>
        <w:rPr>
          <w:rFonts w:ascii="Times New Roman" w:hAnsi="Times New Roman" w:cs="Times New Roman" w:eastAsia="Times New Roman"/>
          <w:b w:val="0"/>
          <w:i w:val="0"/>
          <w:color w:val="000000"/>
          <w:sz w:val="24"/>
        </w:rPr>
        <w:t xml:space="preserve"> </w:t>
      </w:r>
      <w:hyperlink r:id="rId10" w:history="1">
        <w:r>
          <w:rPr>
            <w:rFonts w:ascii="Times New Roman" w:hAnsi="Times New Roman" w:cs="Times New Roman" w:eastAsia="Times New Roman"/>
            <w:b w:val="0"/>
            <w:i w:val="0"/>
            <w:color w:val="000000"/>
            <w:sz w:val="24"/>
          </w:rPr>
          <w:t>https://github.com/surnella/QM640-Dialogue-Clustering-Capstone</w:t>
        </w:r>
      </w:hyperlink>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Contents</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Cluster-Adaptive Prompting for Multi-Turn Travel and Tourism Conversational Systems</w:t>
        <w:tab/>
        <w:t>4</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Background and Context</w:t>
        <w:tab/>
        <w:t>4</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Problem Statement</w:t>
        <w:tab/>
        <w:t>4</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Purpose of the Study</w:t>
        <w:tab/>
        <w:t>5</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Interim Project Status</w:t>
        <w:tab/>
        <w:t>5</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Scope and Objectives</w:t>
        <w:tab/>
        <w:t>6</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Inclusions</w:t>
        <w:tab/>
        <w:t>6</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Exclusions</w:t>
        <w:tab/>
        <w:t>6</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Feasibility</w:t>
        <w:tab/>
        <w:t>6</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Research Questions and Hypotheses</w:t>
        <w:tab/>
        <w:t>7</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Literature Survey</w:t>
        <w:tab/>
        <w:t>7</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Literature Review Approach</w:t>
        <w:tab/>
        <w:t>7</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Thematic Review and Research Gaps</w:t>
        <w:tab/>
        <w:t>8</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Data Description</w:t>
        <w:tab/>
        <w:t>9</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Data Sources and Access</w:t>
        <w:tab/>
        <w:t>9</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Dataset Overview</w:t>
        <w:tab/>
        <w:t>10</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Data Dictionary</w:t>
        <w:tab/>
        <w:t>10</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GitHub Data Availability Statement</w:t>
        <w:tab/>
        <w:t>13</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Dataset Limitations</w:t>
        <w:tab/>
        <w:t>13</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Analysis</w:t>
        <w:tab/>
        <w:t>14</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Data Cleaning</w:t>
        <w:tab/>
        <w:t>14</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Exploratory Data Analysis Results</w:t>
        <w:tab/>
        <w:t>15</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Modeling</w:t>
        <w:tab/>
        <w:t>17</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Research Design and Sample Size</w:t>
        <w:tab/>
        <w:t>17</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Choice of Models With Justification</w:t>
        <w:tab/>
        <w:t>18</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Features Included and Feature Engineering</w:t>
        <w:tab/>
        <w:t>22</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Evaluation Metrics</w:t>
        <w:tab/>
        <w:t>23</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Preliminary Results</w:t>
        <w:tab/>
        <w:t>24</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RQ1: Clustering Algorithms and Primary Archetypes (Complete)</w:t>
        <w:tab/>
        <w:t>24</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RQ1 Sensitivity Analysis: Refined Archetypes (Complete)</w:t>
        <w:tab/>
        <w:t>26</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RQ2: Cluster-Adaptive Few-Shot Prompting (Complete)</w:t>
        <w:tab/>
        <w:t>29</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RQ3: Rules Versus Prompting (Groundwork Complete)</w:t>
        <w:tab/>
        <w:t>31</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RQ4: Turn Economy Across Archetypes (Groundwork Complete)</w:t>
        <w:tab/>
        <w:t>31</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Interim Limitations and Risks</w:t>
        <w:tab/>
        <w:t>32</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Next Steps</w:t>
        <w:tab/>
        <w:t>32</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References</w:t>
        <w:tab/>
        <w:t>33</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A</w:t>
        <w:tab/>
        <w:t>38</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B</w:t>
        <w:tab/>
        <w:t>40</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C</w:t>
        <w:tab/>
        <w:t>41</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D</w:t>
        <w:tab/>
        <w:t>42</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E</w:t>
        <w:tab/>
        <w:t>45</w:t>
      </w:r>
    </w:p>
    <w:p>
      <w:pPr>
        <w:keepNext w:val="0"/>
        <w:widowControl/>
        <w:spacing w:line="240" w:lineRule="auto" w:before="0" w:after="0"/>
        <w:ind w:firstLine="0" w:left="0"/>
        <w:jc w:val="left"/>
      </w:pPr>
      <w:r>
        <w:br w:type="page"/>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Cluster-Adaptive Prompting for Multi-Turn Travel and Tourism Conversational Systems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Background and Context</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Conversational artificial intelligence (AI) agents are now widely used in travel and tourism to support destination discovery, itinerary planning, and booking (Jannach et al., 2021). Travelers differ in how they converse: some state every constraint in the first message, some revise budgets and dates repeatedly, and others rely on the agent to lead the search (Inaba et al., 2022). Most travel assistants, however, use one static prompt for every user, which produces repetitive clarification questions, mismatched pacing, and abandoned sessions.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Designers usually adapt a large language model (LLM) agent's style through prompt engineering, for example, by inserting example dialogues into the prompt. Prompt-only adaptation creates two risks (Rebedea et al., 2023): the model can copy stale details such as earlier prices, dates, or destinations from the examples, and style instructions compete with business constraints, so the agent may propose an itinerary that violates passport, visa, capacity, or discount policies. This study therefore separates the two concerns: conversation archetypes learned from historical dialogues select in-context examples that steer style, and a declarative rule engine outside the prompt checks policy.</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Problem Statement</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Travel conversational agents lack a data-driven way to recognize a user's conversation archetype and adapt their style to it, and prompt-based style steering can introduce factual leakage and policy violations. The study measures how four independent variables—clustering algorithm (RQ1), in-context conditioning strategy (RQ2), rule-engine mode (RQ3), and conditioning strategy crossed with user archetype (RQ4)—affect cluster separation, style convergence, slot accuracy, exemplar leakage, rule adherence, and turn economy.</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Purpose of the Study</w:t>
      </w:r>
    </w:p>
    <w:p>
      <w:pPr>
        <w:keepNext/>
        <w:widowControl/>
        <w:spacing w:line="480" w:lineRule="auto" w:before="0" w:after="0"/>
        <w:ind w:firstLine="720" w:left="0"/>
        <w:jc w:val="left"/>
      </w:pPr>
      <w:r>
        <w:rPr>
          <w:rFonts w:ascii="Times New Roman" w:hAnsi="Times New Roman" w:cs="Times New Roman" w:eastAsia="Times New Roman"/>
          <w:b w:val="0"/>
          <w:i w:val="0"/>
          <w:color w:val="000000"/>
          <w:sz w:val="24"/>
        </w:rPr>
        <w:t>The purpose of this quantitative study is to</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1.</w:t>
        <w:tab/>
        <w:t>discover and interpret conversation archetypes in human travel dialogues and identify the clustering algorithm that separates them best (RQ1);</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2.</w:t>
        <w:tab/>
        <w:t>measure whether archetype-matched in-context examples move an LLM agent's responses toward the target archetype's style more than zero-shot or static examples do (RQ2);</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3.</w:t>
        <w:tab/>
        <w:t>isolate the effects of a declarative rule engine and of cluster-adaptive prompting on slot accuracy, exemplar leakage, and rule adherence (RQ3); and</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4.</w:t>
        <w:tab/>
        <w:t>estimate whether cluster-adaptive prompting changes turn economy differently across archetypes (RQ4).</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Interim Project Status</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color w:val="000000"/>
          <w:sz w:val="24"/>
        </w:rPr>
        <w:t>Completed:</w:t>
      </w:r>
      <w:r>
        <w:rPr>
          <w:rFonts w:ascii="Times New Roman" w:hAnsi="Times New Roman" w:cs="Times New Roman" w:eastAsia="Times New Roman"/>
          <w:b w:val="0"/>
          <w:i w:val="0"/>
          <w:color w:val="000000"/>
          <w:sz w:val="24"/>
        </w:rPr>
        <w:t xml:space="preserve"> data ingestion, quality audit, cleaning, exploratory analysis, and power analysis; RQ1 end to end, including a sensitivity analysis that produced three refined archetypes (Decisive Booker, Open Explorer, and Rigid-Constraint Seeker); and the RQ2 experiment (99 LLM generations).</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color w:val="000000"/>
          <w:sz w:val="24"/>
        </w:rPr>
        <w:t>In progress:</w:t>
      </w:r>
      <w:r>
        <w:rPr>
          <w:rFonts w:ascii="Times New Roman" w:hAnsi="Times New Roman" w:cs="Times New Roman" w:eastAsia="Times New Roman"/>
          <w:b w:val="0"/>
          <w:i w:val="0"/>
          <w:color w:val="000000"/>
          <w:sz w:val="24"/>
        </w:rPr>
        <w:t xml:space="preserve"> groundwork for RQ3 and RQ4—the rule engine is verified, the corpus is audited for policy information, and a human baseline for turn economy is measured.</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w:t>
        <w:tab/>
      </w:r>
      <w:r>
        <w:rPr>
          <w:rFonts w:ascii="Times New Roman" w:hAnsi="Times New Roman" w:cs="Times New Roman" w:eastAsia="Times New Roman"/>
          <w:b w:val="0"/>
          <w:i/>
          <w:color w:val="000000"/>
          <w:sz w:val="24"/>
        </w:rPr>
        <w:t>Pending:</w:t>
      </w:r>
      <w:r>
        <w:rPr>
          <w:rFonts w:ascii="Times New Roman" w:hAnsi="Times New Roman" w:cs="Times New Roman" w:eastAsia="Times New Roman"/>
          <w:b w:val="0"/>
          <w:i w:val="0"/>
          <w:color w:val="000000"/>
          <w:sz w:val="24"/>
        </w:rPr>
        <w:t xml:space="preserve"> repeating RQ2 with the refined archetypes, the RQ3 2 × 2 experiment, the RQ4 simulation, robustness checks, and the final report (Appendix B).</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Scope and Objectives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Inclusions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study includes English-language, multi-turn, human–human travel dialogues from two public corpora: all 1,369 Microsoft Frames dialogues and a 1,500-dialogue sample of MultiWOZ 2.2 dialogues that involve at least one travel service (hotel, train, taxi, or attraction), each with at least three turns. The pre-specified analyses use one embedding model (Sentence-BERT all-MiniLM-L6-v2), three clustering algorithms, and one LLM family (Gemini Flash); the RQ1 sensitivity analysis adds Gemini embeddings and LLM ratings of user behavior. Scope is contained by using Frames as the only corpus for learning, retrieval, and experiments, and by having every research question reuse one pipeline, one set of archetype assignments, and one held-out partition, so that each later question adds an experimental factor rather than a new method.</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Exclusions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No claim is made that Frames archetypes transfer to MultiWOZ or other domains; MultiWOZ serves only as a descriptive projection check. Proprietary, enterprise, or customer data, new human-subject data, and synthetic training dialogues are excluded; the only synthetic elements are the author-defined policy rules and scenarios used in RQ3. Non-English, voice, restaurant-only, and sub-three-turn dialogues, model fine-tuning, other LLM providers, live deployment, real bookings, and user-satisfaction outcomes are also out of scope.</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Feasibility</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Both corpora are freely downloadable, and the core pipeline runs on a laptop in under 15 minutes. RQ2 required 99 LLM calls, the RQ1 sensitivity analysis 4,860 annotation calls, and RQ3 and RQ4 together need fewer than 2,000, all within the free tier of the Gemini application programming interface. Every response is cached so that interrupted runs resume.</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Research Questions and Hypotheses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1 states each research question with its hypotheses and the analysis that tests it.</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Research Questions, Hypotheses, and Planned Analyses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RQ</w:t>
            </w:r>
          </w:p>
        </w:tc>
        <w:tc>
          <w:tcPr>
            <w:tcW w:type="dxa" w:w="302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Research question</w:t>
            </w:r>
          </w:p>
        </w:tc>
        <w:tc>
          <w:tcPr>
            <w:tcW w:type="dxa" w:w="302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Hypotheses</w:t>
            </w:r>
          </w:p>
        </w:tc>
        <w:tc>
          <w:tcPr>
            <w:tcW w:type="dxa" w:w="259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Analysis</w:t>
            </w:r>
          </w:p>
        </w:tc>
      </w:tr>
      <w:tr>
        <w:trPr>
          <w:cantSplit/>
        </w:trPr>
        <w:tc>
          <w:tcPr>
            <w:tcW w:type="dxa" w:w="7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RQ1</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Which clustering algorithm (K-Means, agglomerative, HDBSCAN) gives the best separation of dialogue-trajectory embeddings, and which archetypes emerge?</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w:t>
            </w:r>
            <w:r>
              <w:rPr>
                <w:rFonts w:ascii="Times New Roman" w:hAnsi="Times New Roman" w:cs="Times New Roman" w:eastAsia="Times New Roman"/>
                <w:b w:val="0"/>
                <w:i w:val="0"/>
                <w:color w:val="000000"/>
                <w:sz w:val="20"/>
                <w:vertAlign w:val="subscript"/>
              </w:rPr>
              <w:t>0</w:t>
            </w:r>
            <w:r>
              <w:rPr>
                <w:rFonts w:ascii="Times New Roman" w:hAnsi="Times New Roman" w:cs="Times New Roman" w:eastAsia="Times New Roman"/>
                <w:b w:val="0"/>
                <w:i w:val="0"/>
                <w:color w:val="000000"/>
                <w:sz w:val="20"/>
              </w:rPr>
              <w:t>: mean Silhouette is equal across algorithms. H</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at least one mean differs.</w:t>
            </w:r>
          </w:p>
        </w:tc>
        <w:tc>
          <w:tcPr>
            <w:tcW w:type="dxa" w:w="259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One-way ANOVA (Welch and Kruskal–Wallis as robustness checks); Tukey and Games–Howell post hoc</w:t>
            </w:r>
          </w:p>
        </w:tc>
      </w:tr>
      <w:tr>
        <w:trPr>
          <w:cantSplit/>
        </w:trPr>
        <w:tc>
          <w:tcPr>
            <w:tcW w:type="dxa" w:w="7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RQ2</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Does cluster-adaptive few-shot prompting increase style convergence relative to zero-shot and static few-shot prompting?</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w:t>
            </w:r>
            <w:r>
              <w:rPr>
                <w:rFonts w:ascii="Times New Roman" w:hAnsi="Times New Roman" w:cs="Times New Roman" w:eastAsia="Times New Roman"/>
                <w:b w:val="0"/>
                <w:i w:val="0"/>
                <w:color w:val="000000"/>
                <w:sz w:val="20"/>
                <w:vertAlign w:val="subscript"/>
              </w:rPr>
              <w:t>0</w:t>
            </w:r>
            <w:r>
              <w:rPr>
                <w:rFonts w:ascii="Times New Roman" w:hAnsi="Times New Roman" w:cs="Times New Roman" w:eastAsia="Times New Roman"/>
                <w:b w:val="0"/>
                <w:i w:val="0"/>
                <w:color w:val="000000"/>
                <w:sz w:val="20"/>
              </w:rPr>
              <w:t>: mean style cosine is equal across conditions. H</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cluster-adaptive &gt; static and zero-shot.</w:t>
            </w:r>
          </w:p>
        </w:tc>
        <w:tc>
          <w:tcPr>
            <w:tcW w:type="dxa" w:w="259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One-way repeated-measures ANOVA; Greenhouse–Geisser correction; Holm-adjusted paired contrasts</w:t>
            </w:r>
          </w:p>
        </w:tc>
      </w:tr>
      <w:tr>
        <w:trPr>
          <w:cantSplit/>
        </w:trPr>
        <w:tc>
          <w:tcPr>
            <w:tcW w:type="dxa" w:w="7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RQ3</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Do a declarative rule engine and cluster-adaptive prompting affect slot F1, exemplar leakage, and rule adherence?</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w:t>
            </w:r>
            <w:r>
              <w:rPr>
                <w:rFonts w:ascii="Times New Roman" w:hAnsi="Times New Roman" w:cs="Times New Roman" w:eastAsia="Times New Roman"/>
                <w:b w:val="0"/>
                <w:i w:val="0"/>
                <w:color w:val="000000"/>
                <w:sz w:val="20"/>
                <w:vertAlign w:val="subscript"/>
              </w:rPr>
              <w:t>0</w:t>
            </w:r>
            <w:r>
              <w:rPr>
                <w:rFonts w:ascii="Times New Roman" w:hAnsi="Times New Roman" w:cs="Times New Roman" w:eastAsia="Times New Roman"/>
                <w:b w:val="0"/>
                <w:i w:val="0"/>
                <w:color w:val="000000"/>
                <w:sz w:val="20"/>
              </w:rPr>
              <w:t>: no main or interaction effects. H</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rules raise adherence and reduce leakage without lowering style convergence.</w:t>
            </w:r>
          </w:p>
        </w:tc>
        <w:tc>
          <w:tcPr>
            <w:tcW w:type="dxa" w:w="259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 × 2 between-subjects factorial ANOVA</w:t>
            </w:r>
          </w:p>
        </w:tc>
      </w:tr>
      <w:tr>
        <w:trPr>
          <w:cantSplit/>
        </w:trPr>
        <w:tc>
          <w:tcPr>
            <w:tcW w:type="dxa" w:w="7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RQ4</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Does cluster-adaptive prompting change turns to goal completion and redundant elicitation differently across archetypes?</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w:t>
            </w:r>
            <w:r>
              <w:rPr>
                <w:rFonts w:ascii="Times New Roman" w:hAnsi="Times New Roman" w:cs="Times New Roman" w:eastAsia="Times New Roman"/>
                <w:b w:val="0"/>
                <w:i w:val="0"/>
                <w:color w:val="000000"/>
                <w:sz w:val="20"/>
                <w:vertAlign w:val="subscript"/>
              </w:rPr>
              <w:t>0</w:t>
            </w:r>
            <w:r>
              <w:rPr>
                <w:rFonts w:ascii="Times New Roman" w:hAnsi="Times New Roman" w:cs="Times New Roman" w:eastAsia="Times New Roman"/>
                <w:b w:val="0"/>
                <w:i w:val="0"/>
                <w:color w:val="000000"/>
                <w:sz w:val="20"/>
              </w:rPr>
              <w:t>: no conditioning × archetype interaction. H</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the reduction in turns differs by archetype.</w:t>
            </w:r>
          </w:p>
        </w:tc>
        <w:tc>
          <w:tcPr>
            <w:tcW w:type="dxa" w:w="259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 × 3 factorial ANOVA on log turns</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RQ = research question; ANOVA = analysis of variance. Significance level α = .05 for all tests.</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Literature Survey</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Literature Review Approach</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Sources were located in the ACL Anthology, Google Scholar, and arXiv with combinations of the terms task-oriented dialogue corpus, dialogue clustering, sentence embeddings, in-context example selection, LLM guardrails, policy compliance, and LLM annotation. Peer-reviewed papers and widely cited preprints were retained when they supplied a corpus, method, or measure used in this study, and seminal statistical sources were added for each metric and test. Each source was mapped to the research questions it informs; the relevance matrix of the closest studies is in Appendix C.</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Thematic Review and Research Gaps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Task-oriented dialogue corpora.</w:t>
      </w:r>
      <w:r>
        <w:rPr>
          <w:rFonts w:ascii="Times New Roman" w:hAnsi="Times New Roman" w:cs="Times New Roman" w:eastAsia="Times New Roman"/>
          <w:b w:val="0"/>
          <w:i w:val="0"/>
          <w:color w:val="000000"/>
          <w:sz w:val="24"/>
        </w:rPr>
        <w:t xml:space="preserve"> MultiWOZ (Budzianowski et al., 2018) is the standard multi-domain benchmark, and MultiWOZ 2.2 (Zang et al., 2020) corrected its state annotations, but it covers local services in one city and contains no flights or package negotiation. Microsoft Frames (El Asri et al., 2017) was designed for exactly that setting: users negotiate flight-and-hotel packages under a budget and compare several offers before deciding. Frames is therefore the primary corpus, and MultiWOZ 2.2 is an external comparison.</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Dialogue representation and clustering.</w:t>
      </w:r>
      <w:r>
        <w:rPr>
          <w:rFonts w:ascii="Times New Roman" w:hAnsi="Times New Roman" w:cs="Times New Roman" w:eastAsia="Times New Roman"/>
          <w:b w:val="0"/>
          <w:i w:val="0"/>
          <w:color w:val="000000"/>
          <w:sz w:val="24"/>
        </w:rPr>
        <w:t xml:space="preserve"> Sentence-BERT (Reimers &amp; Gurevych, 2019) yields embeddings whose cosine distances reflect semantic similarity, enabling whole-dialogue representations without task-specific training. K-Means, Ward agglomerative clustering, and HDBSCAN (McInnes et al., 2017) assume different cluster shapes and should be compared rather than chosen a priori; quality is judged with the Silhouette coefficient (Rousseeuw, 1987) and the Davies–Bouldin index (Davies &amp; Bouldin, 1979), and stability with the adjusted Rand index under resampling (Hennig, 2007; Hubert &amp; Arabie, 1985). UMAP (McInnes et al., 2018) and scikit-learn (Pedregosa et al., 2011) support inspection and reproducibility.</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In-context exemplar selection.</w:t>
      </w:r>
      <w:r>
        <w:rPr>
          <w:rFonts w:ascii="Times New Roman" w:hAnsi="Times New Roman" w:cs="Times New Roman" w:eastAsia="Times New Roman"/>
          <w:b w:val="0"/>
          <w:i w:val="0"/>
          <w:color w:val="000000"/>
          <w:sz w:val="24"/>
        </w:rPr>
        <w:t xml:space="preserve"> LLMs can perform new tasks from a few in-context examples (Brown et al., 2020), and examples retrieved by embedding similarity outperform random ones (Liu et al., 2022); FAISS (Johnson et al., 2021) makes such retrieval fast. These studies evaluate single-turn accuracy, not conversational style, and retrieve from one global pool rather than from behaviorally defined sub-pools. LLMs can also annotate text as reliably as trained crowd workers (Gilardi et al., 2023), which supports LLM ratings of user behavior.</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Policy compliance and evaluation.</w:t>
      </w:r>
      <w:r>
        <w:rPr>
          <w:rFonts w:ascii="Times New Roman" w:hAnsi="Times New Roman" w:cs="Times New Roman" w:eastAsia="Times New Roman"/>
          <w:b w:val="0"/>
          <w:i w:val="0"/>
          <w:color w:val="000000"/>
          <w:sz w:val="24"/>
        </w:rPr>
        <w:t xml:space="preserve"> NeMo Guardrails (Rebedea et al., 2023) moves policy logic into programmable rails outside the model, τ-bench (Yao et al., 2024) shows that policy adherence must be measured separately from task success, and TD-EVAL (Acikgoz et al., 2025) argues that dialogue-level similarity such as BERTScore (Zhang et al., 2020) must be complemented by turn-level checks of factual consistency and policy compliance.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Three gaps follow. No reviewed study derives conversation archetypes from dialogue trajectories and uses them to select in-context examples; studies that steer style do not measure whether examples leak stale facts, and studies that enforce policy do not adapt style; and the turn-economy effect of style adaptation across user archetypes has not been tested. RQ1 and RQ2 address the first gap, RQ3 the second, and RQ4 the third.</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Data Description</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 Sources and Access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Microsoft Frames (El Asri et al., 2017) contains 1,369 English Wizard-of-Oz dialogues in which a user role-player negotiates a flight-and-hotel package with a wizard who searches a database of fictional cities; it is available from Microsoft Research at </w:t>
      </w:r>
      <w:hyperlink r:id="rId11" w:history="1">
        <w:r>
          <w:rPr>
            <w:rFonts w:ascii="Times New Roman" w:hAnsi="Times New Roman" w:cs="Times New Roman" w:eastAsia="Times New Roman"/>
            <w:b w:val="0"/>
            <w:i w:val="0"/>
            <w:color w:val="000000"/>
            <w:sz w:val="24"/>
          </w:rPr>
          <w:t>https://www.microsoft.com/en-us/research/project/frames-dataset/</w:t>
        </w:r>
      </w:hyperlink>
      <w:r>
        <w:rPr>
          <w:rFonts w:ascii="Times New Roman" w:hAnsi="Times New Roman" w:cs="Times New Roman" w:eastAsia="Times New Roman"/>
          <w:b w:val="0"/>
          <w:i w:val="0"/>
          <w:color w:val="000000"/>
          <w:sz w:val="24"/>
        </w:rPr>
        <w:t xml:space="preserve">. MultiWOZ 2.2 (Zang et al., 2020) contains 10,438 dialogues with per-turn dialogue states and is available at </w:t>
      </w:r>
      <w:hyperlink r:id="rId12" w:history="1">
        <w:r>
          <w:rPr>
            <w:rFonts w:ascii="Times New Roman" w:hAnsi="Times New Roman" w:cs="Times New Roman" w:eastAsia="Times New Roman"/>
            <w:b w:val="0"/>
            <w:i w:val="0"/>
            <w:color w:val="000000"/>
            <w:sz w:val="24"/>
          </w:rPr>
          <w:t>https://github.com/budzianowski/multiwoz</w:t>
        </w:r>
      </w:hyperlink>
      <w:r>
        <w:rPr>
          <w:rFonts w:ascii="Times New Roman" w:hAnsi="Times New Roman" w:cs="Times New Roman" w:eastAsia="Times New Roman"/>
          <w:b w:val="0"/>
          <w:i w:val="0"/>
          <w:color w:val="000000"/>
          <w:sz w:val="24"/>
        </w:rPr>
        <w:t>. Both corpora were downloaded in full and are public, were collected with consent for research use, and identify role-players only by codes, so no new human data are collected. Only public dialogue text with fictional cities is sent to the LLM, and archetypes are described only by conversational behavior, never by inferred demographics.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Dataset Overview</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2 summarizes the records, variables, time coverage, unit of analysis, and outcome variables.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2</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Dataset Overview</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20"/>
        <w:gridCol w:w="3120"/>
        <w:gridCol w:w="3120"/>
      </w:tblGrid>
      <w:tr>
        <w:trPr>
          <w:cantSplit/>
          <w:tblHeader/>
        </w:trPr>
        <w:tc>
          <w:tcPr>
            <w:tcW w:type="dxa" w:w="187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Attribute</w:t>
            </w:r>
          </w:p>
        </w:tc>
        <w:tc>
          <w:tcPr>
            <w:tcW w:type="dxa" w:w="396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Microsoft Frames (primary)</w:t>
            </w:r>
          </w:p>
        </w:tc>
        <w:tc>
          <w:tcPr>
            <w:tcW w:type="dxa" w:w="352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MultiWOZ 2.2 (comparison)</w:t>
            </w:r>
          </w:p>
        </w:tc>
      </w:tr>
      <w:tr>
        <w:trPr>
          <w:cantSplit/>
        </w:trPr>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Records</w:t>
            </w:r>
          </w:p>
        </w:tc>
        <w:tc>
          <w:tcPr>
            <w:tcW w:type="dxa" w:w="39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1,369 dialogues; 1,334 analytic (golden partition 933, held-out partition 401)</w:t>
            </w:r>
          </w:p>
        </w:tc>
        <w:tc>
          <w:tcPr>
            <w:tcW w:type="dxa" w:w="352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10,438 dialogues; seeded sample of 1,500; 1,499 analytic</w:t>
            </w:r>
          </w:p>
        </w:tc>
      </w:tr>
      <w:tr>
        <w:trPr>
          <w:cantSplit/>
        </w:trPr>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Variables used</w:t>
            </w:r>
          </w:p>
        </w:tc>
        <w:tc>
          <w:tcPr>
            <w:tcW w:type="dxa" w:w="39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Utterance text, speaker, dialogue acts with slot–value arguments, task-success label, user rating, role-player codes (Table 3)</w:t>
            </w:r>
          </w:p>
        </w:tc>
        <w:tc>
          <w:tcPr>
            <w:tcW w:type="dxa" w:w="352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Utterance text, speaker, services, per-turn dialogue state (Table 3)</w:t>
            </w:r>
          </w:p>
        </w:tc>
      </w:tr>
      <w:tr>
        <w:trPr>
          <w:cantSplit/>
        </w:trPr>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Time period</w:t>
            </w:r>
          </w:p>
        </w:tc>
        <w:tc>
          <w:tcPr>
            <w:tcW w:type="dxa" w:w="39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Released 2017; timestamps record collection time only and are not analyzed</w:t>
            </w:r>
          </w:p>
        </w:tc>
        <w:tc>
          <w:tcPr>
            <w:tcW w:type="dxa" w:w="352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Released 2018 (version 2.2 in 2020); no timestamps</w:t>
            </w:r>
          </w:p>
        </w:tc>
      </w:tr>
      <w:tr>
        <w:trPr>
          <w:cantSplit/>
        </w:trPr>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Unit of analysis</w:t>
            </w:r>
          </w:p>
        </w:tc>
        <w:tc>
          <w:tcPr>
            <w:tcW w:type="dxa" w:w="39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Dialogue; clustering run (RQ1 algorithm test); generated agent turn (RQ2)</w:t>
            </w:r>
          </w:p>
        </w:tc>
        <w:tc>
          <w:tcPr>
            <w:tcW w:type="dxa" w:w="352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Dialogue (descriptive projection only)</w:t>
            </w:r>
          </w:p>
        </w:tc>
      </w:tr>
      <w:tr>
        <w:trPr>
          <w:cantSplit/>
        </w:trPr>
        <w:tc>
          <w:tcPr>
            <w:tcW w:type="dxa" w:w="187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Target or outcome</w:t>
            </w:r>
          </w:p>
        </w:tc>
        <w:tc>
          <w:tcPr>
            <w:tcW w:type="dxa" w:w="39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 supervised target; outcomes are Silhouette (RQ1), style convergence (RQ2), slot F1, leakage, and adherence (RQ3), turns and redundant elicitation (RQ4)</w:t>
            </w:r>
          </w:p>
        </w:tc>
        <w:tc>
          <w:tcPr>
            <w:tcW w:type="dxa" w:w="352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Similarity to the nearest Frames centroid</w:t>
            </w:r>
          </w:p>
        </w:tc>
      </w:tr>
    </w:tbl>
    <w:p>
      <w:pPr>
        <w:keepNext w:val="0"/>
        <w:widowControl/>
        <w:spacing w:line="240" w:lineRule="auto" w:before="0" w:after="120"/>
        <w:ind w:firstLine="0" w:left="0"/>
        <w:jc w:val="left"/>
      </w:pP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 Dictionary</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data dictionary has three parts: the raw source fields read from each corpus (Table 3), the canonical schema produced by preprocessing (Table 4), and the analysis variables with their roles and operational definitions (Table 5).</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3</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 Dictionary, Part A: Raw Source Fields Used</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Corpus</w:t>
            </w:r>
          </w:p>
        </w:tc>
        <w:tc>
          <w:tcPr>
            <w:tcW w:type="dxa" w:w="28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Field</w:t>
            </w:r>
          </w:p>
        </w:tc>
        <w:tc>
          <w:tcPr>
            <w:tcW w:type="dxa" w:w="100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Type</w:t>
            </w:r>
          </w:p>
        </w:tc>
        <w:tc>
          <w:tcPr>
            <w:tcW w:type="dxa" w:w="28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Description</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Use</w:t>
            </w:r>
          </w:p>
        </w:tc>
      </w:tr>
      <w:tr>
        <w:trPr>
          <w:cantSplit/>
        </w:trPr>
        <w:tc>
          <w:tcPr>
            <w:tcW w:type="dxa" w:w="115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id</w:t>
            </w:r>
          </w:p>
        </w:tc>
        <w:tc>
          <w:tcPr>
            <w:tcW w:type="dxa" w:w="100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Unique dialogue identifier</w:t>
            </w:r>
          </w:p>
        </w:tc>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Key</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user_id, wizard_id</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Role-player identifiers (11 users, 12 wizards)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Confound check</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turns[].author</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Category</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user or wizard</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Speaker tag</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turns[].text</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Utterance text</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Embedding</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turns[].timestamp</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Float</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Collection time (Unix ms)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Not used</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turns[].labels.acts[].name</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Category</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Dialogue act (e.g., inform, request, offer, switch_frame)</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Features, RER</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turns[].labels.acts[].args[].key/val</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Slot name and value (e.g., dst_city, budget)</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1 slots</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labels.wizardSurveyTaskSuccessful</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Boolean</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Wizard-reported task success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Stratify, pool</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Frames</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labels.userSurveyRating</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Float</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User satisfaction rating (1–5)</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Descriptive</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MultiWOZ</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dialogue_id</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Unique dialogue identifier</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Key</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MultiWOZ</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services</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List</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Services involved (hotel, train, taxi, ...)</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Inclusion</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MultiWOZ</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turns[].speaker</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Category</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USER or SYSTEM</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Speaker tag</w:t>
            </w:r>
          </w:p>
        </w:tc>
      </w:tr>
      <w:tr>
        <w:trPr>
          <w:cantSplit/>
        </w:trPr>
        <w:tc>
          <w:tcPr>
            <w:tcW w:type="dxa" w:w="115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MultiWOZ</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turns[].utterance</w:t>
            </w:r>
          </w:p>
        </w:tc>
        <w:tc>
          <w:tcPr>
            <w:tcW w:type="dxa" w:w="1008"/>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288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Utterance text</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Embedding</w:t>
            </w:r>
          </w:p>
        </w:tc>
      </w:tr>
      <w:tr>
        <w:trPr>
          <w:cantSplit/>
        </w:trPr>
        <w:tc>
          <w:tcPr>
            <w:tcW w:type="dxa" w:w="115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MultiWOZ</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turns[].frames[].state.slot_values</w:t>
            </w:r>
          </w:p>
        </w:tc>
        <w:tc>
          <w:tcPr>
            <w:tcW w:type="dxa" w:w="100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Map</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Cumulative dialogue state per service</w:t>
            </w:r>
          </w:p>
        </w:tc>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Tier 1 slots</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RER = redundant elicitation rate. Only the fields listed were read; all other fields were ignored.</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4</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 Dictionary, Part B: Canonical Schema Fields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20"/>
        <w:gridCol w:w="3120"/>
        <w:gridCol w:w="3120"/>
      </w:tblGrid>
      <w:tr>
        <w:trPr>
          <w:cantSplit/>
          <w:tblHeader/>
        </w:trPr>
        <w:tc>
          <w:tcPr>
            <w:tcW w:type="dxa" w:w="417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Field</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Type</w:t>
            </w:r>
          </w:p>
        </w:tc>
        <w:tc>
          <w:tcPr>
            <w:tcW w:type="dxa" w:w="374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Description</w:t>
            </w:r>
          </w:p>
        </w:tc>
      </w:tr>
      <w:tr>
        <w:trPr>
          <w:cantSplit/>
        </w:trPr>
        <w:tc>
          <w:tcPr>
            <w:tcW w:type="dxa" w:w="41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dialogue_id, source_dataset</w:t>
            </w:r>
          </w:p>
        </w:tc>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Identifier and corpus of origin (frames or multiwoz)</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total_turns, user_turns, wizard_turns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Integer</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 counts</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turns[].turn_id, speaker, utterance</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Mixed</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Ordered turns with corpus-neutral speaker and text</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turns[].acts, slots_mentioned, revisions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List, map</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Acts, slots informed, and slots whose value changed in the turn</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1: origin_city, destination_city</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Trip endpoints</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1: departure_date, return_date, duration_nights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 integer</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Trip timing</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1: traveler_count_adults, traveler_count_children</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Integer</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Party size</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1: budget_amount, accommodation_tier</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Float, string</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Budget ceiling and hotel tier</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2: visa_processing_window_days, passport_expiry_months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Integer</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Policy timing (synthetic in RQ3)</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2: package_type, sharing_basis, discount_applied_percentage</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String, float</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Package, room, and discount (synthetic in RQ3)</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revisions_count</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Integer</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Number of slot-value changes across the dialogue</w:t>
            </w:r>
          </w:p>
        </w:tc>
      </w:tr>
      <w:tr>
        <w:trPr>
          <w:cantSplit/>
        </w:trPr>
        <w:tc>
          <w:tcPr>
            <w:tcW w:type="dxa" w:w="41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hesitation_markers_count</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Integer</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User hesitation phrases (e.g., "maybe," "not sure")</w:t>
            </w:r>
          </w:p>
        </w:tc>
      </w:tr>
      <w:tr>
        <w:trPr>
          <w:cantSplit/>
        </w:trPr>
        <w:tc>
          <w:tcPr>
            <w:tcW w:type="dxa" w:w="41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budget_specified</w:t>
            </w:r>
          </w:p>
        </w:tc>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Boolean</w:t>
            </w:r>
          </w:p>
        </w:tc>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Whether a numeric budget was stated</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Schema implemented as Pydantic models in src/canonical_schema.py.</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5</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 Dictionary, Part C: Analysis Variables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16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Variable</w:t>
            </w:r>
          </w:p>
        </w:tc>
        <w:tc>
          <w:tcPr>
            <w:tcW w:type="dxa" w:w="122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Role</w:t>
            </w:r>
          </w:p>
        </w:tc>
        <w:tc>
          <w:tcPr>
            <w:tcW w:type="dxa" w:w="151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Type</w:t>
            </w:r>
          </w:p>
        </w:tc>
        <w:tc>
          <w:tcPr>
            <w:tcW w:type="dxa" w:w="374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Operational definition</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RQ</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Clustering algorithm</w:t>
            </w:r>
          </w:p>
        </w:tc>
        <w:tc>
          <w:tcPr>
            <w:tcW w:type="dxa" w:w="12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IV</w:t>
            </w:r>
          </w:p>
        </w:tc>
        <w:tc>
          <w:tcPr>
            <w:tcW w:type="dxa" w:w="151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Nominal (3)</w:t>
            </w:r>
          </w:p>
        </w:tc>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K-Means, Ward agglomerative, HDBSCAN</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Silhouette coefficient</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Continuous [−1, 1]</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Cosine Silhouette of a clustering run</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Davies–Bouldin index</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Continuous ≥ 0</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Mean cluster similarity ratio (lower is better)</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Archetype (primary)</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IV / moderator</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Nominal (3)</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 xml:space="preserve">Nearest frozen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-Means centroid (cosine, MiniLM trajectory vectors)</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1, 2</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Archetype (refined)</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IV / moderator</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Nominal (3)</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-Means on the Gemini embedding and LLM behavior profile of the first nine user messages</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1, 3, 4</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Behavior rating</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Feature</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Ordinal (1–5)</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Ten LLM ratings of user behavior (Appendix D)</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Conditioning strategy</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Nominal (3)</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Zero-shot, static few-shot, cluster-adaptive few-shot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 xml:space="preserve"> = 3 exemplars)</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2–4</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Style convergence</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Continuous [−1, 1]</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Cosine between response and target archetype's agent-style centroid</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2, 3</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Gold similarity</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Continuous [−1, 1]</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Cosine between response and the human reply</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Rule-engine mode</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Nominal (2)</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Active or off</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Slot F1</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Proportion</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F1 of slot values in the response against the dialogue state</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Exemplar leakage rate</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Proportion</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Entities in the response that occur in exemplars but not in the dialogue / all entities</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Rule adherence rate</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Proportion</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1 − (violating agent turns / agent turns)</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 to goal completion</w:t>
            </w:r>
          </w:p>
        </w:tc>
        <w:tc>
          <w:tcPr>
            <w:tcW w:type="dxa" w:w="122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Count (log)</w:t>
            </w:r>
          </w:p>
        </w:tc>
        <w:tc>
          <w:tcPr>
            <w:tcW w:type="dxa" w:w="37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 until all required slots are filled and an offer is accepted</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4</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Redundant elicitation rate</w:t>
            </w:r>
          </w:p>
        </w:tc>
        <w:tc>
          <w:tcPr>
            <w:tcW w:type="dxa" w:w="12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DV</w:t>
            </w:r>
          </w:p>
        </w:tc>
        <w:tc>
          <w:tcPr>
            <w:tcW w:type="dxa" w:w="151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Proportion</w:t>
            </w:r>
          </w:p>
        </w:tc>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Agent requests for an already-informed slot / agent turns</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IV = independent variable; DV = dependent variable. All cosine measures use de-lexicalized text and all-MiniLM-L6-v2 embeddings.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GitHub Data Availability Statement</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Code, configuration, processed data, and results are in the public repository (</w:t>
      </w:r>
      <w:hyperlink r:id="rId10" w:history="1">
        <w:r>
          <w:rPr>
            <w:rFonts w:ascii="Times New Roman" w:hAnsi="Times New Roman" w:cs="Times New Roman" w:eastAsia="Times New Roman"/>
            <w:b w:val="0"/>
            <w:i w:val="0"/>
            <w:color w:val="000000"/>
            <w:sz w:val="24"/>
          </w:rPr>
          <w:t>https://github.com/surnella/QM640-Dialogue-Clustering-Capstone</w:t>
        </w:r>
      </w:hyperlink>
      <w:r>
        <w:rPr>
          <w:rFonts w:ascii="Times New Roman" w:hAnsi="Times New Roman" w:cs="Times New Roman" w:eastAsia="Times New Roman"/>
          <w:b w:val="0"/>
          <w:i w:val="0"/>
          <w:color w:val="000000"/>
          <w:sz w:val="24"/>
        </w:rPr>
        <w:t>). The raw corpora are not redistributed: data/raw/ is excluded from version control and is recreated by downloading Frames and MultiWOZ 2.2 from the sources above. Processed data (cleaned samples, partitions, archetype labels, LLM annotations, and saved prompts) are in data/interim/, result tables and figures in outputs/interim/, and the analysis code in src/interim_pipeline/. This report is generated from those files, so rerunning the steps in Appendix A reproduces every number.</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Dataset Limitations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Frames dialogues were produced by 11 user role-players and 12 wizards following written scenarios, so archetypes may partly reflect individual habits, and its cities and prices are fictional. MultiWOZ covers one city without flights or package negotiation and records price only as a category. Several slots are often absent (Table E1): Frames mentions children in only 18.4% of dialogues and trip duration in 61.8%, MultiWOZ never records a return date, and neither corpus contains visa, passport, or discount information, so RQ3 must inject these conditions. Neither corpus records demographics or real booking outcomes; the Frames task-success label is wizard-reported and imbalanced (94.2% successful), and 3 dialogues lack a user rating.</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Analysis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 Cleaning</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6 is the cleaning log. Missing slot values are not imputed, because a slot that is never mentioned is correctly unobserved for a dialogue-state tracker, and turn-count outliers are retained because long negotiations are genuine behavior of interest.</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Both corpora were parsed into one canonical format. Frames labels such as </w:t>
      </w:r>
      <w:r>
        <w:rPr>
          <w:rFonts w:ascii="Times New Roman" w:hAnsi="Times New Roman" w:cs="Times New Roman" w:eastAsia="Times New Roman"/>
          <w:b w:val="0"/>
          <w:i/>
          <w:color w:val="000000"/>
          <w:sz w:val="24"/>
        </w:rPr>
        <w:t>dst_city</w:t>
      </w:r>
      <w:r>
        <w:rPr>
          <w:rFonts w:ascii="Times New Roman" w:hAnsi="Times New Roman" w:cs="Times New Roman" w:eastAsia="Times New Roman"/>
          <w:b w:val="0"/>
          <w:i w:val="0"/>
          <w:color w:val="000000"/>
          <w:sz w:val="24"/>
        </w:rPr>
        <w:t xml:space="preserve"> and MultiWOZ labels such as </w:t>
      </w:r>
      <w:r>
        <w:rPr>
          <w:rFonts w:ascii="Times New Roman" w:hAnsi="Times New Roman" w:cs="Times New Roman" w:eastAsia="Times New Roman"/>
          <w:b w:val="0"/>
          <w:i/>
          <w:color w:val="000000"/>
          <w:sz w:val="24"/>
        </w:rPr>
        <w:t>train-destination</w:t>
      </w:r>
      <w:r>
        <w:rPr>
          <w:rFonts w:ascii="Times New Roman" w:hAnsi="Times New Roman" w:cs="Times New Roman" w:eastAsia="Times New Roman"/>
          <w:b w:val="0"/>
          <w:i w:val="0"/>
          <w:color w:val="000000"/>
          <w:sz w:val="24"/>
        </w:rPr>
        <w:t xml:space="preserve"> were mapped to a two-tier schema: Tier 1 holds nine universal travel slots (origin, destination, departure and return dates, duration, adults, children, budget, and accommodation tier), and Tier 2 holds policy slots (visa processing window, passport validity, package type, room sharing, and discount) used only by the rule engine. After cleaning, the 1,334 analytic Frames dialogues were split once (seed 42, stratified on task success) into a golden partition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gold</w:t>
      </w:r>
      <w:r>
        <w:rPr>
          <w:rFonts w:ascii="Times New Roman" w:hAnsi="Times New Roman" w:cs="Times New Roman" w:eastAsia="Times New Roman"/>
          <w:b w:val="0"/>
          <w:i w:val="0"/>
          <w:color w:val="000000"/>
          <w:sz w:val="24"/>
        </w:rPr>
        <w:t xml:space="preserve">, 70%,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used to fit clusters and build the exemplar pool, and a held-out partition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test</w:t>
      </w:r>
      <w:r>
        <w:rPr>
          <w:rFonts w:ascii="Times New Roman" w:hAnsi="Times New Roman" w:cs="Times New Roman" w:eastAsia="Times New Roman"/>
          <w:b w:val="0"/>
          <w:i w:val="0"/>
          <w:color w:val="000000"/>
          <w:sz w:val="24"/>
        </w:rPr>
        <w:t xml:space="preserve">, 30%,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used only for evaluation.</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6</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 Cleaning Log</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180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Issue</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Variables</w:t>
            </w:r>
          </w:p>
        </w:tc>
        <w:tc>
          <w:tcPr>
            <w:tcW w:type="dxa" w:w="165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Detection</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Frames</w:t>
            </w:r>
          </w:p>
        </w:tc>
        <w:tc>
          <w:tcPr>
            <w:tcW w:type="dxa" w:w="100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MultiWOZ</w:t>
            </w:r>
          </w:p>
        </w:tc>
        <w:tc>
          <w:tcPr>
            <w:tcW w:type="dxa" w:w="259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Treatment and rationale</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Duplicate identifiers</w:t>
            </w:r>
          </w:p>
        </w:tc>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Dialogue ID</w:t>
            </w:r>
          </w:p>
        </w:tc>
        <w:tc>
          <w:tcPr>
            <w:tcW w:type="dxa" w:w="16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Uniqueness check</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259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None needed</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Duplicate full text</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All utterances</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Hash of the dialogue text</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Removed; would double-weight one dialogue</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Empty utterances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Utterance text</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Length check</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None needed</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Fewer than three turns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 count</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35</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Excluded; no negotiation trajectory</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Turn-count outliers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&gt; Q3 + 1.5 × IQR</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22 (&gt; 32.5)</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13 (&gt; 27.0)</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Retained; decay weighting and log turns limit influence</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Missing slot values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Tier 1 and 2 slots</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Slot never mentioned</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See Figure 2</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See Figure 2</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Not imputed; unobserved is the correct state</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Missing user rating</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User rating</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Null check</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Not available</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Retained; rating is descriptive only</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Corpus-specific labels</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Slots, speakers</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Schema mapping</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All</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All</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Mapped to one two-tier schema; speakers become USER or AGENT</w:t>
            </w:r>
          </w:p>
        </w:tc>
      </w:tr>
      <w:tr>
        <w:trPr>
          <w:cantSplit/>
        </w:trPr>
        <w:tc>
          <w:tcPr>
            <w:tcW w:type="dxa" w:w="180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Entity values in text</w:t>
            </w:r>
          </w:p>
        </w:tc>
        <w:tc>
          <w:tcPr>
            <w:tcW w:type="dxa" w:w="14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Utterance text</w:t>
            </w:r>
          </w:p>
        </w:tc>
        <w:tc>
          <w:tcPr>
            <w:tcW w:type="dxa" w:w="165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Slot values and numbers</w:t>
            </w:r>
          </w:p>
        </w:tc>
        <w:tc>
          <w:tcPr>
            <w:tcW w:type="dxa" w:w="864"/>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All</w:t>
            </w:r>
          </w:p>
        </w:tc>
        <w:tc>
          <w:tcPr>
            <w:tcW w:type="dxa" w:w="1008"/>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All</w:t>
            </w:r>
          </w:p>
        </w:tc>
        <w:tc>
          <w:tcPr>
            <w:tcW w:type="dxa" w:w="259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Replaced with slot tokens so examples carry style, not facts</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Analytic sample</w:t>
            </w:r>
          </w:p>
        </w:tc>
        <w:tc>
          <w:tcPr>
            <w:tcW w:type="dxa" w:w="1440"/>
          </w:tcPr>
          <w:p>
            <w:pPr>
              <w:keepNext/>
              <w:widowControl/>
              <w:spacing w:line="240" w:lineRule="auto" w:before="40" w:after="40"/>
              <w:ind w:firstLine="0" w:left="0"/>
              <w:jc w:val="left"/>
            </w:pPr>
          </w:p>
        </w:tc>
        <w:tc>
          <w:tcPr>
            <w:tcW w:type="dxa" w:w="1656"/>
          </w:tcPr>
          <w:p>
            <w:pPr>
              <w:keepNext/>
              <w:widowControl/>
              <w:spacing w:line="240" w:lineRule="auto" w:before="40" w:after="40"/>
              <w:ind w:firstLine="0" w:left="0"/>
              <w:jc w:val="left"/>
            </w:pP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1,334</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1,499</w:t>
            </w:r>
          </w:p>
        </w:tc>
        <w:tc>
          <w:tcPr>
            <w:tcW w:type="dxa" w:w="2592"/>
          </w:tcPr>
          <w:p>
            <w:pPr>
              <w:keepNext/>
              <w:widowControl/>
              <w:spacing w:line="240" w:lineRule="auto" w:before="40" w:after="40"/>
              <w:ind w:firstLine="0" w:left="0"/>
              <w:jc w:val="left"/>
            </w:pP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IQR = interquartile range. Restaurant-only MultiWOZ dialogues were excluded before sampling. No dialogue lacked a task-success label (Frames).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Exploratory Data Analysis Results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7 describes the analytic samples. Frames and MultiWOZ dialogues have similar mean lengths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14.93 and 15.17 turns), but Frames lengths vary more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6.74 vs. 4.46) and have a longer right tail (Figure 1). The golden and held-out partitions are nearly identical in length, utterance length, and success rate, which confirms that the stratified split worked as intended.</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7</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Descriptive Statistics of the Analytic Samples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170"/>
        <w:gridCol w:w="1170"/>
        <w:gridCol w:w="1170"/>
        <w:gridCol w:w="1170"/>
        <w:gridCol w:w="1170"/>
        <w:gridCol w:w="1170"/>
        <w:gridCol w:w="1170"/>
        <w:gridCol w:w="1170"/>
      </w:tblGrid>
      <w:tr>
        <w:trPr>
          <w:cantSplit/>
          <w:tblHeader/>
        </w:trPr>
        <w:tc>
          <w:tcPr>
            <w:tcW w:type="dxa" w:w="28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Sample</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N</w:t>
            </w:r>
          </w:p>
        </w:tc>
        <w:tc>
          <w:tcPr>
            <w:tcW w:type="dxa" w:w="136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64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Mdn</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Range</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User words</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Agent words</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Task success (%)</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Microsoft Frames</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1,334</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14.93 (6.74)</w:t>
            </w:r>
          </w:p>
        </w:tc>
        <w:tc>
          <w:tcPr>
            <w:tcW w:type="dxa" w:w="64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3–48</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10.6</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15.0</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94.2</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MultiWOZ 2.2</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1,499</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15.17 (4.46)</w:t>
            </w:r>
          </w:p>
        </w:tc>
        <w:tc>
          <w:tcPr>
            <w:tcW w:type="dxa" w:w="64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16</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4–36</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11.7</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Frames golden partition</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933</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14.95 (6.75)</w:t>
            </w:r>
          </w:p>
        </w:tc>
        <w:tc>
          <w:tcPr>
            <w:tcW w:type="dxa" w:w="64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3–48</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10.7</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15.3</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94.2</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Frames held-out partition</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401</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14.90 (6.71)</w:t>
            </w:r>
          </w:p>
        </w:tc>
        <w:tc>
          <w:tcPr>
            <w:tcW w:type="dxa" w:w="64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3–43</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10.4</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14.5</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94.3</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User and agent words are mean words per utterance. Task success is the wizard-reported label (not available in MultiWOZ).</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Distribution of Dialogue Length by Corpus</w:t>
      </w:r>
    </w:p>
    <w:p>
      <w:pPr>
        <w:keepNext/>
        <w:widowControl/>
        <w:spacing w:line="240" w:lineRule="auto" w:before="0" w:after="0"/>
        <w:ind w:firstLine="0" w:left="0"/>
        <w:jc w:val="center"/>
      </w:pPr>
      <w:r>
        <w:drawing>
          <wp:inline xmlns:a="http://schemas.openxmlformats.org/drawingml/2006/main" xmlns:pic="http://schemas.openxmlformats.org/drawingml/2006/picture">
            <wp:extent cx="4572000" cy="1920240"/>
            <wp:docPr id="1" name="Picture 1"/>
            <wp:cNvGraphicFramePr>
              <a:graphicFrameLocks noChangeAspect="1"/>
            </wp:cNvGraphicFramePr>
            <a:graphic>
              <a:graphicData uri="http://schemas.openxmlformats.org/drawingml/2006/picture">
                <pic:pic>
                  <pic:nvPicPr>
                    <pic:cNvPr id="0" name="fig_eda_turns.png"/>
                    <pic:cNvPicPr/>
                  </pic:nvPicPr>
                  <pic:blipFill>
                    <a:blip r:embed="rId13"/>
                    <a:stretch>
                      <a:fillRect/>
                    </a:stretch>
                  </pic:blipFill>
                  <pic:spPr>
                    <a:xfrm>
                      <a:off x="0" y="0"/>
                      <a:ext cx="4572000" cy="1920240"/>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Turn counts after cleaning. Frames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1,334; MultiWOZ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1,499.</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Figure 2 compares slot completeness (exact percentages in Table E1). Frames users state origin, destination, and usually a budget; MultiWOZ dialogues mention travel slots far less often and never return dates. Thus only Frames carries the budget and package information that negotiation archetypes need; any length-linked archetype will be distributed differently across corpora, so MultiWOZ serves only as a descriptive check; and neither corpus has policy slots, so RQ3 requires injected scenarios.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2</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Slot Completeness by Corpus</w:t>
      </w:r>
    </w:p>
    <w:p>
      <w:pPr>
        <w:keepNext/>
        <w:widowControl/>
        <w:spacing w:line="240" w:lineRule="auto" w:before="0" w:after="0"/>
        <w:ind w:firstLine="0" w:left="0"/>
        <w:jc w:val="center"/>
      </w:pPr>
      <w:r>
        <w:drawing>
          <wp:inline xmlns:a="http://schemas.openxmlformats.org/drawingml/2006/main" xmlns:pic="http://schemas.openxmlformats.org/drawingml/2006/picture">
            <wp:extent cx="4389120" cy="1843430"/>
            <wp:docPr id="2" name="Picture 2"/>
            <wp:cNvGraphicFramePr>
              <a:graphicFrameLocks noChangeAspect="1"/>
            </wp:cNvGraphicFramePr>
            <a:graphic>
              <a:graphicData uri="http://schemas.openxmlformats.org/drawingml/2006/picture">
                <pic:pic>
                  <pic:nvPicPr>
                    <pic:cNvPr id="0" name="fig_eda_slots.png"/>
                    <pic:cNvPicPr/>
                  </pic:nvPicPr>
                  <pic:blipFill>
                    <a:blip r:embed="rId14"/>
                    <a:stretch>
                      <a:fillRect/>
                    </a:stretch>
                  </pic:blipFill>
                  <pic:spPr>
                    <a:xfrm>
                      <a:off x="0" y="0"/>
                      <a:ext cx="4389120" cy="1843430"/>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Percentage of dialogues that mention each canonical slot at least once.</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Modeling</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Research Design and Sample Size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study uses a quantitative design with one observational component (RQ1) and three controlled experiments (RQ2 to RQ4). All random steps use seed 42, and leakage is prevented by keeping the partitions disjoint, freezing centroids before any held-out dialogue is seen, routing and retrieving with only the turns available at generation time, and using the human reply only for scoring, never in a prompt.</w:t>
      </w:r>
    </w:p>
    <w:p>
      <w:pPr>
        <w:keepNext/>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Each sample size was computed for the exact test used later, with a medium effect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.25 (Cohen, 1988), α = .05, and power .80, because no prior study reports effect sizes for these comparisons. Power was computed from the noncentral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distribution and checked against G*Power 3 (Faul et al., 2007):</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 xml:space="preserve">1 − β = 1 −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nc</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crit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 xml:space="preserve">, λ),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crit</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1−α</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    (1)</w:t>
      </w:r>
    </w:p>
    <w:p>
      <w:pPr>
        <w:keepNext w:val="0"/>
        <w:widowControl/>
        <w:spacing w:line="480" w:lineRule="auto" w:before="0" w:after="0"/>
        <w:ind w:firstLine="0" w:left="0"/>
        <w:jc w:val="left"/>
      </w:pPr>
      <w:r>
        <w:rPr>
          <w:rFonts w:ascii="Times New Roman" w:hAnsi="Times New Roman" w:cs="Times New Roman" w:eastAsia="Times New Roman"/>
          <w:b w:val="0"/>
          <w:i w:val="0"/>
          <w:color w:val="000000"/>
          <w:sz w:val="24"/>
        </w:rPr>
        <w:t xml:space="preserve">where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nc</w:t>
      </w:r>
      <w:r>
        <w:rPr>
          <w:rFonts w:ascii="Times New Roman" w:hAnsi="Times New Roman" w:cs="Times New Roman" w:eastAsia="Times New Roman"/>
          <w:b w:val="0"/>
          <w:i w:val="0"/>
          <w:color w:val="000000"/>
          <w:sz w:val="24"/>
        </w:rPr>
        <w:t xml:space="preserve"> is the cumulative noncentral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distribution and λ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for between-subjects designs. The smallest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with power ≥ .80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vertAlign w:val="subscript"/>
        </w:rPr>
        <w:t>min</w:t>
      </w:r>
      <w:r>
        <w:rPr>
          <w:rFonts w:ascii="Times New Roman" w:hAnsi="Times New Roman" w:cs="Times New Roman" w:eastAsia="Times New Roman"/>
          <w:b w:val="0"/>
          <w:i w:val="0"/>
          <w:color w:val="000000"/>
          <w:sz w:val="24"/>
        </w:rPr>
        <w:t xml:space="preserve">) was rounded up to a balanced design and, for LLM experiments, increased by 10% for failed generations. Table 8 gives the computation (degrees of freedom, λ,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crit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vertAlign w:val="subscript"/>
        </w:rPr>
        <w:t>min</w:t>
      </w:r>
      <w:r>
        <w:rPr>
          <w:rFonts w:ascii="Times New Roman" w:hAnsi="Times New Roman" w:cs="Times New Roman" w:eastAsia="Times New Roman"/>
          <w:b w:val="0"/>
          <w:i w:val="0"/>
          <w:color w:val="000000"/>
          <w:sz w:val="24"/>
        </w:rPr>
        <w:t>, and power) for every research question. The experiments draw from the held-out partition, so the binding requirement is the largest experimental sample, 180 dialogues, which is smaller than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test</w:t>
      </w:r>
      <w:r>
        <w:rPr>
          <w:rFonts w:ascii="Times New Roman" w:hAnsi="Times New Roman" w:cs="Times New Roman" w:eastAsia="Times New Roman"/>
          <w:b w:val="0"/>
          <w:i w:val="0"/>
          <w:color w:val="000000"/>
          <w:sz w:val="24"/>
        </w:rPr>
        <w:t>| = 401.</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8</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Sample Size Calculations Matched to Each Planned Analysis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040"/>
        <w:gridCol w:w="1040"/>
        <w:gridCol w:w="1040"/>
        <w:gridCol w:w="1040"/>
        <w:gridCol w:w="1040"/>
        <w:gridCol w:w="1040"/>
        <w:gridCol w:w="1040"/>
        <w:gridCol w:w="1040"/>
        <w:gridCol w:w="1040"/>
      </w:tblGrid>
      <w:tr>
        <w:trPr>
          <w:cantSplit/>
          <w:tblHeader/>
        </w:trPr>
        <w:tc>
          <w:tcPr>
            <w:tcW w:type="dxa" w:w="64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RQ</w:t>
            </w:r>
          </w:p>
        </w:tc>
        <w:tc>
          <w:tcPr>
            <w:tcW w:type="dxa" w:w="25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Planned analysis</w:t>
            </w:r>
          </w:p>
        </w:tc>
        <w:tc>
          <w:tcPr>
            <w:tcW w:type="dxa" w:w="9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df</w:t>
            </w:r>
            <w:r>
              <w:rPr>
                <w:rFonts w:ascii="Times New Roman" w:hAnsi="Times New Roman" w:cs="Times New Roman" w:eastAsia="Times New Roman"/>
                <w:b w:val="0"/>
                <w:i w:val="0"/>
                <w:color w:val="000000"/>
                <w:sz w:val="20"/>
              </w:rPr>
              <w:t xml:space="preserve"> at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min</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λ</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crit</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min</w:t>
            </w:r>
          </w:p>
        </w:tc>
        <w:tc>
          <w:tcPr>
            <w:tcW w:type="dxa" w:w="79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Power</w:t>
            </w:r>
          </w:p>
        </w:tc>
        <w:tc>
          <w:tcPr>
            <w:tcW w:type="dxa" w:w="136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final</w:t>
            </w:r>
            <w:r>
              <w:rPr>
                <w:rFonts w:ascii="Times New Roman" w:hAnsi="Times New Roman" w:cs="Times New Roman" w:eastAsia="Times New Roman"/>
                <w:b w:val="0"/>
                <w:i w:val="0"/>
                <w:color w:val="000000"/>
                <w:sz w:val="20"/>
              </w:rPr>
              <w:t xml:space="preserve"> (per group)</w:t>
            </w:r>
          </w:p>
        </w:tc>
        <w:tc>
          <w:tcPr>
            <w:tcW w:type="dxa" w:w="9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Final power</w:t>
            </w:r>
          </w:p>
        </w:tc>
      </w:tr>
      <w:tr>
        <w:trPr>
          <w:cantSplit/>
        </w:trPr>
        <w:tc>
          <w:tcPr>
            <w:tcW w:type="dxa" w:w="6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RQ1</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One-way ANOVA (3 algorithms)</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2, 155</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9.88</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3.05</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158</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.802</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159 (53)</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.805</w:t>
            </w:r>
          </w:p>
        </w:tc>
      </w:tr>
      <w:tr>
        <w:trPr>
          <w:cantSplit/>
        </w:trPr>
        <w:tc>
          <w:tcPr>
            <w:tcW w:type="dxa" w:w="6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RQ2</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One-way repeated-measures ANOVA (3 conditions)</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2, 54</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10.50</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3.17</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28</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.812</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33 (11)</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.878</w:t>
            </w:r>
          </w:p>
        </w:tc>
      </w:tr>
      <w:tr>
        <w:trPr>
          <w:cantSplit/>
        </w:trPr>
        <w:tc>
          <w:tcPr>
            <w:tcW w:type="dxa" w:w="6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RQ3</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 × 2 factorial ANOVA</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1, 124</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8.00</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3.92</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128</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.801</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144 (36)</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.846</w:t>
            </w:r>
          </w:p>
        </w:tc>
      </w:tr>
      <w:tr>
        <w:trPr>
          <w:cantSplit/>
        </w:trPr>
        <w:tc>
          <w:tcPr>
            <w:tcW w:type="dxa" w:w="6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RQ4</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 × 3 factorial ANOVA</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2, 152</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9.88</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3.06</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158</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.802</w:t>
            </w:r>
          </w:p>
        </w:tc>
        <w:tc>
          <w:tcPr>
            <w:tcW w:type="dxa" w:w="136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180 (30)</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.855</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All calculations use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.25 and α = .05. RQ1 units are clustering runs on subsamples of the golden partition; RQ3 and RQ4 units are test dialogues. RQ2 units are test dialogues measured under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3 conditions, with λ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color w:val="000000"/>
          <w:sz w:val="24"/>
        </w:rPr>
        <w:t>Nm</w:t>
      </w:r>
      <w:r>
        <w:rPr>
          <w:rFonts w:ascii="Times New Roman" w:hAnsi="Times New Roman" w:cs="Times New Roman" w:eastAsia="Times New Roman"/>
          <w:b w:val="0"/>
          <w:i w:val="0"/>
          <w:color w:val="000000"/>
          <w:sz w:val="24"/>
        </w:rPr>
        <w:t>ε/(1 − ρ), ρ = .50, and ε = 1 (Faul et al., 2007). RQ2 to RQ4 include a 10% buffer for failed generations.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Choice of Models With Justification</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No predictive model is trained. Each research question is answered with an unsupervised or experimental model and a statistical test matched to its design; baselines and assumptions are stated for each.</w:t>
      </w:r>
    </w:p>
    <w:p>
      <w:pPr>
        <w:pStyle w:val="Heading3"/>
        <w:keepNext/>
        <w:pageBreakBefore w:val="0"/>
        <w:widowControl/>
        <w:spacing w:line="480" w:lineRule="auto" w:before="0" w:after="0"/>
        <w:ind w:firstLine="0" w:left="0"/>
        <w:jc w:val="left"/>
      </w:pPr>
      <w:r>
        <w:rPr>
          <w:rFonts w:ascii="Times New Roman" w:hAnsi="Times New Roman" w:cs="Times New Roman" w:eastAsia="Times New Roman"/>
          <w:b/>
          <w:i/>
          <w:color w:val="000000"/>
          <w:sz w:val="24"/>
        </w:rPr>
        <w:t>RQ1: Clustering Algorithms and Archetype Definition</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K-Means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10 initializations), Ward agglomerative clustering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and HDBSCAN, which chooses the number of clusters itself, were each applied to 53 independent random subsamples of 500 golden dialogues and compared with a one-way ANOVA on Silhouette. HDBSCAN noise points were assigned to the nearest centroid so that every dialogue receives an archetype. The baselines are a permutation baseline (K-Means labels shuffled within each subsample) and K-Means as the conventional reference.</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Independence of runs.</w:t>
      </w:r>
      <w:r>
        <w:rPr>
          <w:rFonts w:ascii="Times New Roman" w:hAnsi="Times New Roman" w:cs="Times New Roman" w:eastAsia="Times New Roman"/>
          <w:b w:val="0"/>
          <w:i w:val="0"/>
          <w:color w:val="000000"/>
          <w:sz w:val="24"/>
        </w:rPr>
        <w:t xml:space="preserve"> Each run uses its own subsample; because subsamples share dialogues, the test compares algorithms on this corpus rather than across datasets.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Normality.</w:t>
      </w:r>
      <w:r>
        <w:rPr>
          <w:rFonts w:ascii="Times New Roman" w:hAnsi="Times New Roman" w:cs="Times New Roman" w:eastAsia="Times New Roman"/>
          <w:b w:val="0"/>
          <w:i w:val="0"/>
          <w:color w:val="000000"/>
          <w:sz w:val="24"/>
        </w:rPr>
        <w:t xml:space="preserve"> Shapiro–Wilk tests did not reject normality (K-Means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val="0"/>
          <w:color w:val="000000"/>
          <w:sz w:val="24"/>
        </w:rPr>
        <w:t xml:space="preserve"> = .965,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.120; agglomerative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val="0"/>
          <w:color w:val="000000"/>
          <w:sz w:val="24"/>
        </w:rPr>
        <w:t xml:space="preserve"> = .979,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.477; HDBSCAN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val="0"/>
          <w:color w:val="000000"/>
          <w:sz w:val="24"/>
        </w:rPr>
        <w:t xml:space="preserve"> = .980,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.524).</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Homogeneity of variance.</w:t>
      </w:r>
      <w:r>
        <w:rPr>
          <w:rFonts w:ascii="Times New Roman" w:hAnsi="Times New Roman" w:cs="Times New Roman" w:eastAsia="Times New Roman"/>
          <w:b w:val="0"/>
          <w:i w:val="0"/>
          <w:color w:val="000000"/>
          <w:sz w:val="24"/>
        </w:rPr>
        <w:t xml:space="preserve"> Levene's test was significant,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val="0"/>
          <w:color w:val="000000"/>
          <w:sz w:val="24"/>
        </w:rPr>
        <w:t xml:space="preserve"> = 12.75,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so Welch's ANOVA, Games–Howell comparisons, and the Kruskal–Wallis test are reported as well.</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Meaningful embedding geometry.</w:t>
      </w:r>
      <w:r>
        <w:rPr>
          <w:rFonts w:ascii="Times New Roman" w:hAnsi="Times New Roman" w:cs="Times New Roman" w:eastAsia="Times New Roman"/>
          <w:b w:val="0"/>
          <w:i w:val="0"/>
          <w:color w:val="000000"/>
          <w:sz w:val="24"/>
        </w:rPr>
        <w:t xml:space="preserve"> Cosine distance is assumed to reflect conversational behavior; this was checked with behavioral features not used in clustering (Table 12).</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Cross-corpus invariance.</w:t>
      </w:r>
      <w:r>
        <w:rPr>
          <w:rFonts w:ascii="Times New Roman" w:hAnsi="Times New Roman" w:cs="Times New Roman" w:eastAsia="Times New Roman"/>
          <w:b w:val="0"/>
          <w:i w:val="0"/>
          <w:color w:val="000000"/>
          <w:sz w:val="24"/>
        </w:rPr>
        <w:t xml:space="preserve"> The synopsis assumed that Frames archetypes would apply to MultiWOZ; projection onto the frozen centroids did not support this.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A sensitivity analysis varied whose turns are represented (whole dialogue or user turns), how (MiniLM or Gemini embeddings, with or without an LLM behavior profile), and how much of the conversation (first 3, 5, 7, or 9 user messages, or all), under a selection rule fixed before results were inspected. Stability was the mean adjusted Rand index (ARI) between K-Means fits on two random 80% subsamples, repeated 50 times (Hennig, 2007). Eligible solutions had three to eight clusters, ARI ≥ .60, and a smallest cluster ≥ 5%; per length, the solution best predicted from the first five turns (Cohen's κ) was retained, and the most stable of these was adopted. The confirmatory RQ1 test is unchanged.</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Valid behavior ratings.</w:t>
      </w:r>
      <w:r>
        <w:rPr>
          <w:rFonts w:ascii="Times New Roman" w:hAnsi="Times New Roman" w:cs="Times New Roman" w:eastAsia="Times New Roman"/>
          <w:b w:val="0"/>
          <w:i w:val="0"/>
          <w:color w:val="000000"/>
          <w:sz w:val="24"/>
        </w:rPr>
        <w:t xml:space="preserve"> LLM ratings are assumed to measure user behavior; this was tested by re-annotation and by correlation with behaviors counted from the corpus annotations (see Features).</w:t>
      </w:r>
    </w:p>
    <w:p>
      <w:pPr>
        <w:pStyle w:val="Heading3"/>
        <w:keepNext/>
        <w:pageBreakBefore w:val="0"/>
        <w:widowControl/>
        <w:spacing w:line="480" w:lineRule="auto" w:before="0" w:after="0"/>
        <w:ind w:firstLine="0" w:left="0"/>
        <w:jc w:val="left"/>
      </w:pPr>
      <w:r>
        <w:rPr>
          <w:rFonts w:ascii="Times New Roman" w:hAnsi="Times New Roman" w:cs="Times New Roman" w:eastAsia="Times New Roman"/>
          <w:b/>
          <w:i/>
          <w:color w:val="000000"/>
          <w:sz w:val="24"/>
        </w:rPr>
        <w:t>RQ2: Repeated-Measures Prompting Experiment</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experiment sampled 33 held-out dialogues, 11 per primary archetype (it was run before the sensitivity analysis). The first three turns form the prefix, and Gemini 2.5 Flash (temperature 0.2) generated the next agent turn under three conditions: zero-shot and static few-shot (three fixed random golden exemplars) as baselines, and cluster-adaptive few-shot, which routes the prefix to the nearest archetype centroid and retrieves the three most similar golden dialogues from that archetype's FAISS index; global nearest-neighbor retrieval (Liu et al., 2022) was compared in the pilot. A one-way repeated-measures ANOVA with Holm-adjusted contrasts tests the conditions; all 99 generations completed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Sphericity.</w:t>
      </w:r>
      <w:r>
        <w:rPr>
          <w:rFonts w:ascii="Times New Roman" w:hAnsi="Times New Roman" w:cs="Times New Roman" w:eastAsia="Times New Roman"/>
          <w:b w:val="0"/>
          <w:i w:val="0"/>
          <w:color w:val="000000"/>
          <w:sz w:val="24"/>
        </w:rPr>
        <w:t xml:space="preserve"> Mauchly's test was not significant for style convergence,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val="0"/>
          <w:color w:val="000000"/>
          <w:sz w:val="24"/>
        </w:rPr>
        <w:t xml:space="preserve"> = .95,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 = 1.59,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.451, or gold similarity,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val="0"/>
          <w:color w:val="000000"/>
          <w:sz w:val="24"/>
        </w:rPr>
        <w:t xml:space="preserve"> = .97,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.610; Greenhouse–Geisser-corrected results (Greenhouse &amp; Geisser, 1959) are reported for consistency.</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Normality of difference scores.</w:t>
      </w:r>
      <w:r>
        <w:rPr>
          <w:rFonts w:ascii="Times New Roman" w:hAnsi="Times New Roman" w:cs="Times New Roman" w:eastAsia="Times New Roman"/>
          <w:b w:val="0"/>
          <w:i w:val="0"/>
          <w:color w:val="000000"/>
          <w:sz w:val="24"/>
        </w:rPr>
        <w:t xml:space="preserve"> Shapiro–Wilk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values for the paired differences ranged from .003 to .616, so the Friedman test is reported as a distribution-free check.</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Valid style metric and correct routing.</w:t>
      </w:r>
      <w:r>
        <w:rPr>
          <w:rFonts w:ascii="Times New Roman" w:hAnsi="Times New Roman" w:cs="Times New Roman" w:eastAsia="Times New Roman"/>
          <w:b w:val="0"/>
          <w:i w:val="0"/>
          <w:color w:val="000000"/>
          <w:sz w:val="24"/>
        </w:rPr>
        <w:t xml:space="preserve"> The style score assumes that a turn written for an archetype is closer to its agent-style centroid, and routing assumes that the prefix identifies the archetype; the pilot tested both.</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Exemplars carry style, not facts.</w:t>
      </w:r>
      <w:r>
        <w:rPr>
          <w:rFonts w:ascii="Times New Roman" w:hAnsi="Times New Roman" w:cs="Times New Roman" w:eastAsia="Times New Roman"/>
          <w:b w:val="0"/>
          <w:i w:val="0"/>
          <w:color w:val="000000"/>
          <w:sz w:val="24"/>
        </w:rPr>
        <w:t xml:space="preserve"> De-lexicalization is assumed to remove factual content; this is tested as exemplar leakage in RQ3.</w:t>
      </w:r>
    </w:p>
    <w:p>
      <w:pPr>
        <w:pStyle w:val="Heading3"/>
        <w:keepNext/>
        <w:pageBreakBefore w:val="0"/>
        <w:widowControl/>
        <w:spacing w:line="480" w:lineRule="auto" w:before="0" w:after="0"/>
        <w:ind w:firstLine="0" w:left="0"/>
        <w:jc w:val="left"/>
      </w:pPr>
      <w:r>
        <w:rPr>
          <w:rFonts w:ascii="Times New Roman" w:hAnsi="Times New Roman" w:cs="Times New Roman" w:eastAsia="Times New Roman"/>
          <w:b/>
          <w:i/>
          <w:color w:val="000000"/>
          <w:sz w:val="24"/>
        </w:rPr>
        <w:t>RQ3: Rules-by-Prompting Factorial Experiment</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RQ3 randomly assigns 144 held-out dialogues to a 2 × 2 between-subjects design (rule engine active or off × zero-shot or cluster-adaptive prompting with the refined archetypes). Each dialogue state is augmented with seeded synthetic Tier 2 values, half of which violate at least one rule. When active, the engine evaluates the state before generation and adds violations to the prompt as required actions. The baseline cell is zero-shot prompting with rules off. Table 9 lists the five author-defined rules, which do not represent any company's policy.</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9</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Declarative Policy Rules Used in RQ3</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27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Rule</w:t>
            </w:r>
          </w:p>
        </w:tc>
        <w:tc>
          <w:tcPr>
            <w:tcW w:type="dxa" w:w="360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Condition</w:t>
            </w:r>
          </w:p>
        </w:tc>
        <w:tc>
          <w:tcPr>
            <w:tcW w:type="dxa" w:w="187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Action</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Severity</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Visa Processing Lead Time</w:t>
            </w:r>
          </w:p>
        </w:tc>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departure_lead_days &lt; 15; is_international = true</w:t>
            </w:r>
          </w:p>
        </w:tc>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block and flag</w:t>
            </w:r>
          </w:p>
        </w:tc>
        <w:tc>
          <w:tcPr>
            <w:tcW w:type="dxa" w:w="115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fatal</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Passport Validity Threshold</w:t>
            </w:r>
          </w:p>
        </w:tc>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passport_expiry_months &lt; 6; is_international = true</w:t>
            </w:r>
          </w:p>
        </w:tc>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block and flag</w:t>
            </w:r>
          </w:p>
        </w:tc>
        <w:tc>
          <w:tcPr>
            <w:tcW w:type="dxa" w:w="115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fatal</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Maximum Adult Capacity per Single Booking</w:t>
            </w:r>
          </w:p>
        </w:tc>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traveler_count_adults &gt; 8; package_type = 'FIT'</w:t>
            </w:r>
          </w:p>
        </w:tc>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convert to group</w:t>
            </w:r>
          </w:p>
        </w:tc>
        <w:tc>
          <w:tcPr>
            <w:tcW w:type="dxa" w:w="115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warning</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Maximum Discretionary Sales Discount</w:t>
            </w:r>
          </w:p>
        </w:tc>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discount_applied_percentage &gt; 15.0</w:t>
            </w:r>
          </w:p>
        </w:tc>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clamp discount</w:t>
            </w:r>
          </w:p>
        </w:tc>
        <w:tc>
          <w:tcPr>
            <w:tcW w:type="dxa" w:w="115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fatal</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Minimum Feasible Per-Pax International Budget</w:t>
            </w:r>
          </w:p>
        </w:tc>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budget stated; budget_amount &lt; 500; is_international = true</w:t>
            </w:r>
          </w:p>
        </w:tc>
        <w:tc>
          <w:tcPr>
            <w:tcW w:type="dxa" w:w="187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prompt realistic budget</w:t>
            </w:r>
          </w:p>
        </w:tc>
        <w:tc>
          <w:tcPr>
            <w:tcW w:type="dxa" w:w="115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warning</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Rules are stored in a YAML file and evaluated outside the LLM by src/rule_engine.py.</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Deterministic rule evaluation.</w:t>
      </w:r>
      <w:r>
        <w:rPr>
          <w:rFonts w:ascii="Times New Roman" w:hAnsi="Times New Roman" w:cs="Times New Roman" w:eastAsia="Times New Roman"/>
          <w:b w:val="0"/>
          <w:i w:val="0"/>
          <w:color w:val="000000"/>
          <w:sz w:val="24"/>
        </w:rPr>
        <w:t xml:space="preserve"> All 14 of 14 boundary tests passed, including values exactly at each threshold and the domestic and group-package exemptions.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Decoupling.</w:t>
      </w:r>
      <w:r>
        <w:rPr>
          <w:rFonts w:ascii="Times New Roman" w:hAnsi="Times New Roman" w:cs="Times New Roman" w:eastAsia="Times New Roman"/>
          <w:b w:val="0"/>
          <w:i w:val="0"/>
          <w:color w:val="000000"/>
          <w:sz w:val="24"/>
        </w:rPr>
        <w:t xml:space="preserve"> Rules are assumed to act independently of prompt style; this is the interaction term, so it is tested rather than assumed.</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Residual normality and equal variances.</w:t>
      </w:r>
      <w:r>
        <w:rPr>
          <w:rFonts w:ascii="Times New Roman" w:hAnsi="Times New Roman" w:cs="Times New Roman" w:eastAsia="Times New Roman"/>
          <w:b w:val="0"/>
          <w:i w:val="0"/>
          <w:color w:val="000000"/>
          <w:sz w:val="24"/>
        </w:rPr>
        <w:t xml:space="preserve"> Shapiro–Wilk and Levene tests will be applied; because adherence proportions are likely near 0 or 1, an aligned rank transform ANOVA or a logistic model will be used if they fail.</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International travel.</w:t>
      </w:r>
      <w:r>
        <w:rPr>
          <w:rFonts w:ascii="Times New Roman" w:hAnsi="Times New Roman" w:cs="Times New Roman" w:eastAsia="Times New Roman"/>
          <w:b w:val="0"/>
          <w:i w:val="0"/>
          <w:color w:val="000000"/>
          <w:sz w:val="24"/>
        </w:rPr>
        <w:t xml:space="preserve"> Frames cities are fictional, so all trips are treated as international for the visa, passport, and budget rules.</w:t>
      </w:r>
    </w:p>
    <w:p>
      <w:pPr>
        <w:pStyle w:val="Heading3"/>
        <w:keepNext/>
        <w:pageBreakBefore w:val="0"/>
        <w:widowControl/>
        <w:spacing w:line="480" w:lineRule="auto" w:before="0" w:after="0"/>
        <w:ind w:firstLine="0" w:left="0"/>
        <w:jc w:val="left"/>
      </w:pPr>
      <w:r>
        <w:rPr>
          <w:rFonts w:ascii="Times New Roman" w:hAnsi="Times New Roman" w:cs="Times New Roman" w:eastAsia="Times New Roman"/>
          <w:b/>
          <w:i/>
          <w:color w:val="000000"/>
          <w:sz w:val="24"/>
        </w:rPr>
        <w:t>RQ4: Turn-Economy Simulation</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RQ4 uses 180 held-out dialogues, 30 per cell of a 2 × 3 design (zero-shot or cluster-adaptive prompting × the three refined archetypes; the held-out partition contains 175, 99, and 127 dialogues of these archetypes). An LLM user simulator receives the dialogue's user goal and its archetype profile (Table 14) and converses with the agent until the goal is met or 30 turns elapse. The zero-shot agent is the baseline, and the human dialogues give a reference level. A 2 × 3 factorial ANOVA on log turns tests the interaction.</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Log-normal turn counts.</w:t>
      </w:r>
      <w:r>
        <w:rPr>
          <w:rFonts w:ascii="Times New Roman" w:hAnsi="Times New Roman" w:cs="Times New Roman" w:eastAsia="Times New Roman"/>
          <w:b w:val="0"/>
          <w:i w:val="0"/>
          <w:color w:val="000000"/>
          <w:sz w:val="24"/>
        </w:rPr>
        <w:t xml:space="preserve"> Turn counts are right-skewed and are analyzed on the log scale; residuals will be checked with Shapiro–Wilk tests.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Equal variances.</w:t>
      </w:r>
      <w:r>
        <w:rPr>
          <w:rFonts w:ascii="Times New Roman" w:hAnsi="Times New Roman" w:cs="Times New Roman" w:eastAsia="Times New Roman"/>
          <w:b w:val="0"/>
          <w:i w:val="0"/>
          <w:color w:val="000000"/>
          <w:sz w:val="24"/>
        </w:rPr>
        <w:t xml:space="preserve"> In the human baseline, Levene's test on log turns was significant,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val="0"/>
          <w:color w:val="000000"/>
          <w:sz w:val="24"/>
        </w:rPr>
        <w:t xml:space="preserve"> = 38.01,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so heteroscedasticity-robust (HC3) standard errors will be used.</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Comparable goals.</w:t>
      </w:r>
      <w:r>
        <w:rPr>
          <w:rFonts w:ascii="Times New Roman" w:hAnsi="Times New Roman" w:cs="Times New Roman" w:eastAsia="Times New Roman"/>
          <w:b w:val="0"/>
          <w:i w:val="0"/>
          <w:color w:val="000000"/>
          <w:sz w:val="24"/>
        </w:rPr>
        <w:t xml:space="preserve"> Turn counts are compared only within Frames, so the schema need not be invariant across corpora.</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Archetype effect by construction.</w:t>
      </w:r>
      <w:r>
        <w:rPr>
          <w:rFonts w:ascii="Times New Roman" w:hAnsi="Times New Roman" w:cs="Times New Roman" w:eastAsia="Times New Roman"/>
          <w:b w:val="0"/>
          <w:i w:val="0"/>
          <w:color w:val="000000"/>
          <w:sz w:val="24"/>
        </w:rPr>
        <w:t xml:space="preserve"> Archetypes partly reflect dialogue length, so an archetype main effect is expected and is not a finding; the tests of interest are the conditioning effect and the interaction.</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Valid persona simulation.</w:t>
      </w:r>
      <w:r>
        <w:rPr>
          <w:rFonts w:ascii="Times New Roman" w:hAnsi="Times New Roman" w:cs="Times New Roman" w:eastAsia="Times New Roman"/>
          <w:b w:val="0"/>
          <w:i w:val="0"/>
          <w:color w:val="000000"/>
          <w:sz w:val="24"/>
        </w:rPr>
        <w:t xml:space="preserve"> Simulated user turns will be annotated with the same codebook and tested for assignment to the intended archetype above chance.</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Features Included and Feature Engineering</w:t>
      </w:r>
    </w:p>
    <w:p>
      <w:pPr>
        <w:keepNext/>
        <w:widowControl/>
        <w:spacing w:line="480" w:lineRule="auto" w:before="0" w:after="0"/>
        <w:ind w:firstLine="720" w:left="0"/>
        <w:jc w:val="left"/>
      </w:pPr>
      <w:r>
        <w:rPr>
          <w:rFonts w:ascii="Times New Roman" w:hAnsi="Times New Roman" w:cs="Times New Roman" w:eastAsia="Times New Roman"/>
          <w:b w:val="0"/>
          <w:i/>
          <w:color w:val="000000"/>
          <w:sz w:val="24"/>
        </w:rPr>
        <w:t>Trajectory vectors (primary archetypes, RQ2 routing).</w:t>
      </w:r>
      <w:r>
        <w:rPr>
          <w:rFonts w:ascii="Times New Roman" w:hAnsi="Times New Roman" w:cs="Times New Roman" w:eastAsia="Times New Roman"/>
          <w:b w:val="0"/>
          <w:i w:val="0"/>
          <w:color w:val="000000"/>
          <w:sz w:val="24"/>
        </w:rPr>
        <w:t xml:space="preserve"> Each de-lexicalized turn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of a dialogue with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turns was embedded with Sentence-BERT as a 384-dimensional vector </w:t>
      </w:r>
      <w:r>
        <w:rPr>
          <w:rFonts w:ascii="Times New Roman" w:hAnsi="Times New Roman" w:cs="Times New Roman" w:eastAsia="Times New Roman"/>
          <w:b/>
          <w:i w:val="0"/>
          <w:color w:val="000000"/>
          <w:sz w:val="24"/>
        </w:rPr>
        <w:t>e</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rPr>
        <w:t>, and the dialogue vector is the decay-weighted mean</w:t>
      </w:r>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v</w:t>
      </w:r>
      <w:r>
        <w:rPr>
          <w:rFonts w:ascii="Times New Roman" w:hAnsi="Times New Roman" w:cs="Times New Roman" w:eastAsia="Times New Roman"/>
          <w:b w:val="0"/>
          <w:i w:val="0"/>
          <w:color w:val="000000"/>
          <w:sz w:val="24"/>
        </w:rPr>
        <w:t xml:space="preserve"> = Σ</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i w:val="0"/>
          <w:color w:val="000000"/>
          <w:sz w:val="24"/>
        </w:rPr>
        <w:t>e</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rPr>
        <w:t xml:space="preserve"> = exp[−λ</w:t>
      </w:r>
      <w:r>
        <w:rPr>
          <w:rFonts w:ascii="Times New Roman" w:hAnsi="Times New Roman" w:cs="Times New Roman" w:eastAsia="Times New Roman"/>
          <w:b w:val="0"/>
          <w:i w:val="0"/>
          <w:color w:val="000000"/>
          <w:sz w:val="24"/>
          <w:vertAlign w:val="subscript"/>
        </w:rPr>
        <w:t>d</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 Σ</w:t>
      </w:r>
      <w:r>
        <w:rPr>
          <w:rFonts w:ascii="Times New Roman" w:hAnsi="Times New Roman" w:cs="Times New Roman" w:eastAsia="Times New Roman"/>
          <w:b w:val="0"/>
          <w:i/>
          <w:color w:val="000000"/>
          <w:sz w:val="24"/>
          <w:vertAlign w:val="subscript"/>
        </w:rPr>
        <w:t>j</w:t>
      </w:r>
      <w:r>
        <w:rPr>
          <w:rFonts w:ascii="Times New Roman" w:hAnsi="Times New Roman" w:cs="Times New Roman" w:eastAsia="Times New Roman"/>
          <w:b w:val="0"/>
          <w:i w:val="0"/>
          <w:color w:val="000000"/>
          <w:sz w:val="24"/>
        </w:rPr>
        <w:t xml:space="preserve"> exp[−λ</w:t>
      </w:r>
      <w:r>
        <w:rPr>
          <w:rFonts w:ascii="Times New Roman" w:hAnsi="Times New Roman" w:cs="Times New Roman" w:eastAsia="Times New Roman"/>
          <w:b w:val="0"/>
          <w:i w:val="0"/>
          <w:color w:val="000000"/>
          <w:sz w:val="24"/>
          <w:vertAlign w:val="subscript"/>
        </w:rPr>
        <w:t>d</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j</w:t>
      </w:r>
      <w:r>
        <w:rPr>
          <w:rFonts w:ascii="Times New Roman" w:hAnsi="Times New Roman" w:cs="Times New Roman" w:eastAsia="Times New Roman"/>
          <w:b w:val="0"/>
          <w:i w:val="0"/>
          <w:color w:val="000000"/>
          <w:sz w:val="24"/>
        </w:rPr>
        <w:t>)]    (2)</w:t>
      </w:r>
    </w:p>
    <w:p>
      <w:pPr>
        <w:keepNext w:val="0"/>
        <w:widowControl/>
        <w:spacing w:line="480" w:lineRule="auto" w:before="0" w:after="0"/>
        <w:ind w:firstLine="0" w:left="0"/>
        <w:jc w:val="left"/>
      </w:pPr>
      <w:r>
        <w:rPr>
          <w:rFonts w:ascii="Times New Roman" w:hAnsi="Times New Roman" w:cs="Times New Roman" w:eastAsia="Times New Roman"/>
          <w:b w:val="0"/>
          <w:i w:val="0"/>
          <w:color w:val="000000"/>
          <w:sz w:val="24"/>
        </w:rPr>
        <w:t>with λ</w:t>
      </w:r>
      <w:r>
        <w:rPr>
          <w:rFonts w:ascii="Times New Roman" w:hAnsi="Times New Roman" w:cs="Times New Roman" w:eastAsia="Times New Roman"/>
          <w:b w:val="0"/>
          <w:i w:val="0"/>
          <w:color w:val="000000"/>
          <w:sz w:val="24"/>
          <w:vertAlign w:val="subscript"/>
        </w:rPr>
        <w:t>d</w:t>
      </w:r>
      <w:r>
        <w:rPr>
          <w:rFonts w:ascii="Times New Roman" w:hAnsi="Times New Roman" w:cs="Times New Roman" w:eastAsia="Times New Roman"/>
          <w:b w:val="0"/>
          <w:i w:val="0"/>
          <w:color w:val="000000"/>
          <w:sz w:val="24"/>
        </w:rPr>
        <w:t xml:space="preserve"> = 0.15 and L2 normalization, which emphasizes how a dialogue develops and closes. Structural features (turns, revisions, hesitations, offers) are excluded from the vector and used only to interpret clusters.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Hybrid features (refined archetypes).</w:t>
      </w:r>
      <w:r>
        <w:rPr>
          <w:rFonts w:ascii="Times New Roman" w:hAnsi="Times New Roman" w:cs="Times New Roman" w:eastAsia="Times New Roman"/>
          <w:b w:val="0"/>
          <w:i w:val="0"/>
          <w:color w:val="000000"/>
          <w:sz w:val="24"/>
        </w:rPr>
        <w:t xml:space="preserve"> Two equally weighted blocks were combined, both computed on the same first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user messages: the first 20 principal components of the Gemini embedding (gemini-embedding-001; Lee et al., 2025), and an LLM behavior profile in which Gemini 2.5 Flash (temperature 0, JSON schema) rated each user on a 16-field codebook (Table D1) of ten 1–5 ratings, such as price sensitivity and revision tendency, plus goal and tone indicators. Re-annotating 100 random dialogues at temperature 0.7 gave quadratic-weighted κ from .87 to .96 for the ratings, and the ratings correlated with behaviors counted from the Frames acts, for example revision tendency with slot revisions (ρ = .73) and question asking with request rate (ρ = .65; Table D2).</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Exemplar features (RQ2 to RQ4).</w:t>
      </w:r>
      <w:r>
        <w:rPr>
          <w:rFonts w:ascii="Times New Roman" w:hAnsi="Times New Roman" w:cs="Times New Roman" w:eastAsia="Times New Roman"/>
          <w:b w:val="0"/>
          <w:i w:val="0"/>
          <w:color w:val="000000"/>
          <w:sz w:val="24"/>
        </w:rPr>
        <w:t xml:space="preserve"> Retrieval keys embed the same number of opening turns as the test prefix, so neither side uses future turns; exemplars are de-lexicalized and truncated to six turns.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Evaluation Metrics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10 defines every outcome metric with its formula.</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10</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Evaluation Metrics and Formulae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194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Metric</w:t>
            </w:r>
          </w:p>
        </w:tc>
        <w:tc>
          <w:tcPr>
            <w:tcW w:type="dxa" w:w="43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Formula</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RQ</w:t>
            </w:r>
          </w:p>
        </w:tc>
        <w:tc>
          <w:tcPr>
            <w:tcW w:type="dxa" w:w="237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Interpretation</w:t>
            </w:r>
          </w:p>
        </w:tc>
      </w:tr>
      <w:tr>
        <w:trPr>
          <w:cantSplit/>
        </w:trPr>
        <w:tc>
          <w:tcPr>
            <w:tcW w:type="dxa" w:w="19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Silhouette</w:t>
            </w:r>
          </w:p>
        </w:tc>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color w:val="000000"/>
                <w:sz w:val="20"/>
              </w:rPr>
              <w:t>s</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 = [</w:t>
            </w:r>
            <w:r>
              <w:rPr>
                <w:rFonts w:ascii="Times New Roman" w:hAnsi="Times New Roman" w:cs="Times New Roman" w:eastAsia="Times New Roman"/>
                <w:b w:val="0"/>
                <w:i/>
                <w:color w:val="000000"/>
                <w:sz w:val="20"/>
              </w:rPr>
              <w:t>b</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 / max{</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b</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 xml:space="preserve">)}, averaged over </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b</w:t>
            </w:r>
            <w:r>
              <w:rPr>
                <w:rFonts w:ascii="Times New Roman" w:hAnsi="Times New Roman" w:cs="Times New Roman" w:eastAsia="Times New Roman"/>
                <w:b w:val="0"/>
                <w:i w:val="0"/>
                <w:color w:val="000000"/>
                <w:sz w:val="20"/>
              </w:rPr>
              <w:t xml:space="preserve"> = mean cosine distance to own and nearest other cluster</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to 1; higher is better separated</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Davies–Bouldin index</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color w:val="000000"/>
                <w:sz w:val="20"/>
              </w:rPr>
              <w:t>DB</w:t>
            </w:r>
            <w:r>
              <w:rPr>
                <w:rFonts w:ascii="Times New Roman" w:hAnsi="Times New Roman" w:cs="Times New Roman" w:eastAsia="Times New Roman"/>
                <w:b w:val="0"/>
                <w:i w:val="0"/>
                <w:color w:val="000000"/>
                <w:sz w:val="20"/>
              </w:rPr>
              <w:t xml:space="preserve"> = (1/</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 Σ</w:t>
            </w:r>
            <w:r>
              <w:rPr>
                <w:rFonts w:ascii="Times New Roman" w:hAnsi="Times New Roman" w:cs="Times New Roman" w:eastAsia="Times New Roman"/>
                <w:b w:val="0"/>
                <w:i/>
                <w:color w:val="000000"/>
                <w:sz w:val="20"/>
                <w:vertAlign w:val="subscript"/>
              </w:rPr>
              <w:t>i</w:t>
            </w:r>
            <w:r>
              <w:rPr>
                <w:rFonts w:ascii="Times New Roman" w:hAnsi="Times New Roman" w:cs="Times New Roman" w:eastAsia="Times New Roman"/>
                <w:b w:val="0"/>
                <w:i w:val="0"/>
                <w:color w:val="000000"/>
                <w:sz w:val="20"/>
              </w:rPr>
              <w:t xml:space="preserve"> max</w:t>
            </w:r>
            <w:r>
              <w:rPr>
                <w:rFonts w:ascii="Times New Roman" w:hAnsi="Times New Roman" w:cs="Times New Roman" w:eastAsia="Times New Roman"/>
                <w:b w:val="0"/>
                <w:i/>
                <w:color w:val="000000"/>
                <w:sz w:val="20"/>
                <w:vertAlign w:val="subscript"/>
              </w:rPr>
              <w:t>j</w:t>
            </w:r>
            <w:r>
              <w:rPr>
                <w:rFonts w:ascii="Times New Roman" w:hAnsi="Times New Roman" w:cs="Times New Roman" w:eastAsia="Times New Roman"/>
                <w:b w:val="0"/>
                <w:i w:val="0"/>
                <w:color w:val="000000"/>
                <w:sz w:val="20"/>
                <w:vertAlign w:val="subscript"/>
              </w:rPr>
              <w:t>≠</w:t>
            </w:r>
            <w:r>
              <w:rPr>
                <w:rFonts w:ascii="Times New Roman" w:hAnsi="Times New Roman" w:cs="Times New Roman" w:eastAsia="Times New Roman"/>
                <w:b w:val="0"/>
                <w:i/>
                <w:color w:val="000000"/>
                <w:sz w:val="20"/>
                <w:vertAlign w:val="subscript"/>
              </w:rPr>
              <w:t>i</w:t>
            </w:r>
            <w:r>
              <w:rPr>
                <w:rFonts w:ascii="Times New Roman" w:hAnsi="Times New Roman" w:cs="Times New Roman" w:eastAsia="Times New Roman"/>
                <w:b w:val="0"/>
                <w:i w:val="0"/>
                <w:color w:val="000000"/>
                <w:sz w:val="20"/>
              </w:rPr>
              <w:t xml:space="preserve"> (σ</w:t>
            </w:r>
            <w:r>
              <w:rPr>
                <w:rFonts w:ascii="Times New Roman" w:hAnsi="Times New Roman" w:cs="Times New Roman" w:eastAsia="Times New Roman"/>
                <w:b w:val="0"/>
                <w:i/>
                <w:color w:val="000000"/>
                <w:sz w:val="20"/>
                <w:vertAlign w:val="subscript"/>
              </w:rPr>
              <w:t>i</w:t>
            </w:r>
            <w:r>
              <w:rPr>
                <w:rFonts w:ascii="Times New Roman" w:hAnsi="Times New Roman" w:cs="Times New Roman" w:eastAsia="Times New Roman"/>
                <w:b w:val="0"/>
                <w:i w:val="0"/>
                <w:color w:val="000000"/>
                <w:sz w:val="20"/>
              </w:rPr>
              <w:t xml:space="preserve"> + σ</w:t>
            </w:r>
            <w:r>
              <w:rPr>
                <w:rFonts w:ascii="Times New Roman" w:hAnsi="Times New Roman" w:cs="Times New Roman" w:eastAsia="Times New Roman"/>
                <w:b w:val="0"/>
                <w:i/>
                <w:color w:val="000000"/>
                <w:sz w:val="20"/>
                <w:vertAlign w:val="subscript"/>
              </w:rPr>
              <w:t>j</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rPr>
              <w:t>(</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i</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j</w:t>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 0; lower is better</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Adjusted Rand index</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color w:val="000000"/>
                <w:sz w:val="20"/>
              </w:rPr>
              <w:t>ARI</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 xml:space="preserve"> − E[</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 xml:space="preserve">]) / (max </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 xml:space="preserve"> − E[</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0 = chance agreement; 1 = identical partitions</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Cohen's κ</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κ =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vertAlign w:val="subscript"/>
              </w:rPr>
              <w:t>o</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vertAlign w:val="subscript"/>
              </w:rPr>
              <w:t>e</w:t>
            </w:r>
            <w:r>
              <w:rPr>
                <w:rFonts w:ascii="Times New Roman" w:hAnsi="Times New Roman" w:cs="Times New Roman" w:eastAsia="Times New Roman"/>
                <w:b w:val="0"/>
                <w:i w:val="0"/>
                <w:color w:val="000000"/>
                <w:sz w:val="20"/>
              </w:rPr>
              <w:t xml:space="preserve">) / (1 −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vertAlign w:val="subscript"/>
              </w:rPr>
              <w:t>e</w:t>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Routing and rating agreement beyond chance</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 xml:space="preserve">Cramér's </w:t>
            </w:r>
            <w:r>
              <w:rPr>
                <w:rFonts w:ascii="Times New Roman" w:hAnsi="Times New Roman" w:cs="Times New Roman" w:eastAsia="Times New Roman"/>
                <w:b w:val="0"/>
                <w:i/>
                <w:color w:val="000000"/>
                <w:sz w:val="20"/>
              </w:rPr>
              <w:t>V</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color w:val="000000"/>
                <w:sz w:val="20"/>
              </w:rPr>
              <w:t>V</w:t>
            </w:r>
            <w:r>
              <w:rPr>
                <w:rFonts w:ascii="Times New Roman" w:hAnsi="Times New Roman" w:cs="Times New Roman" w:eastAsia="Times New Roman"/>
                <w:b w:val="0"/>
                <w:i w:val="0"/>
                <w:color w:val="000000"/>
                <w:sz w:val="20"/>
              </w:rPr>
              <w:t xml:space="preserve"> = √[χ</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(min(</w:t>
            </w:r>
            <w:r>
              <w:rPr>
                <w:rFonts w:ascii="Times New Roman" w:hAnsi="Times New Roman" w:cs="Times New Roman" w:eastAsia="Times New Roman"/>
                <w:b w:val="0"/>
                <w:i/>
                <w:color w:val="000000"/>
                <w:sz w:val="20"/>
              </w:rPr>
              <w:t>r</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c</w:t>
            </w:r>
            <w:r>
              <w:rPr>
                <w:rFonts w:ascii="Times New Roman" w:hAnsi="Times New Roman" w:cs="Times New Roman" w:eastAsia="Times New Roman"/>
                <w:b w:val="0"/>
                <w:i w:val="0"/>
                <w:color w:val="000000"/>
                <w:sz w:val="20"/>
              </w:rPr>
              <w:t>) − 1))]</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0 to 1; association of archetype with a category</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Style convergence</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cos(</w:t>
            </w:r>
            <w:r>
              <w:rPr>
                <w:rFonts w:ascii="Times New Roman" w:hAnsi="Times New Roman" w:cs="Times New Roman" w:eastAsia="Times New Roman"/>
                <w:b/>
                <w:i w:val="0"/>
                <w:color w:val="000000"/>
                <w:sz w:val="20"/>
              </w:rPr>
              <w:t>r</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i w:val="0"/>
                <w:color w:val="000000"/>
                <w:sz w:val="20"/>
              </w:rPr>
              <w:t>r</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i w:val="0"/>
                <w:color w:val="000000"/>
                <w:sz w:val="20"/>
              </w:rPr>
              <w:t>r</w:t>
            </w:r>
            <w:r>
              <w:rPr>
                <w:rFonts w:ascii="Times New Roman" w:hAnsi="Times New Roman" w:cs="Times New Roman" w:eastAsia="Times New Roman"/>
                <w:b w:val="0"/>
                <w:i w:val="0"/>
                <w:color w:val="000000"/>
                <w:sz w:val="20"/>
              </w:rPr>
              <w:t>‖ ‖</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 xml:space="preserve"> = mean golden agent turn of archetype </w:t>
            </w:r>
            <w:r>
              <w:rPr>
                <w:rFonts w:ascii="Times New Roman" w:hAnsi="Times New Roman" w:cs="Times New Roman" w:eastAsia="Times New Roman"/>
                <w:b w:val="0"/>
                <w:i/>
                <w:color w:val="000000"/>
                <w:sz w:val="20"/>
              </w:rPr>
              <w:t>a</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2, 3</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Higher is closer to the target style</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Gold similarity</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cos(</w:t>
            </w:r>
            <w:r>
              <w:rPr>
                <w:rFonts w:ascii="Times New Roman" w:hAnsi="Times New Roman" w:cs="Times New Roman" w:eastAsia="Times New Roman"/>
                <w:b/>
                <w:i w:val="0"/>
                <w:color w:val="000000"/>
                <w:sz w:val="20"/>
              </w:rPr>
              <w:t>r</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i w:val="0"/>
                <w:color w:val="000000"/>
                <w:sz w:val="20"/>
              </w:rPr>
              <w:t>h</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i w:val="0"/>
                <w:color w:val="000000"/>
                <w:sz w:val="20"/>
              </w:rPr>
              <w:t>h</w:t>
            </w:r>
            <w:r>
              <w:rPr>
                <w:rFonts w:ascii="Times New Roman" w:hAnsi="Times New Roman" w:cs="Times New Roman" w:eastAsia="Times New Roman"/>
                <w:b w:val="0"/>
                <w:i w:val="0"/>
                <w:color w:val="000000"/>
                <w:sz w:val="20"/>
              </w:rPr>
              <w:t xml:space="preserve"> = embedding of the human reply</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Higher is closer to the human agent</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Slot F1</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xml:space="preserve"> = 2</w:t>
            </w:r>
            <w:r>
              <w:rPr>
                <w:rFonts w:ascii="Times New Roman" w:hAnsi="Times New Roman" w:cs="Times New Roman" w:eastAsia="Times New Roman"/>
                <w:b w:val="0"/>
                <w:i/>
                <w:color w:val="000000"/>
                <w:sz w:val="20"/>
              </w:rPr>
              <w:t>PR</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R</w:t>
            </w:r>
            <w:r>
              <w:rPr>
                <w:rFonts w:ascii="Times New Roman" w:hAnsi="Times New Roman" w:cs="Times New Roman" w:eastAsia="Times New Roman"/>
                <w:b w:val="0"/>
                <w:i w:val="0"/>
                <w:color w:val="000000"/>
                <w:sz w:val="20"/>
              </w:rPr>
              <w:t>) over slot values</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0 to 1; higher is more accurate</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Exemplar leakage rate</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r</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x</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d</w:t>
            </w:r>
            <w:r>
              <w:rPr>
                <w:rFonts w:ascii="Times New Roman" w:hAnsi="Times New Roman" w:cs="Times New Roman" w:eastAsia="Times New Roman"/>
                <w:b w:val="0"/>
                <w:i w:val="0"/>
                <w:color w:val="000000"/>
                <w:sz w:val="20"/>
              </w:rPr>
              <w:t>)| / |</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r</w:t>
            </w:r>
            <w:r>
              <w:rPr>
                <w:rFonts w:ascii="Times New Roman" w:hAnsi="Times New Roman" w:cs="Times New Roman" w:eastAsia="Times New Roman"/>
                <w:b w:val="0"/>
                <w:i w:val="0"/>
                <w:color w:val="000000"/>
                <w:sz w:val="20"/>
              </w:rPr>
              <w:t>|; entities in response, exemplars, dialogue</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0 to 1; lower is better</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Rule adherence rate</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 xml:space="preserve">1 − </w:t>
            </w:r>
            <w:r>
              <w:rPr>
                <w:rFonts w:ascii="Times New Roman" w:hAnsi="Times New Roman" w:cs="Times New Roman" w:eastAsia="Times New Roman"/>
                <w:b w:val="0"/>
                <w:i/>
                <w:color w:val="000000"/>
                <w:sz w:val="20"/>
              </w:rPr>
              <w:t>V</w:t>
            </w:r>
            <w:r>
              <w:rPr>
                <w:rFonts w:ascii="Times New Roman" w:hAnsi="Times New Roman" w:cs="Times New Roman" w:eastAsia="Times New Roman"/>
                <w:b w:val="0"/>
                <w:i w:val="0"/>
                <w:color w:val="000000"/>
                <w:sz w:val="20"/>
                <w:vertAlign w:val="subscript"/>
              </w:rPr>
              <w:t>t</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vertAlign w:val="subscript"/>
              </w:rPr>
              <w:t>t</w:t>
            </w:r>
            <w:r>
              <w:rPr>
                <w:rFonts w:ascii="Times New Roman" w:hAnsi="Times New Roman" w:cs="Times New Roman" w:eastAsia="Times New Roman"/>
                <w:b w:val="0"/>
                <w:i w:val="0"/>
                <w:color w:val="000000"/>
                <w:sz w:val="20"/>
              </w:rPr>
              <w:t>; violating and all agent turns</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0 to 1; higher is better</w:t>
            </w:r>
          </w:p>
        </w:tc>
      </w:tr>
      <w:tr>
        <w:trPr>
          <w:cantSplit/>
        </w:trPr>
        <w:tc>
          <w:tcPr>
            <w:tcW w:type="dxa" w:w="1944"/>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 to goal</w:t>
            </w:r>
          </w:p>
        </w:tc>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Turns until all required slots are filled and an offer is accepted (log scale)</w:t>
            </w:r>
          </w:p>
        </w:tc>
        <w:tc>
          <w:tcPr>
            <w:tcW w:type="dxa" w:w="720"/>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4</w:t>
            </w:r>
          </w:p>
        </w:tc>
        <w:tc>
          <w:tcPr>
            <w:tcW w:type="dxa" w:w="2376"/>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Lower is more economical</w:t>
            </w:r>
          </w:p>
        </w:tc>
      </w:tr>
      <w:tr>
        <w:trPr>
          <w:cantSplit/>
        </w:trPr>
        <w:tc>
          <w:tcPr>
            <w:tcW w:type="dxa" w:w="19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Redundant elicitation rate</w:t>
            </w:r>
          </w:p>
        </w:tc>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color w:val="000000"/>
                <w:sz w:val="20"/>
              </w:rPr>
              <w:t>R</w:t>
            </w:r>
            <w:r>
              <w:rPr>
                <w:rFonts w:ascii="Times New Roman" w:hAnsi="Times New Roman" w:cs="Times New Roman" w:eastAsia="Times New Roman"/>
                <w:b w:val="0"/>
                <w:i w:val="0"/>
                <w:color w:val="000000"/>
                <w:sz w:val="20"/>
                <w:vertAlign w:val="subscript"/>
              </w:rPr>
              <w:t>red</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vertAlign w:val="subscript"/>
              </w:rPr>
              <w:t>t</w:t>
            </w:r>
            <w:r>
              <w:rPr>
                <w:rFonts w:ascii="Times New Roman" w:hAnsi="Times New Roman" w:cs="Times New Roman" w:eastAsia="Times New Roman"/>
                <w:b w:val="0"/>
                <w:i w:val="0"/>
                <w:color w:val="000000"/>
                <w:sz w:val="20"/>
              </w:rPr>
              <w:t>; requests for an already-informed slot over agent turns</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0 to 1; lower is better</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Cosine measures use de-lexicalized all-MiniLM-L6-v2 embeddings. ARI follows Hubert and Arabie (1985). BERTScore (Zhang et al., 2020) is planned as a token-level check for the final report.</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Preliminary Results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RQ1: Clustering Algorithms and Primary Archetypes (Complete)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On the golden partition, Silhouette was nearly flat from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to 5 (.141 to .148), so the pre-specified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was retained (Table E2 and Figure E1).</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11 compares the algorithms. HDBSCAN produced the highest mean Silhouette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.211,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.044), followed by K-Means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.147,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.019) and agglomerative clustering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.118,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.040), and all three far exceeded the permutation baseline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−.013). The one-way ANOVA was significant,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156) = 91.33,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.54, and held under Welch's correction,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89.15) = 66.98,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and the Kruskal–Wallis test, </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rPr>
        <w:t xml:space="preserve">(2) = 86.82,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Every pairwise difference was significant under Tukey and Games–Howell comparisons (Table E3; runs plotted in Figure E2). The null hypothesis is rejected.</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Two qualifications matter. HDBSCAN's advantage depends on its settings: with the common minimum cluster size of 15 it found no clusters in 53 of 53 subsamples, and with a minimum of 5 it still labeled 39.1% of dialogues as noise and found 2 to 6 clusters (most often 2), so its higher Silhouette partly reflects fewer clusters. All Silhouette values are below .25, which indicates weak structure: archetypes are tendencies on a continuum. Because routing needs a stable number of archetypes and a centroid for every dialogue, K-Means with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defined the archetypes.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Cluster Quality by Algorithm</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244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Algorithm</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runs</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Silhouette </w:t>
            </w:r>
            <w:r>
              <w:rPr>
                <w:rFonts w:ascii="Times New Roman" w:hAnsi="Times New Roman" w:cs="Times New Roman" w:eastAsia="Times New Roman"/>
                <w:b w:val="0"/>
                <w:i/>
                <w:color w:val="000000"/>
                <w:sz w:val="20"/>
              </w:rPr>
              <w:t>M</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Silhouette </w:t>
            </w:r>
            <w:r>
              <w:rPr>
                <w:rFonts w:ascii="Times New Roman" w:hAnsi="Times New Roman" w:cs="Times New Roman" w:eastAsia="Times New Roman"/>
                <w:b w:val="0"/>
                <w:i/>
                <w:color w:val="000000"/>
                <w:sz w:val="20"/>
              </w:rPr>
              <w:t>SD</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Davies–Bouldin </w:t>
            </w:r>
            <w:r>
              <w:rPr>
                <w:rFonts w:ascii="Times New Roman" w:hAnsi="Times New Roman" w:cs="Times New Roman" w:eastAsia="Times New Roman"/>
                <w:b w:val="0"/>
                <w:i/>
                <w:color w:val="000000"/>
                <w:sz w:val="20"/>
              </w:rPr>
              <w:t>M</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Davies–Bouldin </w:t>
            </w:r>
            <w:r>
              <w:rPr>
                <w:rFonts w:ascii="Times New Roman" w:hAnsi="Times New Roman" w:cs="Times New Roman" w:eastAsia="Times New Roman"/>
                <w:b w:val="0"/>
                <w:i/>
                <w:color w:val="000000"/>
                <w:sz w:val="20"/>
              </w:rPr>
              <w:t>SD</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K-Means</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53</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.147</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.019</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3.129</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0.113</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Agglomerative (Ward)</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53</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.118</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.040</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3.550</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0.269</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HDBSCAN</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53</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.211</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.044</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2.657</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0.241</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Permutation baseline</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53</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−.013</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.006</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Each run clusters an independent random subsample of 500 golden dialogues. The permutation baseline shuffles K-Means labels within each subsample.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12 profiles the archetypes on features not used for clustering; names follow a fixed rule (most revisions = Constraint Negotiator; longer of the other two = Guided Explorer). Direct Transactional dialogues are short (9.9 turns) with almost no offers (0.84). Constraint Negotiators write the longest utterances and revise slot values most often (20.3). Guided Explorers form the largest group (50.2%) and have the longest dialogues (17.2 turns) but the shortest user utterances, indicating an agent-led search. Task success is high in every archetype, so they differ in how users converse rather than in whether they succeed.</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Archetype was associated with the Frames user role-player,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(20,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1,334) = 92.63,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Cramér's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.19, so individual role-player style contributes to the archetypes. The frozen centroids generalized within Frames: centroid similarity did not differ between golden and held-out dialogues,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(754.9) = 0.42,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.676, and held-out proportions matched the golden ones,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 4.69,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.096. They did not transfer to MultiWOZ: MultiWOZ dialogues were far less similar to their nearest Frames centroid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.805 vs. .894),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(576.2) = 38.29,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and 84.0% fell into one archetype (Table E4 and the UMAP projection in Figure E3), which supports keeping MultiWOZ descriptive.</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12</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Behavioral Profiles of the Three Primary Archetypes (Golden Partition)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16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Feature</w:t>
            </w:r>
          </w:p>
        </w:tc>
        <w:tc>
          <w:tcPr>
            <w:tcW w:type="dxa" w:w="2059"/>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Direct Transactional</w:t>
            </w:r>
          </w:p>
        </w:tc>
        <w:tc>
          <w:tcPr>
            <w:tcW w:type="dxa" w:w="2059"/>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Constraint Negotiator</w:t>
            </w:r>
          </w:p>
        </w:tc>
        <w:tc>
          <w:tcPr>
            <w:tcW w:type="dxa" w:w="207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Guided Explorer</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240 (25.7)</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225 (24.1)</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468 (50.2)</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 xml:space="preserve">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9.92 (5.02)</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15.64 (6.84)</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17.19 (6.10)</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Words per user utterance</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10.60</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12.94</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9.63</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Words per agent utterance</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11.67</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18.15</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15.71</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Slot-value revisions</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6.92</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20.32</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16.68</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Hesitation markers</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0.67</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1.15</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1.15</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Agent offers</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0.84</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4.28</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3.73</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Budget stated (%)</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63.7</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70.7</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75.4</w:t>
            </w:r>
          </w:p>
        </w:tc>
      </w:tr>
      <w:tr>
        <w:trPr>
          <w:cantSplit/>
        </w:trPr>
        <w:tc>
          <w:tcPr>
            <w:tcW w:type="dxa" w:w="316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Task success (%)</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92.1</w:t>
            </w:r>
          </w:p>
        </w:tc>
        <w:tc>
          <w:tcPr>
            <w:tcW w:type="dxa" w:w="2059"/>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94.2</w:t>
            </w:r>
          </w:p>
        </w:tc>
        <w:tc>
          <w:tcPr>
            <w:tcW w:type="dxa" w:w="207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95.3</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Values are means per dialogue unless stated. Revisions count changes of a slot's value across user and agent acts.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Interim answer.</w:t>
      </w:r>
      <w:r>
        <w:rPr>
          <w:rFonts w:ascii="Times New Roman" w:hAnsi="Times New Roman" w:cs="Times New Roman" w:eastAsia="Times New Roman"/>
          <w:b w:val="0"/>
          <w:i w:val="0"/>
          <w:color w:val="000000"/>
          <w:sz w:val="24"/>
        </w:rPr>
        <w:t xml:space="preserve"> The algorithms differ significantly with a large effect. HDBSCAN separates best but only with relaxed settings, heavy noise, and an unstable number of clusters, whereas K-Means gives a stable three-archetype solution that generalizes to held-out Frames dialogues but not to MultiWOZ. The pre-specified answer to RQ1 is the three primary archetypes, which were used in RQ2.</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RQ1 Sensitivity Analysis: Refined Archetypes (Complete)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Three diagnostics showed that the primary archetypes are a weak basis for routing: a router predicting the archetype from the first five turns reached only κ = .11 on held-out dialogues, the trajectory vectors mix user and agent behavior, and the archetypes are partly tied to role-players. With Gemini embeddings, the 159-run algorithm comparison reproduced the primary result with larger effects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.50 for turn vectors and .62 for document vectors, both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Table D3), so the answer to RQ1 does not depend on the embedding model. Restricting MiniLM vectors to user turns raised three-cluster stability from ARI = .72 to .87 and lowered the role-player association from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.19 to .12.</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On whole conversations the hybrid representation was unstable (best eligible solution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4, ARI = .67) and largely reproduced how the dialogue ended (three-cluster association with the rated outcome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.57), because late messages record the result of the search rather than the user's approach. Table 13 shows that truncating to the first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user messages solved this: three-cluster solutions were stable at every cut-off (ARI = .84 to .89), no solution with four or more clusters exceeded ARI = .69, and the outcome association rose with more messages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.16 at three to .45 at nine; all panels in Figure E4). The pre-declared rule selected the first nine user messages with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(ARI = .89; 93% core members that keep their archetype in at least 90% of 30 refits; smallest archetype 26%).</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13</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Stability, Routing, and Outcome Association of Hybrid Archetypes by Conversation Length</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170"/>
        <w:gridCol w:w="1170"/>
        <w:gridCol w:w="1170"/>
        <w:gridCol w:w="1170"/>
        <w:gridCol w:w="1170"/>
        <w:gridCol w:w="1170"/>
        <w:gridCol w:w="1170"/>
        <w:gridCol w:w="1170"/>
      </w:tblGrid>
      <w:tr>
        <w:trPr>
          <w:cantSplit/>
          <w:tblHeader/>
        </w:trPr>
        <w:tc>
          <w:tcPr>
            <w:tcW w:type="dxa" w:w="165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User messages used</w:t>
            </w:r>
          </w:p>
        </w:tc>
        <w:tc>
          <w:tcPr>
            <w:tcW w:type="dxa" w:w="122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Dialogues shortened (%)</w:t>
            </w:r>
          </w:p>
        </w:tc>
        <w:tc>
          <w:tcPr>
            <w:tcW w:type="dxa" w:w="10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Stability ARI</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Core members (%)</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Smallest cluster (%)</w:t>
            </w:r>
          </w:p>
        </w:tc>
        <w:tc>
          <w:tcPr>
            <w:tcW w:type="dxa" w:w="100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Routing κ</w:t>
            </w:r>
          </w:p>
        </w:tc>
        <w:tc>
          <w:tcPr>
            <w:tcW w:type="dxa" w:w="100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Outcome </w:t>
            </w:r>
            <w:r>
              <w:rPr>
                <w:rFonts w:ascii="Times New Roman" w:hAnsi="Times New Roman" w:cs="Times New Roman" w:eastAsia="Times New Roman"/>
                <w:b w:val="0"/>
                <w:i/>
                <w:color w:val="000000"/>
                <w:sz w:val="20"/>
              </w:rPr>
              <w:t>V</w:t>
            </w:r>
          </w:p>
        </w:tc>
        <w:tc>
          <w:tcPr>
            <w:tcW w:type="dxa" w:w="10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Best ARI,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 xml:space="preserve"> ≥ 4</w:t>
            </w:r>
          </w:p>
        </w:tc>
      </w:tr>
      <w:tr>
        <w:trPr>
          <w:cantSplit/>
        </w:trPr>
        <w:tc>
          <w:tcPr>
            <w:tcW w:type="dxa" w:w="16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3</w:t>
            </w:r>
          </w:p>
        </w:tc>
        <w:tc>
          <w:tcPr>
            <w:tcW w:type="dxa" w:w="122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94.7</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92.7</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18.3</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.16</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.67</w:t>
            </w:r>
          </w:p>
        </w:tc>
      </w:tr>
      <w:tr>
        <w:trPr>
          <w:cantSplit/>
        </w:trPr>
        <w:tc>
          <w:tcPr>
            <w:tcW w:type="dxa" w:w="16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5</w:t>
            </w:r>
          </w:p>
        </w:tc>
        <w:tc>
          <w:tcPr>
            <w:tcW w:type="dxa" w:w="122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78.2</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.84</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77.1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20.3</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.38</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.27</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.63</w:t>
            </w:r>
          </w:p>
        </w:tc>
      </w:tr>
      <w:tr>
        <w:trPr>
          <w:cantSplit/>
        </w:trPr>
        <w:tc>
          <w:tcPr>
            <w:tcW w:type="dxa" w:w="16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7</w:t>
            </w:r>
          </w:p>
        </w:tc>
        <w:tc>
          <w:tcPr>
            <w:tcW w:type="dxa" w:w="122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53.2</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.85</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89.9</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29.7</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.25</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.38</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.69</w:t>
            </w:r>
          </w:p>
        </w:tc>
      </w:tr>
      <w:tr>
        <w:trPr>
          <w:cantSplit/>
        </w:trPr>
        <w:tc>
          <w:tcPr>
            <w:tcW w:type="dxa" w:w="16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9</w:t>
            </w:r>
          </w:p>
        </w:tc>
        <w:tc>
          <w:tcPr>
            <w:tcW w:type="dxa" w:w="122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30.7</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93.1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25.5</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.24</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.45</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.63</w:t>
            </w:r>
          </w:p>
        </w:tc>
      </w:tr>
      <w:tr>
        <w:trPr>
          <w:cantSplit/>
        </w:trPr>
        <w:tc>
          <w:tcPr>
            <w:tcW w:type="dxa" w:w="16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Whole conversation</w:t>
            </w:r>
          </w:p>
        </w:tc>
        <w:tc>
          <w:tcPr>
            <w:tcW w:type="dxa" w:w="122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.62</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53.7</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7.9</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.57</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.67</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Values are for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on the golden partition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unless stated. Stability is the mean ARI between K-Means fits on 50 pairs of random 80% subsamples; core members keep their archetype in at least 90% of 30 refits. Routing κ compares the archetype of held-out dialogues with a logistic-regression prediction from their first five turns. Outcome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is Cramér's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with the LLM-rated outcome of the whole conversation. The adopted solution uses nine messages. ARI = adjusted Rand index.</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Table 14 profiles the refined archetypes; names follow a fixed rule (highest destination flexibility = Open Explorer; more decisive of the other two = Decisive Booker). Decisive Bookers (45.0%) are polite and decisive, pursue one specific trip (99%), and book in 90% of dialogues. Open Explorers (25.5%) are flexible about the destination, consider many alternatives, revise often, and have the longest dialogues (20.8 turns). Rigid-Constraint Seekers (29.5%) have a fixed destination and dates and ask few questions; their dialogues are short (10.6 turns) and end without a suitable option in 68% of cases. Frames task success does not distinguish them (Cramér's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.08).</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14</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Profiles of the Three Refined Archetypes (Golden Partition)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31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Feature</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Decisive Booker</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Open Explorer</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Rigid-Constraint Seeker</w:t>
            </w:r>
          </w:p>
        </w:tc>
      </w:tr>
      <w:tr>
        <w:trPr>
          <w:cantSplit/>
        </w:trPr>
        <w:tc>
          <w:tcPr>
            <w:tcW w:type="dxa" w:w="3312"/>
          </w:tcPr>
          <w:p>
            <w:pPr>
              <w:keepNext/>
              <w:widowControl/>
              <w:spacing w:line="240" w:lineRule="auto" w:before="40" w:after="4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420 (45.0)</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238 (25.5)</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275 (29.5)</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 xml:space="preserve">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14.49 (4.54)</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20.78 (6.95)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10.60 (5.73)</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 xml:space="preserve">User messages, </w:t>
            </w:r>
            <w:r>
              <w:rPr>
                <w:rFonts w:ascii="Times New Roman" w:hAnsi="Times New Roman" w:cs="Times New Roman" w:eastAsia="Times New Roman"/>
                <w:b w:val="0"/>
                <w:i/>
                <w:color w:val="000000"/>
                <w:sz w:val="20"/>
              </w:rPr>
              <w:t>M</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7.58</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10.73</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5.55</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Destination flexibility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2.54</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3.49</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2.20</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Date flexibility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2.57</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2.77</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2.18</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Exploration breadth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1.97</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2.96</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1.59</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Decisiveness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3.97</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2.58</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3.23</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Detail orientation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2.39</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2.87</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1.46</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Revision tendency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2.00</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3.03</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2.40</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Question asking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2.05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2.72</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1.43</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Politeness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4.26</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3.80</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3.07</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Price sensitivity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3.20</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3.18</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3.12</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Information given up front (1–5)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2.18</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1.82</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2.16</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Goal: explore destinations (%)</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0.5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39.1</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2.2</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Goal: book a specific trip (%)</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99.3</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50.8</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89.8</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Outcome: booked (%)</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90.5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68.1</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28.0</w:t>
            </w:r>
          </w:p>
        </w:tc>
      </w:tr>
      <w:tr>
        <w:trPr>
          <w:cantSplit/>
        </w:trPr>
        <w:tc>
          <w:tcPr>
            <w:tcW w:type="dxa" w:w="3312"/>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Outcome: no suitable option (%)</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6.2</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18.5</w:t>
            </w:r>
          </w:p>
        </w:tc>
        <w:tc>
          <w:tcPr>
            <w:tcW w:type="dxa" w:w="2016"/>
          </w:tcPr>
          <w:p>
            <w:pPr>
              <w:keepNext w:val="0"/>
              <w:widowControl/>
              <w:spacing w:line="240" w:lineRule="auto" w:before="40" w:after="40"/>
              <w:ind w:firstLine="0" w:left="0"/>
              <w:jc w:val="center"/>
            </w:pPr>
            <w:r>
              <w:rPr>
                <w:rFonts w:ascii="Times New Roman" w:hAnsi="Times New Roman" w:cs="Times New Roman" w:eastAsia="Times New Roman"/>
                <w:b w:val="0"/>
                <w:i w:val="0"/>
                <w:color w:val="000000"/>
                <w:sz w:val="20"/>
              </w:rPr>
              <w:t>68.0</w:t>
            </w:r>
          </w:p>
        </w:tc>
      </w:tr>
      <w:tr>
        <w:trPr>
          <w:cantSplit/>
        </w:trPr>
        <w:tc>
          <w:tcPr>
            <w:tcW w:type="dxa" w:w="331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Frames task success (%)</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94.5</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96.2</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92.0</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Ratings and goals are LLM annotations of the first nine user messages (the clustering input); outcomes are LLM annotations of the whole conversation and were not used for clustering.</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refined and primary archetypes overlap only partly (ARI = .20). On held-out dialogues the refined archetypes reproduced the golden proportions,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 0.93,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.628, and routing after five turns improved from κ = .11 to .24, which is still only fair. An ablation (Table E5) showed that truncation is the main driver of the gain: with the behavior profile, stability rose from ARI = .56 to .73 on whole conversations to .85 to .87 on nine messages; alternative representations agree only partly with the adopted labels (ARI = .14 to .45).</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Decision.</w:t>
      </w:r>
      <w:r>
        <w:rPr>
          <w:rFonts w:ascii="Times New Roman" w:hAnsi="Times New Roman" w:cs="Times New Roman" w:eastAsia="Times New Roman"/>
          <w:b w:val="0"/>
          <w:i w:val="0"/>
          <w:color w:val="000000"/>
          <w:sz w:val="24"/>
        </w:rPr>
        <w:t xml:space="preserve"> The primary archetypes remain the pre-specified answer to RQ1 and were used in RQ2. RQ3 and RQ4 use the refined archetypes because they are more stable, describe the user rather than the whole dialogue, and are recognized earlier; RQ2 will be repeated with them. They remain regions of a continuum (Silhouette only .033 above its permutation baseline) and partly capture whether a suitable package was available (outcome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.45).</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RQ2: Cluster-Adaptive Few-Shot Prompting (Complete)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pilot ran every step except the LLM call on the experimental sample (Tables E6 and E7; Figure E5). Routing from a three-turn prefix was correct for 12 of 33 dialogues (36.4%), close to the 33.3% expected by chance. Similarity-based retrieval found far more relevant exemplars than the static set (partial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.92), with global retrieval slightly ahead of cluster-adaptive retrieval. The style metric was valid but modest: human replies were closer to their own archetype's centroid than to the others,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(32) = 2.60,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.014,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color w:val="000000"/>
          <w:sz w:val="24"/>
          <w:vertAlign w:val="subscript"/>
        </w:rPr>
        <w:t>z</w:t>
      </w:r>
      <w:r>
        <w:rPr>
          <w:rFonts w:ascii="Times New Roman" w:hAnsi="Times New Roman" w:cs="Times New Roman" w:eastAsia="Times New Roman"/>
          <w:b w:val="0"/>
          <w:i w:val="0"/>
          <w:color w:val="000000"/>
          <w:sz w:val="24"/>
        </w:rPr>
        <w:t xml:space="preserve"> = .45.</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Table 15 shows the experimental results. Style convergence did not differ by condition,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(1.90, 60.95) = 1.08,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.342, partial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.03, and the Friedman test agreed,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 = 5.72,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.057. Zero-shot responses were descriptively closest to the target centroid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.519), the opposite of the hypothesized order, no Holm-adjusted contrast was significant (Table E8; Figure E6), and similarity to the human reply did not differ either. The null hypothesis for RQ2 is not rejected.</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exploratory length measure showed a large effect: zero-shot responses averaged 25.2 words, whereas static and cluster-adaptive responses averaged 10.6 and 12.3 words, close to the human replies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10.5), partial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.52; the two few-shot conditions did not differ from each other (Holm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.196).</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15</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Generated Responses by Prompting Condition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337"/>
        <w:gridCol w:w="1337"/>
        <w:gridCol w:w="1337"/>
        <w:gridCol w:w="1337"/>
        <w:gridCol w:w="1337"/>
        <w:gridCol w:w="1337"/>
        <w:gridCol w:w="1337"/>
      </w:tblGrid>
      <w:tr>
        <w:trPr>
          <w:cantSplit/>
          <w:tblHeader/>
        </w:trPr>
        <w:tc>
          <w:tcPr>
            <w:tcW w:type="dxa" w:w="25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Outcome</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Zero-shot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Static few-shot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Cluster-adaptive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79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F</w:t>
            </w:r>
          </w:p>
        </w:tc>
        <w:tc>
          <w:tcPr>
            <w:tcW w:type="dxa" w:w="79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p</w:t>
            </w:r>
          </w:p>
        </w:tc>
        <w:tc>
          <w:tcPr>
            <w:tcW w:type="dxa" w:w="9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p>
        </w:tc>
      </w:tr>
      <w:tr>
        <w:trPr>
          <w:cantSplit/>
        </w:trPr>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Style convergence (cosine)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.519 (.126)</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.491 (.109)</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.486 (.099)</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1.08</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.342</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.03</w:t>
            </w:r>
          </w:p>
        </w:tc>
      </w:tr>
      <w:tr>
        <w:trPr>
          <w:cantSplit/>
        </w:trPr>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Similarity to human reply (cosine)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.317 (.195)</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.325 (.223)</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.333 (.221)</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0.14</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.861</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r>
      <w:tr>
        <w:trPr>
          <w:cantSplit/>
        </w:trPr>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Response length (words)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25.2 (11.8)</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10.6 (7.0)</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12.3 (8.2)</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34.36</w:t>
            </w:r>
          </w:p>
        </w:tc>
        <w:tc>
          <w:tcPr>
            <w:tcW w:type="dxa" w:w="79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.52</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 held-out dialogues, each measured under all three conditions; gemini-2.5-flash.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values use the Greenhouse–Geisser correction. Response length is exploratory.</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Interim answer.</w:t>
      </w:r>
      <w:r>
        <w:rPr>
          <w:rFonts w:ascii="Times New Roman" w:hAnsi="Times New Roman" w:cs="Times New Roman" w:eastAsia="Times New Roman"/>
          <w:b w:val="0"/>
          <w:i w:val="0"/>
          <w:color w:val="000000"/>
          <w:sz w:val="24"/>
        </w:rPr>
        <w:t xml:space="preserve"> Any human examples move the model toward human pacing, but archetype-matched examples add nothing measurable beyond fixed examples. Two likely reasons are near-chance routing, so most dialogues received exemplars from the wrong archetype, and weak archetype separation with a modest style metric; the observed effect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0.18) is below the medium effect assumed in the power analysis.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RQ3: Rules Versus Prompting (Groundwork Complete)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rule engine passed all 14 boundary tests. The corpus audit (Table E9) shows that only two rules can be checked from Frames annotations: a user-stated number of adults appears in 24.1% of dialogues and triggers the capacity rule in 54, and a numeric budget appears in 65.1% and triggers the minimum-budget rule in 266. The visa, passport, and discount rules can never be triggered by public data, which is the empirical basis for injecting synthetic scenarios. RQ3 is not yet answered.</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RQ4: Turn Economy Across Archetypes (Groundwork Complete)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Table 16 gives the human baseline for all 1,334 Frames dialogues by refined archetype. Turn counts differed by archetype, </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rPr>
        <w:t xml:space="preserve">(2) = 433.22,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as expected by construction (distributions in Figure E7). Redundant elicitation was rare among human agents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.015, about one request in 66 agent turns) and did not differ by archetype, </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rPr>
        <w:t xml:space="preserve">(2) = 4.12,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.128. The synopsis expectation of reducing RER from .16 is therefore not supported; RER will instead be compared between the two LLM agents.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16</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Human Baseline of Turn Economy by Refined Archetype (Frames)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7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Archetype</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n</w:t>
            </w:r>
          </w:p>
        </w:tc>
        <w:tc>
          <w:tcPr>
            <w:tcW w:type="dxa" w:w="187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87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RER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Agent request turns </w:t>
            </w:r>
            <w:r>
              <w:rPr>
                <w:rFonts w:ascii="Times New Roman" w:hAnsi="Times New Roman" w:cs="Times New Roman" w:eastAsia="Times New Roman"/>
                <w:b w:val="0"/>
                <w:i/>
                <w:color w:val="000000"/>
                <w:sz w:val="20"/>
              </w:rPr>
              <w:t>M</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Decisive Booker</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595</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14.56 (4.52)</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.014 (.047)</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1.44</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Open Explorer</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337</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20.75 (7.07)</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.016 (.049)</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1.82</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Rigid-Constraint Seeker</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402</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10.60 (5.59)</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.017 (.061)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1.27</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RER = redundant elicitation rate. Archetypes for held-out dialogues were assigned with the K-Means model fitted on the golden partition.</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Interim Limitations and Risks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Archetypes are weakly separated (primary Silhouette &lt; .25; refined only .033 above the permutation baseline) and routing after five turns reaches only κ = .24, so routing errors dilute any effect of archetype-matched prompting. The primary archetypes are associated with role-players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.19) and the refined ones with the final outcome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.45), and other reasonable representations give partly different archetypes. The behavior ratings come from an LLM and were validated on whole conversations, RQ3 scenarios are synthetic, and RQ4 relies on a simulated user. Frames is role-play with fictional cities, so conclusions apply to vacation-package negotiation dialogues of this kind. The archetype definition was refined after the primary analysis (mitigated by a pre-declared rule and by reporting every configuration), and the observed RQ2 effect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.18) was smaller than the medium effect assumed for power.</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Project risks are API quota limits (mitigated by caching every response), weak routing (refined archetypes and a global nearest-neighbor condition), an unrealistic simulator (persona check), and schedule slippage (analysis ends in Week 8, leaving Weeks 9 and 10 as buffer).</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Next Steps</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w:t>
        <w:tab/>
        <w:t>Week 6: repeat RQ2 with the refined archetypes and global retrieval; prepare RQ3 scenarios.</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w:t>
        <w:tab/>
        <w:t>Week 7: run the RQ3 experiment (slot F1, exemplar leakage, rule adherence).</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w:t>
        <w:tab/>
        <w:t>Week 8: RQ4 simulation, persona and annotation-reliability checks, BERTScore, and robustness checks.</w:t>
      </w:r>
    </w:p>
    <w:p>
      <w:pPr>
        <w:keepNext w:val="0"/>
        <w:widowControl/>
        <w:tabs>
          <w:tab w:pos="1080" w:val="left"/>
        </w:tabs>
        <w:spacing w:line="480" w:lineRule="auto" w:before="0" w:after="0"/>
        <w:ind w:hanging="360" w:left="1080"/>
        <w:jc w:val="left"/>
      </w:pPr>
      <w:r>
        <w:rPr>
          <w:rFonts w:ascii="Times New Roman" w:hAnsi="Times New Roman" w:cs="Times New Roman" w:eastAsia="Times New Roman"/>
          <w:b w:val="0"/>
          <w:i w:val="0"/>
          <w:color w:val="000000"/>
          <w:sz w:val="24"/>
        </w:rPr>
        <w:t>•</w:t>
        <w:tab/>
        <w:t>Weeks 9 and 10: final presentation, final report, and repository release (Appendix B).</w:t>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References</w:t>
      </w:r>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Acikgoz, E. C., Guo, C., Dey, S., Datta, A., Kim, T., Tur, G., &amp; Hakkani-Tür, D. (2025). TD-EVAL: Revisiting task-oriented dialogue evaluation by combining turn-level precision with dialogue-level comparisons. In </w:t>
      </w:r>
      <w:r>
        <w:rPr>
          <w:rFonts w:ascii="Times New Roman" w:hAnsi="Times New Roman" w:cs="Times New Roman" w:eastAsia="Times New Roman"/>
          <w:b w:val="0"/>
          <w:i/>
          <w:color w:val="000000"/>
          <w:sz w:val="24"/>
        </w:rPr>
        <w:t>Proceedings of the 26th Annual Meeting of the Special Interest Group on Discourse and Dialogue</w:t>
      </w:r>
      <w:r>
        <w:rPr>
          <w:rFonts w:ascii="Times New Roman" w:hAnsi="Times New Roman" w:cs="Times New Roman" w:eastAsia="Times New Roman"/>
          <w:b w:val="0"/>
          <w:i w:val="0"/>
          <w:color w:val="000000"/>
          <w:sz w:val="24"/>
        </w:rPr>
        <w:t xml:space="preserve"> (pp. 113–132). Association for Computational Linguistics. </w:t>
      </w:r>
      <w:hyperlink r:id="rId15" w:history="1">
        <w:r>
          <w:rPr>
            <w:rFonts w:ascii="Times New Roman" w:hAnsi="Times New Roman" w:cs="Times New Roman" w:eastAsia="Times New Roman"/>
            <w:b w:val="0"/>
            <w:i w:val="0"/>
            <w:color w:val="000000"/>
            <w:sz w:val="24"/>
          </w:rPr>
          <w:t>https://doi.org/10.18653/v1/2025.sigdial-1.7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Brown, T. B., Mann, B., Ryder, N., Subbiah, M., Kaplan, J., Dhariwal, P., Neelakantan, A., Shyam, P., Sastry, G., Askell, A., Agarwal, S., Herbert-Voss, A., Krueger, G., Henighan, T., Child, R., Ramesh, A., Ziegler, D. M., Wu, J., Winter, C., . . . Amodei, D. (2020). Language models are few-shot learners. In </w:t>
      </w:r>
      <w:r>
        <w:rPr>
          <w:rFonts w:ascii="Times New Roman" w:hAnsi="Times New Roman" w:cs="Times New Roman" w:eastAsia="Times New Roman"/>
          <w:b w:val="0"/>
          <w:i/>
          <w:color w:val="000000"/>
          <w:sz w:val="24"/>
        </w:rPr>
        <w:t>Advances in Neural Information Processing Systems</w:t>
      </w:r>
      <w:r>
        <w:rPr>
          <w:rFonts w:ascii="Times New Roman" w:hAnsi="Times New Roman" w:cs="Times New Roman" w:eastAsia="Times New Roman"/>
          <w:b w:val="0"/>
          <w:i w:val="0"/>
          <w:color w:val="000000"/>
          <w:sz w:val="24"/>
        </w:rPr>
        <w:t xml:space="preserve"> (Vol. 33, pp. 1877–1901). Curran Associates. </w:t>
      </w:r>
      <w:hyperlink r:id="rId16" w:history="1">
        <w:r>
          <w:rPr>
            <w:rFonts w:ascii="Times New Roman" w:hAnsi="Times New Roman" w:cs="Times New Roman" w:eastAsia="Times New Roman"/>
            <w:b w:val="0"/>
            <w:i w:val="0"/>
            <w:color w:val="000000"/>
            <w:sz w:val="24"/>
          </w:rPr>
          <w:t>https://doi.org/10.48550/arXiv.2005.14165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Budzianowski, P., Wen, T.-H., Tseng, B.-H., Casanueva, I., Ultes, S., Ramadan, O., &amp; Gašić, M. (2018). MultiWOZ: A large-scale multi-domain Wizard-of-Oz dataset for task-oriented dialogue modelling. In </w:t>
      </w:r>
      <w:r>
        <w:rPr>
          <w:rFonts w:ascii="Times New Roman" w:hAnsi="Times New Roman" w:cs="Times New Roman" w:eastAsia="Times New Roman"/>
          <w:b w:val="0"/>
          <w:i/>
          <w:color w:val="000000"/>
          <w:sz w:val="24"/>
        </w:rPr>
        <w:t>Proceedings of the 2018 Conference on Empirical Methods in Natural Language Processing</w:t>
      </w:r>
      <w:r>
        <w:rPr>
          <w:rFonts w:ascii="Times New Roman" w:hAnsi="Times New Roman" w:cs="Times New Roman" w:eastAsia="Times New Roman"/>
          <w:b w:val="0"/>
          <w:i w:val="0"/>
          <w:color w:val="000000"/>
          <w:sz w:val="24"/>
        </w:rPr>
        <w:t xml:space="preserve"> (pp. 5016–5026). Association for Computational Linguistics. </w:t>
      </w:r>
      <w:hyperlink r:id="rId17" w:history="1">
        <w:r>
          <w:rPr>
            <w:rFonts w:ascii="Times New Roman" w:hAnsi="Times New Roman" w:cs="Times New Roman" w:eastAsia="Times New Roman"/>
            <w:b w:val="0"/>
            <w:i w:val="0"/>
            <w:color w:val="000000"/>
            <w:sz w:val="24"/>
          </w:rPr>
          <w:t>https://doi.org/10.18653/v1/D18-1547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Cohen, J. (1988). </w:t>
      </w:r>
      <w:r>
        <w:rPr>
          <w:rFonts w:ascii="Times New Roman" w:hAnsi="Times New Roman" w:cs="Times New Roman" w:eastAsia="Times New Roman"/>
          <w:b w:val="0"/>
          <w:i/>
          <w:color w:val="000000"/>
          <w:sz w:val="24"/>
        </w:rPr>
        <w:t>Statistical power analysis for the behavioral sciences</w:t>
      </w:r>
      <w:r>
        <w:rPr>
          <w:rFonts w:ascii="Times New Roman" w:hAnsi="Times New Roman" w:cs="Times New Roman" w:eastAsia="Times New Roman"/>
          <w:b w:val="0"/>
          <w:i w:val="0"/>
          <w:color w:val="000000"/>
          <w:sz w:val="24"/>
        </w:rPr>
        <w:t xml:space="preserve"> (2nd ed.). Lawrence Erlbaum Associates. </w:t>
      </w:r>
      <w:hyperlink r:id="rId18" w:history="1">
        <w:r>
          <w:rPr>
            <w:rFonts w:ascii="Times New Roman" w:hAnsi="Times New Roman" w:cs="Times New Roman" w:eastAsia="Times New Roman"/>
            <w:b w:val="0"/>
            <w:i w:val="0"/>
            <w:color w:val="000000"/>
            <w:sz w:val="24"/>
          </w:rPr>
          <w:t>https://doi.org/10.4324/9780203771587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Davies, D. L., &amp; Bouldin, D. W. (1979). A cluster separation measure. </w:t>
      </w:r>
      <w:r>
        <w:rPr>
          <w:rFonts w:ascii="Times New Roman" w:hAnsi="Times New Roman" w:cs="Times New Roman" w:eastAsia="Times New Roman"/>
          <w:b w:val="0"/>
          <w:i/>
          <w:color w:val="000000"/>
          <w:sz w:val="24"/>
        </w:rPr>
        <w:t>IEEE Transactions on Pattern Analysis and Machine Intelligence, PAMI-1</w:t>
      </w:r>
      <w:r>
        <w:rPr>
          <w:rFonts w:ascii="Times New Roman" w:hAnsi="Times New Roman" w:cs="Times New Roman" w:eastAsia="Times New Roman"/>
          <w:b w:val="0"/>
          <w:i w:val="0"/>
          <w:color w:val="000000"/>
          <w:sz w:val="24"/>
        </w:rPr>
        <w:t xml:space="preserve">(2), 224–227. </w:t>
      </w:r>
      <w:hyperlink r:id="rId19" w:history="1">
        <w:r>
          <w:rPr>
            <w:rFonts w:ascii="Times New Roman" w:hAnsi="Times New Roman" w:cs="Times New Roman" w:eastAsia="Times New Roman"/>
            <w:b w:val="0"/>
            <w:i w:val="0"/>
            <w:color w:val="000000"/>
            <w:sz w:val="24"/>
          </w:rPr>
          <w:t>https://doi.org/10.1109/TPAMI.1979.4766909</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El Asri, L., Schulz, H., Sharma, S., Zumer, J., Harris, J., Fine, E., Mehrotra, R., &amp; Suleman, K. (2017). Frames: A corpus for adding memory to goal-oriented dialogue systems. In </w:t>
      </w:r>
      <w:r>
        <w:rPr>
          <w:rFonts w:ascii="Times New Roman" w:hAnsi="Times New Roman" w:cs="Times New Roman" w:eastAsia="Times New Roman"/>
          <w:b w:val="0"/>
          <w:i/>
          <w:color w:val="000000"/>
          <w:sz w:val="24"/>
        </w:rPr>
        <w:t>Proceedings of the 18th Annual SIGdial Meeting on Discourse and Dialogue</w:t>
      </w:r>
      <w:r>
        <w:rPr>
          <w:rFonts w:ascii="Times New Roman" w:hAnsi="Times New Roman" w:cs="Times New Roman" w:eastAsia="Times New Roman"/>
          <w:b w:val="0"/>
          <w:i w:val="0"/>
          <w:color w:val="000000"/>
          <w:sz w:val="24"/>
        </w:rPr>
        <w:t xml:space="preserve"> (pp. 207–219). Association for Computational Linguistics. </w:t>
      </w:r>
      <w:hyperlink r:id="rId20" w:history="1">
        <w:r>
          <w:rPr>
            <w:rFonts w:ascii="Times New Roman" w:hAnsi="Times New Roman" w:cs="Times New Roman" w:eastAsia="Times New Roman"/>
            <w:b w:val="0"/>
            <w:i w:val="0"/>
            <w:color w:val="000000"/>
            <w:sz w:val="24"/>
          </w:rPr>
          <w:t>https://doi.org/10.18653/v1/W17-5526</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Faul, F., Erdfelder, E., Lang, A.-G., &amp; Buchner, A. (2007). G*Power 3: A flexible statistical power analysis program for the social, behavioral, and biomedical sciences. </w:t>
      </w:r>
      <w:r>
        <w:rPr>
          <w:rFonts w:ascii="Times New Roman" w:hAnsi="Times New Roman" w:cs="Times New Roman" w:eastAsia="Times New Roman"/>
          <w:b w:val="0"/>
          <w:i/>
          <w:color w:val="000000"/>
          <w:sz w:val="24"/>
        </w:rPr>
        <w:t>Behavior Research Methods, 39</w:t>
      </w:r>
      <w:r>
        <w:rPr>
          <w:rFonts w:ascii="Times New Roman" w:hAnsi="Times New Roman" w:cs="Times New Roman" w:eastAsia="Times New Roman"/>
          <w:b w:val="0"/>
          <w:i w:val="0"/>
          <w:color w:val="000000"/>
          <w:sz w:val="24"/>
        </w:rPr>
        <w:t xml:space="preserve">(2), 175–191. </w:t>
      </w:r>
      <w:hyperlink r:id="rId21" w:history="1">
        <w:r>
          <w:rPr>
            <w:rFonts w:ascii="Times New Roman" w:hAnsi="Times New Roman" w:cs="Times New Roman" w:eastAsia="Times New Roman"/>
            <w:b w:val="0"/>
            <w:i w:val="0"/>
            <w:color w:val="000000"/>
            <w:sz w:val="24"/>
          </w:rPr>
          <w:t>https://doi.org/10.3758/BF03193146</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Gilardi, F., Alizadeh, M., &amp; Kubli, M. (2023). ChatGPT outperforms crowd workers for text-annotation tasks. </w:t>
      </w:r>
      <w:r>
        <w:rPr>
          <w:rFonts w:ascii="Times New Roman" w:hAnsi="Times New Roman" w:cs="Times New Roman" w:eastAsia="Times New Roman"/>
          <w:b w:val="0"/>
          <w:i/>
          <w:color w:val="000000"/>
          <w:sz w:val="24"/>
        </w:rPr>
        <w:t>Proceedings of the National Academy of Sciences, 120</w:t>
      </w:r>
      <w:r>
        <w:rPr>
          <w:rFonts w:ascii="Times New Roman" w:hAnsi="Times New Roman" w:cs="Times New Roman" w:eastAsia="Times New Roman"/>
          <w:b w:val="0"/>
          <w:i w:val="0"/>
          <w:color w:val="000000"/>
          <w:sz w:val="24"/>
        </w:rPr>
        <w:t xml:space="preserve">(30), Article e2305016120. </w:t>
      </w:r>
      <w:hyperlink r:id="rId22" w:history="1">
        <w:r>
          <w:rPr>
            <w:rFonts w:ascii="Times New Roman" w:hAnsi="Times New Roman" w:cs="Times New Roman" w:eastAsia="Times New Roman"/>
            <w:b w:val="0"/>
            <w:i w:val="0"/>
            <w:color w:val="000000"/>
            <w:sz w:val="24"/>
          </w:rPr>
          <w:t>https://doi.org/10.1073/pnas.2305016120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Greenhouse, S. W., &amp; Geisser, S. (1959). On methods in the analysis of profile data. </w:t>
      </w:r>
      <w:r>
        <w:rPr>
          <w:rFonts w:ascii="Times New Roman" w:hAnsi="Times New Roman" w:cs="Times New Roman" w:eastAsia="Times New Roman"/>
          <w:b w:val="0"/>
          <w:i/>
          <w:color w:val="000000"/>
          <w:sz w:val="24"/>
        </w:rPr>
        <w:t>Psychometrika, 24</w:t>
      </w:r>
      <w:r>
        <w:rPr>
          <w:rFonts w:ascii="Times New Roman" w:hAnsi="Times New Roman" w:cs="Times New Roman" w:eastAsia="Times New Roman"/>
          <w:b w:val="0"/>
          <w:i w:val="0"/>
          <w:color w:val="000000"/>
          <w:sz w:val="24"/>
        </w:rPr>
        <w:t xml:space="preserve">(2), 95–112. </w:t>
      </w:r>
      <w:hyperlink r:id="rId23" w:history="1">
        <w:r>
          <w:rPr>
            <w:rFonts w:ascii="Times New Roman" w:hAnsi="Times New Roman" w:cs="Times New Roman" w:eastAsia="Times New Roman"/>
            <w:b w:val="0"/>
            <w:i w:val="0"/>
            <w:color w:val="000000"/>
            <w:sz w:val="24"/>
          </w:rPr>
          <w:t>https://doi.org/10.1007/BF02289823</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Hennig, C. (2007). Cluster-wise assessment of cluster stability. </w:t>
      </w:r>
      <w:r>
        <w:rPr>
          <w:rFonts w:ascii="Times New Roman" w:hAnsi="Times New Roman" w:cs="Times New Roman" w:eastAsia="Times New Roman"/>
          <w:b w:val="0"/>
          <w:i/>
          <w:color w:val="000000"/>
          <w:sz w:val="24"/>
        </w:rPr>
        <w:t>Computational Statistics &amp; Data Analysis, 52</w:t>
      </w:r>
      <w:r>
        <w:rPr>
          <w:rFonts w:ascii="Times New Roman" w:hAnsi="Times New Roman" w:cs="Times New Roman" w:eastAsia="Times New Roman"/>
          <w:b w:val="0"/>
          <w:i w:val="0"/>
          <w:color w:val="000000"/>
          <w:sz w:val="24"/>
        </w:rPr>
        <w:t xml:space="preserve">(1), 258–271. </w:t>
      </w:r>
      <w:hyperlink r:id="rId24" w:history="1">
        <w:r>
          <w:rPr>
            <w:rFonts w:ascii="Times New Roman" w:hAnsi="Times New Roman" w:cs="Times New Roman" w:eastAsia="Times New Roman"/>
            <w:b w:val="0"/>
            <w:i w:val="0"/>
            <w:color w:val="000000"/>
            <w:sz w:val="24"/>
          </w:rPr>
          <w:t>https://doi.org/10.1016/j.csda.2006.11.025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Hubert, L., &amp; Arabie, P. (1985). Comparing partitions. </w:t>
      </w:r>
      <w:r>
        <w:rPr>
          <w:rFonts w:ascii="Times New Roman" w:hAnsi="Times New Roman" w:cs="Times New Roman" w:eastAsia="Times New Roman"/>
          <w:b w:val="0"/>
          <w:i/>
          <w:color w:val="000000"/>
          <w:sz w:val="24"/>
        </w:rPr>
        <w:t>Journal of Classification, 2</w:t>
      </w:r>
      <w:r>
        <w:rPr>
          <w:rFonts w:ascii="Times New Roman" w:hAnsi="Times New Roman" w:cs="Times New Roman" w:eastAsia="Times New Roman"/>
          <w:b w:val="0"/>
          <w:i w:val="0"/>
          <w:color w:val="000000"/>
          <w:sz w:val="24"/>
        </w:rPr>
        <w:t xml:space="preserve">(1), 193–218. </w:t>
      </w:r>
      <w:hyperlink r:id="rId25" w:history="1">
        <w:r>
          <w:rPr>
            <w:rFonts w:ascii="Times New Roman" w:hAnsi="Times New Roman" w:cs="Times New Roman" w:eastAsia="Times New Roman"/>
            <w:b w:val="0"/>
            <w:i w:val="0"/>
            <w:color w:val="000000"/>
            <w:sz w:val="24"/>
          </w:rPr>
          <w:t>https://doi.org/10.1007/BF01908075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Inaba, M., Chiba, Y., Higashinaka, R., Komatani, K., Miyao, Y., &amp; Nagai, T. (2022). Collection and analysis of travel agency task dialogues with age-diverse speakers. In </w:t>
      </w:r>
      <w:r>
        <w:rPr>
          <w:rFonts w:ascii="Times New Roman" w:hAnsi="Times New Roman" w:cs="Times New Roman" w:eastAsia="Times New Roman"/>
          <w:b w:val="0"/>
          <w:i/>
          <w:color w:val="000000"/>
          <w:sz w:val="24"/>
        </w:rPr>
        <w:t>Proceedings of the Thirteenth Language Resources and Evaluation Conference</w:t>
      </w:r>
      <w:r>
        <w:rPr>
          <w:rFonts w:ascii="Times New Roman" w:hAnsi="Times New Roman" w:cs="Times New Roman" w:eastAsia="Times New Roman"/>
          <w:b w:val="0"/>
          <w:i w:val="0"/>
          <w:color w:val="000000"/>
          <w:sz w:val="24"/>
        </w:rPr>
        <w:t xml:space="preserve"> (pp. 5759–5767). European Language Resources Association. </w:t>
      </w:r>
      <w:hyperlink r:id="rId26" w:history="1">
        <w:r>
          <w:rPr>
            <w:rFonts w:ascii="Times New Roman" w:hAnsi="Times New Roman" w:cs="Times New Roman" w:eastAsia="Times New Roman"/>
            <w:b w:val="0"/>
            <w:i w:val="0"/>
            <w:color w:val="000000"/>
            <w:sz w:val="24"/>
          </w:rPr>
          <w:t>https://aclanthology.org/2022.lrec-1.619</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Jannach, D., Manzoor, A., Cai, W., &amp; Chen, L. (2021). A survey on conversational recommender systems. </w:t>
      </w:r>
      <w:r>
        <w:rPr>
          <w:rFonts w:ascii="Times New Roman" w:hAnsi="Times New Roman" w:cs="Times New Roman" w:eastAsia="Times New Roman"/>
          <w:b w:val="0"/>
          <w:i/>
          <w:color w:val="000000"/>
          <w:sz w:val="24"/>
        </w:rPr>
        <w:t>ACM Computing Surveys, 54</w:t>
      </w:r>
      <w:r>
        <w:rPr>
          <w:rFonts w:ascii="Times New Roman" w:hAnsi="Times New Roman" w:cs="Times New Roman" w:eastAsia="Times New Roman"/>
          <w:b w:val="0"/>
          <w:i w:val="0"/>
          <w:color w:val="000000"/>
          <w:sz w:val="24"/>
        </w:rPr>
        <w:t xml:space="preserve">(5), Article 105. </w:t>
      </w:r>
      <w:hyperlink r:id="rId27" w:history="1">
        <w:r>
          <w:rPr>
            <w:rFonts w:ascii="Times New Roman" w:hAnsi="Times New Roman" w:cs="Times New Roman" w:eastAsia="Times New Roman"/>
            <w:b w:val="0"/>
            <w:i w:val="0"/>
            <w:color w:val="000000"/>
            <w:sz w:val="24"/>
          </w:rPr>
          <w:t>https://doi.org/10.1145/3453154</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Johnson, J., Douze, M., &amp; Jégou, H. (2021). Billion-scale similarity search with GPUs. </w:t>
      </w:r>
      <w:r>
        <w:rPr>
          <w:rFonts w:ascii="Times New Roman" w:hAnsi="Times New Roman" w:cs="Times New Roman" w:eastAsia="Times New Roman"/>
          <w:b w:val="0"/>
          <w:i/>
          <w:color w:val="000000"/>
          <w:sz w:val="24"/>
        </w:rPr>
        <w:t>IEEE Transactions on Big Data, 7</w:t>
      </w:r>
      <w:r>
        <w:rPr>
          <w:rFonts w:ascii="Times New Roman" w:hAnsi="Times New Roman" w:cs="Times New Roman" w:eastAsia="Times New Roman"/>
          <w:b w:val="0"/>
          <w:i w:val="0"/>
          <w:color w:val="000000"/>
          <w:sz w:val="24"/>
        </w:rPr>
        <w:t xml:space="preserve">(3), 535–547. </w:t>
      </w:r>
      <w:hyperlink r:id="rId28" w:history="1">
        <w:r>
          <w:rPr>
            <w:rFonts w:ascii="Times New Roman" w:hAnsi="Times New Roman" w:cs="Times New Roman" w:eastAsia="Times New Roman"/>
            <w:b w:val="0"/>
            <w:i w:val="0"/>
            <w:color w:val="000000"/>
            <w:sz w:val="24"/>
          </w:rPr>
          <w:t>https://doi.org/10.1109/TBDATA.2019.2921572</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Lee, J., Chen, F., Dua, S., Cer, D., Shanbhogue, M., Naim, I., Hernández Ábrego, G., Li, Z., Chen, K., Schechter Vera, H., Ren, X., Zhang, S., Salz, D., Boratko, M., Han, J., Chen, B., Huang, S., Rao, V., Suganthan, P., . . . Duerig, T. (2025). </w:t>
      </w:r>
      <w:r>
        <w:rPr>
          <w:rFonts w:ascii="Times New Roman" w:hAnsi="Times New Roman" w:cs="Times New Roman" w:eastAsia="Times New Roman"/>
          <w:b w:val="0"/>
          <w:i/>
          <w:color w:val="000000"/>
          <w:sz w:val="24"/>
        </w:rPr>
        <w:t>Gemini embedding: Generalizable embeddings from Gemini</w:t>
      </w:r>
      <w:r>
        <w:rPr>
          <w:rFonts w:ascii="Times New Roman" w:hAnsi="Times New Roman" w:cs="Times New Roman" w:eastAsia="Times New Roman"/>
          <w:b w:val="0"/>
          <w:i w:val="0"/>
          <w:color w:val="000000"/>
          <w:sz w:val="24"/>
        </w:rPr>
        <w:t xml:space="preserve"> (arXiv:2503.07891). arXiv. </w:t>
      </w:r>
      <w:hyperlink r:id="rId29" w:history="1">
        <w:r>
          <w:rPr>
            <w:rFonts w:ascii="Times New Roman" w:hAnsi="Times New Roman" w:cs="Times New Roman" w:eastAsia="Times New Roman"/>
            <w:b w:val="0"/>
            <w:i w:val="0"/>
            <w:color w:val="000000"/>
            <w:sz w:val="24"/>
          </w:rPr>
          <w:t>https://doi.org/10.48550/arXiv.2503.07891</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Liu, J., Shen, D., Zhang, Y., Dolan, B., Carin, L., &amp; Chen, W. (2022). What makes good in-context examples for GPT-3? In </w:t>
      </w:r>
      <w:r>
        <w:rPr>
          <w:rFonts w:ascii="Times New Roman" w:hAnsi="Times New Roman" w:cs="Times New Roman" w:eastAsia="Times New Roman"/>
          <w:b w:val="0"/>
          <w:i/>
          <w:color w:val="000000"/>
          <w:sz w:val="24"/>
        </w:rPr>
        <w:t>Proceedings of Deep Learning Inside Out (DeeLIO 2022): The 3rd Workshop on Knowledge Extraction and Integration for Deep Learning Architectures</w:t>
      </w:r>
      <w:r>
        <w:rPr>
          <w:rFonts w:ascii="Times New Roman" w:hAnsi="Times New Roman" w:cs="Times New Roman" w:eastAsia="Times New Roman"/>
          <w:b w:val="0"/>
          <w:i w:val="0"/>
          <w:color w:val="000000"/>
          <w:sz w:val="24"/>
        </w:rPr>
        <w:t xml:space="preserve"> (pp. 100–114). Association for Computational Linguistics. </w:t>
      </w:r>
      <w:hyperlink r:id="rId30" w:history="1">
        <w:r>
          <w:rPr>
            <w:rFonts w:ascii="Times New Roman" w:hAnsi="Times New Roman" w:cs="Times New Roman" w:eastAsia="Times New Roman"/>
            <w:b w:val="0"/>
            <w:i w:val="0"/>
            <w:color w:val="000000"/>
            <w:sz w:val="24"/>
          </w:rPr>
          <w:t>https://doi.org/10.18653/v1/2022.deelio-1.10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McInnes, L., Healy, J., &amp; Astels, S. (2017). hdbscan: Hierarchical density based clustering. </w:t>
      </w:r>
      <w:r>
        <w:rPr>
          <w:rFonts w:ascii="Times New Roman" w:hAnsi="Times New Roman" w:cs="Times New Roman" w:eastAsia="Times New Roman"/>
          <w:b w:val="0"/>
          <w:i/>
          <w:color w:val="000000"/>
          <w:sz w:val="24"/>
        </w:rPr>
        <w:t>Journal of Open Source Software, 2</w:t>
      </w:r>
      <w:r>
        <w:rPr>
          <w:rFonts w:ascii="Times New Roman" w:hAnsi="Times New Roman" w:cs="Times New Roman" w:eastAsia="Times New Roman"/>
          <w:b w:val="0"/>
          <w:i w:val="0"/>
          <w:color w:val="000000"/>
          <w:sz w:val="24"/>
        </w:rPr>
        <w:t xml:space="preserve">(11), Article 205. </w:t>
      </w:r>
      <w:hyperlink r:id="rId31" w:history="1">
        <w:r>
          <w:rPr>
            <w:rFonts w:ascii="Times New Roman" w:hAnsi="Times New Roman" w:cs="Times New Roman" w:eastAsia="Times New Roman"/>
            <w:b w:val="0"/>
            <w:i w:val="0"/>
            <w:color w:val="000000"/>
            <w:sz w:val="24"/>
          </w:rPr>
          <w:t>https://doi.org/10.21105/joss.00205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McInnes, L., Healy, J., &amp; Melville, J. (2018). </w:t>
      </w:r>
      <w:r>
        <w:rPr>
          <w:rFonts w:ascii="Times New Roman" w:hAnsi="Times New Roman" w:cs="Times New Roman" w:eastAsia="Times New Roman"/>
          <w:b w:val="0"/>
          <w:i/>
          <w:color w:val="000000"/>
          <w:sz w:val="24"/>
        </w:rPr>
        <w:t>UMAP: Uniform manifold approximation and projection for dimension reduction</w:t>
      </w:r>
      <w:r>
        <w:rPr>
          <w:rFonts w:ascii="Times New Roman" w:hAnsi="Times New Roman" w:cs="Times New Roman" w:eastAsia="Times New Roman"/>
          <w:b w:val="0"/>
          <w:i w:val="0"/>
          <w:color w:val="000000"/>
          <w:sz w:val="24"/>
        </w:rPr>
        <w:t xml:space="preserve"> (arXiv:1802.03426). arXiv. </w:t>
      </w:r>
      <w:hyperlink r:id="rId32" w:history="1">
        <w:r>
          <w:rPr>
            <w:rFonts w:ascii="Times New Roman" w:hAnsi="Times New Roman" w:cs="Times New Roman" w:eastAsia="Times New Roman"/>
            <w:b w:val="0"/>
            <w:i w:val="0"/>
            <w:color w:val="000000"/>
            <w:sz w:val="24"/>
          </w:rPr>
          <w:t>https://doi.org/10.48550/arXiv.1802.03426</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Times New Roman"/>
          <w:b w:val="0"/>
          <w:i/>
          <w:color w:val="000000"/>
          <w:sz w:val="24"/>
        </w:rPr>
        <w:t>Journal of Machine Learning Research, 12</w:t>
      </w:r>
      <w:r>
        <w:rPr>
          <w:rFonts w:ascii="Times New Roman" w:hAnsi="Times New Roman" w:cs="Times New Roman" w:eastAsia="Times New Roman"/>
          <w:b w:val="0"/>
          <w:i w:val="0"/>
          <w:color w:val="000000"/>
          <w:sz w:val="24"/>
        </w:rPr>
        <w:t xml:space="preserve">, 2825–2830. </w:t>
      </w:r>
      <w:hyperlink r:id="rId33" w:history="1">
        <w:r>
          <w:rPr>
            <w:rFonts w:ascii="Times New Roman" w:hAnsi="Times New Roman" w:cs="Times New Roman" w:eastAsia="Times New Roman"/>
            <w:b w:val="0"/>
            <w:i w:val="0"/>
            <w:color w:val="000000"/>
            <w:sz w:val="24"/>
          </w:rPr>
          <w:t>https://jmlr.org/papers/v12/pedregosa11a.html</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Rebedea, T., Dinu, R., Sreedhar, M. N., Parisien, C., &amp; Cohen, J. (2023). NeMo Guardrails: A toolkit for controllable and safe LLM applications with programmable rails. In </w:t>
      </w:r>
      <w:r>
        <w:rPr>
          <w:rFonts w:ascii="Times New Roman" w:hAnsi="Times New Roman" w:cs="Times New Roman" w:eastAsia="Times New Roman"/>
          <w:b w:val="0"/>
          <w:i/>
          <w:color w:val="000000"/>
          <w:sz w:val="24"/>
        </w:rPr>
        <w:t>Proceedings of the 2023 Conference on Empirical Methods in Natural Language Processing: System Demonstrations</w:t>
      </w:r>
      <w:r>
        <w:rPr>
          <w:rFonts w:ascii="Times New Roman" w:hAnsi="Times New Roman" w:cs="Times New Roman" w:eastAsia="Times New Roman"/>
          <w:b w:val="0"/>
          <w:i w:val="0"/>
          <w:color w:val="000000"/>
          <w:sz w:val="24"/>
        </w:rPr>
        <w:t xml:space="preserve"> (pp. 431–445). Association for Computational Linguistics. </w:t>
      </w:r>
      <w:hyperlink r:id="rId34" w:history="1">
        <w:r>
          <w:rPr>
            <w:rFonts w:ascii="Times New Roman" w:hAnsi="Times New Roman" w:cs="Times New Roman" w:eastAsia="Times New Roman"/>
            <w:b w:val="0"/>
            <w:i w:val="0"/>
            <w:color w:val="000000"/>
            <w:sz w:val="24"/>
          </w:rPr>
          <w:t>https://doi.org/10.18653/v1/2023.emnlp-demo.40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Reimers, N., &amp; Gurevych, I. (2019). Sentence-BERT: Sentence embeddings using Siamese BERT-networks. In </w:t>
      </w:r>
      <w:r>
        <w:rPr>
          <w:rFonts w:ascii="Times New Roman" w:hAnsi="Times New Roman" w:cs="Times New Roman" w:eastAsia="Times New Roman"/>
          <w:b w:val="0"/>
          <w:i/>
          <w:color w:val="000000"/>
          <w:sz w:val="24"/>
        </w:rPr>
        <w:t>Proceedings of the 2019 Conference on Empirical Methods in Natural Language Processing and the 9th International Joint Conference on Natural Language Processing</w:t>
      </w:r>
      <w:r>
        <w:rPr>
          <w:rFonts w:ascii="Times New Roman" w:hAnsi="Times New Roman" w:cs="Times New Roman" w:eastAsia="Times New Roman"/>
          <w:b w:val="0"/>
          <w:i w:val="0"/>
          <w:color w:val="000000"/>
          <w:sz w:val="24"/>
        </w:rPr>
        <w:t xml:space="preserve"> (pp. 3982–3992). Association for Computational Linguistics. </w:t>
      </w:r>
      <w:hyperlink r:id="rId35" w:history="1">
        <w:r>
          <w:rPr>
            <w:rFonts w:ascii="Times New Roman" w:hAnsi="Times New Roman" w:cs="Times New Roman" w:eastAsia="Times New Roman"/>
            <w:b w:val="0"/>
            <w:i w:val="0"/>
            <w:color w:val="000000"/>
            <w:sz w:val="24"/>
          </w:rPr>
          <w:t>https://doi.org/10.18653/v1/D19-1410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Rousseeuw, P. J. (1987). Silhouettes: A graphical aid to the interpretation and validation of cluster analysis. </w:t>
      </w:r>
      <w:r>
        <w:rPr>
          <w:rFonts w:ascii="Times New Roman" w:hAnsi="Times New Roman" w:cs="Times New Roman" w:eastAsia="Times New Roman"/>
          <w:b w:val="0"/>
          <w:i/>
          <w:color w:val="000000"/>
          <w:sz w:val="24"/>
        </w:rPr>
        <w:t>Journal of Computational and Applied Mathematics, 20</w:t>
      </w:r>
      <w:r>
        <w:rPr>
          <w:rFonts w:ascii="Times New Roman" w:hAnsi="Times New Roman" w:cs="Times New Roman" w:eastAsia="Times New Roman"/>
          <w:b w:val="0"/>
          <w:i w:val="0"/>
          <w:color w:val="000000"/>
          <w:sz w:val="24"/>
        </w:rPr>
        <w:t xml:space="preserve">, 53–65. </w:t>
      </w:r>
      <w:hyperlink r:id="rId36" w:history="1">
        <w:r>
          <w:rPr>
            <w:rFonts w:ascii="Times New Roman" w:hAnsi="Times New Roman" w:cs="Times New Roman" w:eastAsia="Times New Roman"/>
            <w:b w:val="0"/>
            <w:i w:val="0"/>
            <w:color w:val="000000"/>
            <w:sz w:val="24"/>
          </w:rPr>
          <w:t>https://doi.org/10.1016/0377-0427(87)90125-7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Seabold, S., &amp; Perktold, J. (2010). Statsmodels: Econometric and statistical modeling with Python. In </w:t>
      </w:r>
      <w:r>
        <w:rPr>
          <w:rFonts w:ascii="Times New Roman" w:hAnsi="Times New Roman" w:cs="Times New Roman" w:eastAsia="Times New Roman"/>
          <w:b w:val="0"/>
          <w:i/>
          <w:color w:val="000000"/>
          <w:sz w:val="24"/>
        </w:rPr>
        <w:t>Proceedings of the 9th Python in Science Conference</w:t>
      </w:r>
      <w:r>
        <w:rPr>
          <w:rFonts w:ascii="Times New Roman" w:hAnsi="Times New Roman" w:cs="Times New Roman" w:eastAsia="Times New Roman"/>
          <w:b w:val="0"/>
          <w:i w:val="0"/>
          <w:color w:val="000000"/>
          <w:sz w:val="24"/>
        </w:rPr>
        <w:t xml:space="preserve"> (pp. 92–96). SciPy. </w:t>
      </w:r>
      <w:hyperlink r:id="rId37" w:history="1">
        <w:r>
          <w:rPr>
            <w:rFonts w:ascii="Times New Roman" w:hAnsi="Times New Roman" w:cs="Times New Roman" w:eastAsia="Times New Roman"/>
            <w:b w:val="0"/>
            <w:i w:val="0"/>
            <w:color w:val="000000"/>
            <w:sz w:val="24"/>
          </w:rPr>
          <w:t>https://doi.org/10.25080/Majora-92bf1922-011</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Yao, S., Shinn, N., Razavi, P., &amp; Narasimhan, K. (2024). </w:t>
      </w:r>
      <w:r>
        <w:rPr>
          <w:rFonts w:ascii="Times New Roman" w:hAnsi="Times New Roman" w:cs="Times New Roman" w:eastAsia="Times New Roman"/>
          <w:b w:val="0"/>
          <w:i/>
          <w:color w:val="000000"/>
          <w:sz w:val="24"/>
        </w:rPr>
        <w:t>τ-bench: A benchmark for tool-agent-user interaction in real-world domains</w:t>
      </w:r>
      <w:r>
        <w:rPr>
          <w:rFonts w:ascii="Times New Roman" w:hAnsi="Times New Roman" w:cs="Times New Roman" w:eastAsia="Times New Roman"/>
          <w:b w:val="0"/>
          <w:i w:val="0"/>
          <w:color w:val="000000"/>
          <w:sz w:val="24"/>
        </w:rPr>
        <w:t xml:space="preserve"> (arXiv:2406.12045). arXiv. </w:t>
      </w:r>
      <w:hyperlink r:id="rId38" w:history="1">
        <w:r>
          <w:rPr>
            <w:rFonts w:ascii="Times New Roman" w:hAnsi="Times New Roman" w:cs="Times New Roman" w:eastAsia="Times New Roman"/>
            <w:b w:val="0"/>
            <w:i w:val="0"/>
            <w:color w:val="000000"/>
            <w:sz w:val="24"/>
          </w:rPr>
          <w:t>https://doi.org/10.48550/arXiv.2406.12045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Zang, X., Rastogi, A., Sunkara, S., Gupta, R., Zhang, J., &amp; Chen, J. (2020). MultiWOZ 2.2: A dialogue dataset with additional annotation corrections and state tracking baselines. In </w:t>
      </w:r>
      <w:r>
        <w:rPr>
          <w:rFonts w:ascii="Times New Roman" w:hAnsi="Times New Roman" w:cs="Times New Roman" w:eastAsia="Times New Roman"/>
          <w:b w:val="0"/>
          <w:i/>
          <w:color w:val="000000"/>
          <w:sz w:val="24"/>
        </w:rPr>
        <w:t>Proceedings of the 2nd Workshop on Natural Language Processing for Conversational AI</w:t>
      </w:r>
      <w:r>
        <w:rPr>
          <w:rFonts w:ascii="Times New Roman" w:hAnsi="Times New Roman" w:cs="Times New Roman" w:eastAsia="Times New Roman"/>
          <w:b w:val="0"/>
          <w:i w:val="0"/>
          <w:color w:val="000000"/>
          <w:sz w:val="24"/>
        </w:rPr>
        <w:t xml:space="preserve"> (pp. 109–117). Association for Computational Linguistics. </w:t>
      </w:r>
      <w:hyperlink r:id="rId39" w:history="1">
        <w:r>
          <w:rPr>
            <w:rFonts w:ascii="Times New Roman" w:hAnsi="Times New Roman" w:cs="Times New Roman" w:eastAsia="Times New Roman"/>
            <w:b w:val="0"/>
            <w:i w:val="0"/>
            <w:color w:val="000000"/>
            <w:sz w:val="24"/>
          </w:rPr>
          <w:t>https://doi.org/10.18653/v1/2020.nlp4convai-1.13</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Zhang, T., Kishore, V., Wu, F., Weinberger, K. Q., &amp; Artzi, Y. (2020). BERTScore: Evaluating text generation with BERT. In </w:t>
      </w:r>
      <w:r>
        <w:rPr>
          <w:rFonts w:ascii="Times New Roman" w:hAnsi="Times New Roman" w:cs="Times New Roman" w:eastAsia="Times New Roman"/>
          <w:b w:val="0"/>
          <w:i/>
          <w:color w:val="000000"/>
          <w:sz w:val="24"/>
        </w:rPr>
        <w:t>Proceedings of the 8th International Conference on Learning Representations</w:t>
      </w:r>
      <w:r>
        <w:rPr>
          <w:rFonts w:ascii="Times New Roman" w:hAnsi="Times New Roman" w:cs="Times New Roman" w:eastAsia="Times New Roman"/>
          <w:b w:val="0"/>
          <w:i w:val="0"/>
          <w:color w:val="000000"/>
          <w:sz w:val="24"/>
        </w:rPr>
        <w:t xml:space="preserve">. OpenReview. </w:t>
      </w:r>
      <w:hyperlink r:id="rId40" w:history="1">
        <w:r>
          <w:rPr>
            <w:rFonts w:ascii="Times New Roman" w:hAnsi="Times New Roman" w:cs="Times New Roman" w:eastAsia="Times New Roman"/>
            <w:b w:val="0"/>
            <w:i w:val="0"/>
            <w:color w:val="000000"/>
            <w:sz w:val="24"/>
          </w:rPr>
          <w:t>https://openreview.net/forum?id=SkeHuCVFDr</w:t>
        </w:r>
      </w:hyperlink>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A</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Repository Structure and Replication Guide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All materials are available at </w:t>
      </w:r>
      <w:hyperlink r:id="rId10" w:history="1">
        <w:r>
          <w:rPr>
            <w:rFonts w:ascii="Times New Roman" w:hAnsi="Times New Roman" w:cs="Times New Roman" w:eastAsia="Times New Roman"/>
            <w:b w:val="0"/>
            <w:i w:val="0"/>
            <w:color w:val="000000"/>
            <w:sz w:val="24"/>
          </w:rPr>
          <w:t>https://github.com/surnella/QM640-Dialogue-Clustering-Capstone</w:t>
        </w:r>
      </w:hyperlink>
      <w:r>
        <w:rPr>
          <w:rFonts w:ascii="Times New Roman" w:hAnsi="Times New Roman" w:cs="Times New Roman" w:eastAsia="Times New Roman"/>
          <w:b w:val="0"/>
          <w:i w:val="0"/>
          <w:color w:val="000000"/>
          <w:sz w:val="24"/>
        </w:rPr>
        <w:t>. Table A1 lists the parts of the repository used in this report, and Table A2 lists the commands that reproduce every table and figure.</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A1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Repository Structure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4680"/>
        <w:gridCol w:w="4680"/>
      </w:tblGrid>
      <w:tr>
        <w:trPr>
          <w:cantSplit/>
          <w:tblHeader/>
        </w:trPr>
        <w:tc>
          <w:tcPr>
            <w:tcW w:type="dxa" w:w="43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Path</w:t>
            </w:r>
          </w:p>
        </w:tc>
        <w:tc>
          <w:tcPr>
            <w:tcW w:type="dxa" w:w="50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Contents</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data/raw/</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Downloaded Frames and MultiWOZ 2.2 corpora</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data/canonical/</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Canonical two-tier dialogue file</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data/interim/</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Cleaned samples, embeddings, archetypes, LLM annotations, prompts, and run summaries</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data/embeddings/gemini/</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Cached Gemini embeddings (regenerated by step 2c; not versioned)</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src/ingestion.py, src/canonical_schema.py</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Corpus parsers and Pydantic schema</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src/rule_engine.py, rules/</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Declarative rule engine and YAML rule file</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src/interim_pipeline/</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Reproducible analysis steps 0 to 4, including steps 2b to 2i (this report)</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src/report/, src/build_interim_submission.py</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APA report builder</w:t>
            </w:r>
          </w:p>
        </w:tc>
      </w:tr>
      <w:tr>
        <w:trPr>
          <w:cantSplit/>
        </w:trPr>
        <w:tc>
          <w:tcPr>
            <w:tcW w:type="dxa" w:w="43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outputs/interim/tables/, outputs/interim/figures/</w:t>
            </w:r>
          </w:p>
        </w:tc>
        <w:tc>
          <w:tcPr>
            <w:tcW w:type="dxa" w:w="50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Result tables (CSV) and figures (PNG)</w:t>
            </w:r>
          </w:p>
        </w:tc>
      </w:tr>
      <w:tr>
        <w:trPr>
          <w:cantSplit/>
        </w:trPr>
        <w:tc>
          <w:tcPr>
            <w:tcW w:type="dxa" w:w="432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requirements.txt</w:t>
            </w:r>
          </w:p>
        </w:tc>
        <w:tc>
          <w:tcPr>
            <w:tcW w:type="dxa" w:w="5040"/>
          </w:tcPr>
          <w:p>
            <w:pPr>
              <w:keepNext w:val="0"/>
              <w:widowControl/>
              <w:spacing w:line="240" w:lineRule="auto" w:before="40" w:after="40"/>
              <w:ind w:firstLine="0" w:left="0"/>
              <w:jc w:val="left"/>
            </w:pPr>
            <w:r>
              <w:rPr>
                <w:rFonts w:ascii="Times New Roman" w:hAnsi="Times New Roman" w:cs="Times New Roman" w:eastAsia="Times New Roman"/>
                <w:b w:val="0"/>
                <w:i w:val="0"/>
                <w:color w:val="000000"/>
                <w:sz w:val="20"/>
              </w:rPr>
              <w:t>Python dependencies</w:t>
            </w:r>
          </w:p>
        </w:tc>
      </w:tr>
    </w:tbl>
    <w:p>
      <w:pPr>
        <w:keepNext w:val="0"/>
        <w:widowControl/>
        <w:spacing w:line="240" w:lineRule="auto" w:before="0" w:after="120"/>
        <w:ind w:firstLine="0" w:left="0"/>
        <w:jc w:val="left"/>
      </w:pP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A2</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Replication Commands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20"/>
        <w:gridCol w:w="3120"/>
        <w:gridCol w:w="3120"/>
      </w:tblGrid>
      <w:tr>
        <w:trPr>
          <w:cantSplit/>
          <w:tblHeader/>
        </w:trPr>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Step</w:t>
            </w:r>
          </w:p>
        </w:tc>
        <w:tc>
          <w:tcPr>
            <w:tcW w:type="dxa" w:w="489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Command (run from src/interim_pipeline/)</w:t>
            </w:r>
          </w:p>
        </w:tc>
        <w:tc>
          <w:tcPr>
            <w:tcW w:type="dxa" w:w="302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Produces</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0</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step0_sample_size.py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 8</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step1_prepare_data.py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Tables 6, 7, and E1; Figures 1 and 2</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step2_rq1_clustering.py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Tables 11, 12, and E2 to E4; Figures E1 to E3</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2b</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step2b_rq1_representation.py --emb minilm</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User-turn and dialogue-act representations</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2c</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step2c_gemini_embeddings.py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Gemini embeddings (requires GEMINI_API_KEY)</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2d</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step2d_rq1_gemini_algorithms.py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 D3</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2e</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step2e_llm_user_annotation.py (also --retest and --max-user-msgs 3, 5, 7, 9)</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LLM behavior annotations (requires GEMINI_API_KEY)</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2f</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step2f_rq1_llm_hybrid.py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 D2; whole-conversation hybrid</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2g</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step2g_rq1_truncation.py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 13; Figure E4; refined labels</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2h</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step2h_rq1_ablation.py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 E5</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2i</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step2i_rq1_refined_archetypes.py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Tables 14 and 16; Figure E7</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3</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step3_rq2_pipeline.py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Tables E6 and E7; Figure E5; saved prompts</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3 (execution)</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step3_rq2_pipeline.py --execute</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Tables 15 and E8; Figure E6 (requires GEMINI_API_KEY)</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4</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step4_rq3_rq4_groundwork.py</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Tables 9 and E9</w:t>
            </w:r>
          </w:p>
        </w:tc>
      </w:tr>
      <w:tr>
        <w:trPr>
          <w:cantSplit/>
        </w:trPr>
        <w:tc>
          <w:tcPr>
            <w:tcW w:type="dxa" w:w="144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Report</w:t>
            </w:r>
          </w:p>
        </w:tc>
        <w:tc>
          <w:tcPr>
            <w:tcW w:type="dxa" w:w="48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python src/build_interim_submission.py (from the repository root)</w:t>
            </w:r>
          </w:p>
        </w:tc>
        <w:tc>
          <w:tcPr>
            <w:tcW w:type="dxa" w:w="302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This document</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Python 3.11; all random steps use seed 42. LLM and embedding responses are cached, so steps 2c and 2e only call the API for missing items.</w:t>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B</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Ten-Week Project Schedule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B1 maps the project to the 10-week QM640 schedule. All analysis finishes in Week 8, and Weeks 9 and 10 are reserved for the presentation and final report.</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B1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Ten-Week Schedule Aligned With the QM640 Course Topics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180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Week (dates)</w:t>
            </w:r>
          </w:p>
        </w:tc>
        <w:tc>
          <w:tcPr>
            <w:tcW w:type="dxa" w:w="223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Course topic</w:t>
            </w:r>
          </w:p>
        </w:tc>
        <w:tc>
          <w:tcPr>
            <w:tcW w:type="dxa" w:w="403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Project tasks and deliverables</w:t>
            </w:r>
          </w:p>
        </w:tc>
        <w:tc>
          <w:tcPr>
            <w:tcW w:type="dxa" w:w="129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Status</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(Sep 27–Oct 3)</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Define research problem and topic</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Problem statement finalized; repository set up; Frames and MultiWOZ downloaded</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Complete</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2 (Oct 4–10)</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Synopsis draft</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Research questions and two-tier schema; synopsis draft (Oct 6)</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Complete</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3 (Oct 11–17)</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Literature search and data collection</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Synopsis final (Oct 13); ingestion, canonicalization, and embeddings</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Complete</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4 (Oct 18–24)</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Objectives and hypotheses</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Quality audit, EDA, power analysis, RQ1 clustering; RQ2 pilot; RQ3 and RQ4 groundwork; interim draft (Oct 20)</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Complete</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5 (Oct 25–31)</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Research design and methodology</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Interim report final (Oct 27); RQ2 generation run and analysis (complete); RQ1 sensitivity analysis of the archetype definition (complete)</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In progress</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6 (Nov 1–7)</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Data analysis plan</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RQ2 repeated with refined archetypes and global k-NN; RQ3 scenario injection; final report draft (Nov 3)</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Planned</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7 (Nov 8–14)</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Data analysis plan execution</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RQ3 2 × 2 experiment and analysis</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Planned</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8 (Nov 15–21)</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Data analysis assessment</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RQ4 simulation, 2 × 3 analysis, robustness checks; analysis complete</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Planned</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9 (Nov 22–28)</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Refinement and documentation</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Final presentation (Nov 27–28)</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Planned</w:t>
            </w:r>
          </w:p>
        </w:tc>
      </w:tr>
      <w:tr>
        <w:trPr>
          <w:cantSplit/>
        </w:trPr>
        <w:tc>
          <w:tcPr>
            <w:tcW w:type="dxa" w:w="18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10 (Nov 29–Dec 5)</w:t>
            </w:r>
          </w:p>
        </w:tc>
        <w:tc>
          <w:tcPr>
            <w:tcW w:type="dxa" w:w="22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Document results and findings</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Final report and repository release</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Planned</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EDA = exploratory data analysis. No tasks are scheduled outside Weeks 1 to 10.</w:t>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C</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Comparison With Related Research</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Table C1 compares the studies closest to this capstone and shows how the present design extends them.</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C1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Related Research and Its Relationship to the Present Study</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208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Study</w:t>
            </w:r>
          </w:p>
        </w:tc>
        <w:tc>
          <w:tcPr>
            <w:tcW w:type="dxa" w:w="25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Main contribution</w:t>
            </w:r>
          </w:p>
        </w:tc>
        <w:tc>
          <w:tcPr>
            <w:tcW w:type="dxa" w:w="237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Connection to this study</w:t>
            </w:r>
          </w:p>
        </w:tc>
        <w:tc>
          <w:tcPr>
            <w:tcW w:type="dxa" w:w="237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Gap addressed here</w:t>
            </w:r>
          </w:p>
        </w:tc>
      </w:tr>
      <w:tr>
        <w:trPr>
          <w:cantSplit/>
        </w:trPr>
        <w:tc>
          <w:tcPr>
            <w:tcW w:type="dxa" w:w="208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El Asri et al. (2017), Frames</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1,369 human–human vacation-package dialogues with frame tracking</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Primary corpus for embeddings, archetypes, and exemplars</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Does not cluster dialogues or use them for prompting</w:t>
            </w:r>
          </w:p>
        </w:tc>
      </w:tr>
      <w:tr>
        <w:trPr>
          <w:cantSplit/>
        </w:trPr>
        <w:tc>
          <w:tcPr>
            <w:tcW w:type="dxa" w:w="208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Zang et al. (2020), MultiWOZ 2.2</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Corrected multi-domain dialogue states and schema</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External projection check and schema mapping</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Focuses on slot tracking, not archetypes or prompting</w:t>
            </w:r>
          </w:p>
        </w:tc>
      </w:tr>
      <w:tr>
        <w:trPr>
          <w:cantSplit/>
        </w:trPr>
        <w:tc>
          <w:tcPr>
            <w:tcW w:type="dxa" w:w="208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Liu et al. (2022), KATE</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Similarity-based in-context example selection beats random selection</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Motivates retrieval; global nearest neighbor is a comparison</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Single-turn tasks; no style or leakage measures</w:t>
            </w:r>
          </w:p>
        </w:tc>
      </w:tr>
      <w:tr>
        <w:trPr>
          <w:cantSplit/>
        </w:trPr>
        <w:tc>
          <w:tcPr>
            <w:tcW w:type="dxa" w:w="208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Rebedea et al. (2023), NeMo Guardrails</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Programmable rails outside the LLM</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Motivates the decoupled rule engine</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Does not adapt style or test interaction with prompting</w:t>
            </w:r>
          </w:p>
        </w:tc>
      </w:tr>
      <w:tr>
        <w:trPr>
          <w:cantSplit/>
        </w:trPr>
        <w:tc>
          <w:tcPr>
            <w:tcW w:type="dxa" w:w="208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Yao et al. (2024), τ-bench</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Agent evaluation against explicit domain policies</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Supports measuring rule adherence separately</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Tool-calling agents; no archetype adaptation</w:t>
            </w:r>
          </w:p>
        </w:tc>
      </w:tr>
      <w:tr>
        <w:trPr>
          <w:cantSplit/>
        </w:trPr>
        <w:tc>
          <w:tcPr>
            <w:tcW w:type="dxa" w:w="208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Acikgoz et al. (2025), TD-EVAL</w:t>
            </w:r>
          </w:p>
        </w:tc>
        <w:tc>
          <w:tcPr>
            <w:tcW w:type="dxa" w:w="252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Turn-level and dialogue-level evaluation</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Supports combining similarity with turn-level checks</w:t>
            </w:r>
          </w:p>
        </w:tc>
        <w:tc>
          <w:tcPr>
            <w:tcW w:type="dxa" w:w="237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Evaluation framework only; no adaptive prompting</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The comparison describes relevance to this study and does not imply that the cited studies used the same data or metrics.</w:t>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D</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Behavior Annotation Codebook and Quality Checks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Table D1 gives the codebook used by the LLM to rate each Frames user in the RQ1 sensitivity analysis. The model read the conversation (whole or truncated after the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-th user message) and rated only the user, using the agent's messages as context. Table D2 reports the reliability and criterion validity of the ratings, and Table D3 repeats the RQ1 algorithm comparison with Gemini embeddings.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D1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LLM Behavior Annotation Codebook</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20"/>
        <w:gridCol w:w="3120"/>
        <w:gridCol w:w="3120"/>
      </w:tblGrid>
      <w:tr>
        <w:trPr>
          <w:cantSplit/>
          <w:tblHeader/>
        </w:trPr>
        <w:tc>
          <w:tcPr>
            <w:tcW w:type="dxa" w:w="230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Field</w:t>
            </w:r>
          </w:p>
        </w:tc>
        <w:tc>
          <w:tcPr>
            <w:tcW w:type="dxa" w:w="129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Type</w:t>
            </w:r>
          </w:p>
        </w:tc>
        <w:tc>
          <w:tcPr>
            <w:tcW w:type="dxa" w:w="576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Definition and scale anchors</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Primary goal</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Category</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Main purpose: explore destinations, price shopping, book a specific trip, compare options, information only, or other</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Secondary goals</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Categories</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Other purposes clearly present (same categories; may be empty)</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Price sensitivity</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price never matters; 5 = price dominates every decision</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Destination flexibility</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one fixed destination; 5 = open to anywhere</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Date flexibility</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fixed dates; 5 = fully flexible dates</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Exploration breadth</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considers a single option; 5 = considers many alternatives</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Decisiveness</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hesitant, cannot decide; 5 = decides quickly and firmly</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Detail orientation</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no interest in specifics; 5 = asks about many details</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Information up front</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reveals requirements bit by bit; 5 = states all requirements in the first message</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Revision tendency</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never changes requirements; 5 = changes them repeatedly</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Question asking</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asks no questions; 5 = asks many questions</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Politeness</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1–5</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1 = curt or rude; 5 = very polite</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Emotional tone</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Category</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Positive, neutral, impatient, or frustrated</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Outcome</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Category</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Booked, no suitable option, undecided or left, or unclear (not used for clustering)</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Party type</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Category</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Solo, couple, family, group, business, or unknown (not used for clustering)</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Unusual conversation</w:t>
            </w:r>
          </w:p>
        </w:tc>
        <w:tc>
          <w:tcPr>
            <w:tcW w:type="dxa" w:w="129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Yes/no</w:t>
            </w:r>
          </w:p>
        </w:tc>
        <w:tc>
          <w:tcPr>
            <w:tcW w:type="dxa" w:w="57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Off-task, nonsensical, or unlike a normal travel request</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Gemini 2.5 Flash, temperature 0, internal reasoning disabled, output constrained to a JSON schema with these fields. The instruction asked the model to base every rating on evidence in the user's messages and to use 3 for moderate or mixed behavior.</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D2</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Reliability and Criterion Validity of the LLM Behavior Ratings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244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Field</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Re-annotation κ</w:t>
            </w:r>
          </w:p>
        </w:tc>
        <w:tc>
          <w:tcPr>
            <w:tcW w:type="dxa" w:w="403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Behavior counted from Frames acts</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Spearman ρ</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Destination flexibility</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.96</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Date flexibility</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Exploration breadth</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.95</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Frame switches per user turn</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.30</w:t>
            </w:r>
          </w:p>
        </w:tc>
      </w:tr>
      <w:tr>
        <w:trPr>
          <w:cantSplit/>
        </w:trPr>
        <w:tc>
          <w:tcPr>
            <w:tcW w:type="dxa" w:w="2448"/>
          </w:tcPr>
          <w:p>
            <w:pPr>
              <w:keepNext/>
              <w:widowControl/>
              <w:spacing w:line="240" w:lineRule="auto" w:before="40" w:after="40"/>
              <w:ind w:firstLine="0" w:left="0"/>
              <w:jc w:val="left"/>
            </w:pPr>
          </w:p>
        </w:tc>
        <w:tc>
          <w:tcPr>
            <w:tcW w:type="dxa" w:w="1440"/>
          </w:tcPr>
          <w:p>
            <w:pPr>
              <w:keepNext/>
              <w:widowControl/>
              <w:spacing w:line="240" w:lineRule="auto" w:before="40" w:after="40"/>
              <w:ind w:firstLine="0" w:left="0"/>
              <w:jc w:val="center"/>
            </w:pP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Comparison requests per user turn</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.26</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Decisiveness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.91</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Detail orientation</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Distinct preference slots mentioned</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.45</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Revision tendency</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Slot-value changes in user acts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.73</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Question asking</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.90</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Request acts per user turn</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.65</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Politeness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.91</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Price sensitivity</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.95</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Budget stated</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.28</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Information given up front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.87</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Share of slots stated in the first user turn</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Primary goal</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.78</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Emotional tone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.88</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Outcome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.98</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r>
        <w:trPr>
          <w:cantSplit/>
        </w:trPr>
        <w:tc>
          <w:tcPr>
            <w:tcW w:type="dxa" w:w="2448"/>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Party type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.93</w:t>
            </w:r>
          </w:p>
        </w:tc>
        <w:tc>
          <w:tcPr>
            <w:tcW w:type="dxa" w:w="4032"/>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Re-annotation: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100 random dialogues annotated a second time at temperature 0.7; quadratic-weighted κ for ratings and Cohen's κ for categories. Criterion validity: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1,334 dialogues; all ρ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Both checks use whole-conversation annotations.</w:t>
      </w:r>
    </w:p>
    <w:p>
      <w:pPr>
        <w:keepNext w:val="0"/>
        <w:widowControl/>
        <w:spacing w:line="240" w:lineRule="auto" w:before="0" w:after="0"/>
        <w:ind w:firstLine="0" w:left="0"/>
        <w:jc w:val="left"/>
      </w:pPr>
      <w:r>
        <w:br w:type="page"/>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D3</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Algorithm Comparison Repeated With Gemini Embeddings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7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Representation</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Algorithm</w:t>
            </w:r>
          </w:p>
        </w:tc>
        <w:tc>
          <w:tcPr>
            <w:tcW w:type="dxa" w:w="172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Silhouette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ANOVA</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η</w:t>
            </w:r>
            <w:r>
              <w:rPr>
                <w:rFonts w:ascii="Times New Roman" w:hAnsi="Times New Roman" w:cs="Times New Roman" w:eastAsia="Times New Roman"/>
                <w:b w:val="0"/>
                <w:i w:val="0"/>
                <w:color w:val="000000"/>
                <w:sz w:val="20"/>
                <w:vertAlign w:val="superscript"/>
              </w:rPr>
              <w:t>2</w:t>
            </w: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Decay-weighted turn vectors</w:t>
            </w: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K-Means</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.158 (.012)</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 156) = 77.09</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.50</w:t>
            </w:r>
          </w:p>
        </w:tc>
      </w:tr>
      <w:tr>
        <w:trPr>
          <w:cantSplit/>
        </w:trPr>
        <w:tc>
          <w:tcPr>
            <w:tcW w:type="dxa" w:w="2736"/>
          </w:tcPr>
          <w:p>
            <w:pPr>
              <w:keepNext/>
              <w:widowControl/>
              <w:spacing w:line="240" w:lineRule="auto" w:before="40" w:after="40"/>
              <w:ind w:firstLine="0" w:left="0"/>
              <w:jc w:val="left"/>
            </w:pP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Agglomerative</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.150 (.062)</w:t>
            </w:r>
          </w:p>
        </w:tc>
        <w:tc>
          <w:tcPr>
            <w:tcW w:type="dxa" w:w="2016"/>
          </w:tcPr>
          <w:p>
            <w:pPr>
              <w:keepNext/>
              <w:widowControl/>
              <w:spacing w:line="240" w:lineRule="auto" w:before="40" w:after="40"/>
              <w:ind w:firstLine="0" w:left="0"/>
              <w:jc w:val="center"/>
            </w:pPr>
          </w:p>
        </w:tc>
        <w:tc>
          <w:tcPr>
            <w:tcW w:type="dxa" w:w="864"/>
          </w:tcPr>
          <w:p>
            <w:pPr>
              <w:keepNext/>
              <w:widowControl/>
              <w:spacing w:line="240" w:lineRule="auto" w:before="40" w:after="40"/>
              <w:ind w:firstLine="0" w:left="0"/>
              <w:jc w:val="center"/>
            </w:pPr>
          </w:p>
        </w:tc>
      </w:tr>
      <w:tr>
        <w:trPr>
          <w:cantSplit/>
        </w:trPr>
        <w:tc>
          <w:tcPr>
            <w:tcW w:type="dxa" w:w="2736"/>
          </w:tcPr>
          <w:p>
            <w:pPr>
              <w:keepNext/>
              <w:widowControl/>
              <w:spacing w:line="240" w:lineRule="auto" w:before="40" w:after="40"/>
              <w:ind w:firstLine="0" w:left="0"/>
              <w:jc w:val="left"/>
            </w:pP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HDBSCAN</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.289 (.093)</w:t>
            </w:r>
          </w:p>
        </w:tc>
        <w:tc>
          <w:tcPr>
            <w:tcW w:type="dxa" w:w="2016"/>
          </w:tcPr>
          <w:p>
            <w:pPr>
              <w:keepNext/>
              <w:widowControl/>
              <w:spacing w:line="240" w:lineRule="auto" w:before="40" w:after="40"/>
              <w:ind w:firstLine="0" w:left="0"/>
              <w:jc w:val="center"/>
            </w:pPr>
          </w:p>
        </w:tc>
        <w:tc>
          <w:tcPr>
            <w:tcW w:type="dxa" w:w="864"/>
          </w:tcPr>
          <w:p>
            <w:pPr>
              <w:keepNext/>
              <w:widowControl/>
              <w:spacing w:line="240" w:lineRule="auto" w:before="40" w:after="40"/>
              <w:ind w:firstLine="0" w:left="0"/>
              <w:jc w:val="center"/>
            </w:pPr>
          </w:p>
        </w:tc>
      </w:tr>
      <w:tr>
        <w:trPr>
          <w:cantSplit/>
        </w:trPr>
        <w:tc>
          <w:tcPr>
            <w:tcW w:type="dxa" w:w="2736"/>
          </w:tcPr>
          <w:p>
            <w:pPr>
              <w:keepNext/>
              <w:widowControl/>
              <w:spacing w:line="240" w:lineRule="auto" w:before="40" w:after="40"/>
              <w:ind w:firstLine="0" w:left="0"/>
              <w:jc w:val="left"/>
            </w:pP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Permutation baseline</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−.015 (.009)</w:t>
            </w:r>
          </w:p>
        </w:tc>
        <w:tc>
          <w:tcPr>
            <w:tcW w:type="dxa" w:w="2016"/>
          </w:tcPr>
          <w:p>
            <w:pPr>
              <w:keepNext/>
              <w:widowControl/>
              <w:spacing w:line="240" w:lineRule="auto" w:before="40" w:after="40"/>
              <w:ind w:firstLine="0" w:left="0"/>
              <w:jc w:val="center"/>
            </w:pPr>
          </w:p>
        </w:tc>
        <w:tc>
          <w:tcPr>
            <w:tcW w:type="dxa" w:w="864"/>
          </w:tcPr>
          <w:p>
            <w:pPr>
              <w:keepNext/>
              <w:widowControl/>
              <w:spacing w:line="240" w:lineRule="auto" w:before="40" w:after="40"/>
              <w:ind w:firstLine="0" w:left="0"/>
              <w:jc w:val="center"/>
            </w:pPr>
          </w:p>
        </w:tc>
      </w:tr>
      <w:tr>
        <w:trPr>
          <w:cantSplit/>
        </w:trPr>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Whole-dialogue document vectors</w:t>
            </w: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K-Means</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.161 (.059)</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 156) = 127.47</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.62</w:t>
            </w:r>
          </w:p>
        </w:tc>
      </w:tr>
      <w:tr>
        <w:trPr>
          <w:cantSplit/>
        </w:trPr>
        <w:tc>
          <w:tcPr>
            <w:tcW w:type="dxa" w:w="2736"/>
          </w:tcPr>
          <w:p>
            <w:pPr>
              <w:keepNext/>
              <w:widowControl/>
              <w:spacing w:line="240" w:lineRule="auto" w:before="40" w:after="40"/>
              <w:ind w:firstLine="0" w:left="0"/>
              <w:jc w:val="left"/>
            </w:pP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Agglomerative</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.213 (.067)</w:t>
            </w:r>
          </w:p>
        </w:tc>
        <w:tc>
          <w:tcPr>
            <w:tcW w:type="dxa" w:w="2016"/>
          </w:tcPr>
          <w:p>
            <w:pPr>
              <w:keepNext/>
              <w:widowControl/>
              <w:spacing w:line="240" w:lineRule="auto" w:before="40" w:after="40"/>
              <w:ind w:firstLine="0" w:left="0"/>
              <w:jc w:val="center"/>
            </w:pPr>
          </w:p>
        </w:tc>
        <w:tc>
          <w:tcPr>
            <w:tcW w:type="dxa" w:w="864"/>
          </w:tcPr>
          <w:p>
            <w:pPr>
              <w:keepNext/>
              <w:widowControl/>
              <w:spacing w:line="240" w:lineRule="auto" w:before="40" w:after="40"/>
              <w:ind w:firstLine="0" w:left="0"/>
              <w:jc w:val="center"/>
            </w:pPr>
          </w:p>
        </w:tc>
      </w:tr>
      <w:tr>
        <w:trPr>
          <w:cantSplit/>
        </w:trPr>
        <w:tc>
          <w:tcPr>
            <w:tcW w:type="dxa" w:w="2736"/>
          </w:tcPr>
          <w:p>
            <w:pPr>
              <w:keepNext/>
              <w:widowControl/>
              <w:spacing w:line="240" w:lineRule="auto" w:before="40" w:after="40"/>
              <w:ind w:firstLine="0" w:left="0"/>
              <w:jc w:val="left"/>
            </w:pP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HDBSCAN</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.345 (.057)</w:t>
            </w:r>
          </w:p>
        </w:tc>
        <w:tc>
          <w:tcPr>
            <w:tcW w:type="dxa" w:w="2016"/>
          </w:tcPr>
          <w:p>
            <w:pPr>
              <w:keepNext/>
              <w:widowControl/>
              <w:spacing w:line="240" w:lineRule="auto" w:before="40" w:after="40"/>
              <w:ind w:firstLine="0" w:left="0"/>
              <w:jc w:val="center"/>
            </w:pPr>
          </w:p>
        </w:tc>
        <w:tc>
          <w:tcPr>
            <w:tcW w:type="dxa" w:w="864"/>
          </w:tcPr>
          <w:p>
            <w:pPr>
              <w:keepNext/>
              <w:widowControl/>
              <w:spacing w:line="240" w:lineRule="auto" w:before="40" w:after="40"/>
              <w:ind w:firstLine="0" w:left="0"/>
              <w:jc w:val="center"/>
            </w:pPr>
          </w:p>
        </w:tc>
      </w:tr>
      <w:tr>
        <w:trPr>
          <w:cantSplit/>
        </w:trPr>
        <w:tc>
          <w:tcPr>
            <w:tcW w:type="dxa" w:w="2736"/>
          </w:tcPr>
          <w:p>
            <w:pPr>
              <w:keepNext/>
              <w:widowControl/>
              <w:spacing w:line="240" w:lineRule="auto" w:before="40" w:after="40"/>
              <w:ind w:firstLine="0" w:left="0"/>
              <w:jc w:val="left"/>
            </w:pPr>
          </w:p>
        </w:tc>
        <w:tc>
          <w:tcPr>
            <w:tcW w:type="dxa" w:w="201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Permutation baseline</w:t>
            </w:r>
          </w:p>
        </w:tc>
        <w:tc>
          <w:tcPr>
            <w:tcW w:type="dxa" w:w="172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−.019 (.012)</w:t>
            </w:r>
          </w:p>
        </w:tc>
        <w:tc>
          <w:tcPr>
            <w:tcW w:type="dxa" w:w="2016"/>
          </w:tcPr>
          <w:p>
            <w:pPr>
              <w:keepNext/>
              <w:widowControl/>
              <w:spacing w:line="240" w:lineRule="auto" w:before="40" w:after="40"/>
              <w:ind w:firstLine="0" w:left="0"/>
              <w:jc w:val="center"/>
            </w:pPr>
          </w:p>
        </w:tc>
        <w:tc>
          <w:tcPr>
            <w:tcW w:type="dxa" w:w="864"/>
          </w:tcPr>
          <w:p>
            <w:pPr>
              <w:keepNext/>
              <w:widowControl/>
              <w:spacing w:line="240" w:lineRule="auto" w:before="40" w:after="40"/>
              <w:ind w:firstLine="0" w:left="0"/>
              <w:jc w:val="center"/>
            </w:pP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Each algorithm was run on 53 random subsamples of 500 golden dialogues, as in Table 11, using gemini-embedding-001 vectors (3,072 dimensions). All ANOVAs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Welch and Kruskal–Wallis tests agreed.</w:t>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E</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Supplementary Tables and Figures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This appendix holds second-level material that supports the conclusions stated in the body. Each table and figure is summarized where it is cited in the body.</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 Description</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Observed Slot Completeness by Corpus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74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Slot</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Frames (%)</w:t>
            </w:r>
          </w:p>
        </w:tc>
        <w:tc>
          <w:tcPr>
            <w:tcW w:type="dxa" w:w="216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MultiWOZ 2.2 (%)</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origin city</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99.4</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70.8</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destination city</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99.0</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71.4</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departure date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84.9</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68.6</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return date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70.8</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duration nights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61.8</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27.0</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traveler count adults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63.9</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54.0</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traveler count children</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18.4</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budget amount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72.9</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24.1</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accommodation tier</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72.7</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19.7</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visa processing window days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2</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passport expiry months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2</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r>
      <w:tr>
        <w:trPr>
          <w:cantSplit/>
        </w:trPr>
        <w:tc>
          <w:tcPr>
            <w:tcW w:type="dxa" w:w="374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discount applied percentage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Tier 2</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c>
          <w:tcPr>
            <w:tcW w:type="dxa" w:w="216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Percentage of dialogues in which the slot is mentioned at least once in the dialogue-act (Frames) or dialogue-state (MultiWOZ) annotations. MultiWOZ budget is the categorical price range. Frames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1,334; MultiWOZ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1,499. Figure 2 in the body plots these values.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RQ1: Clustering Diagnostics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E2</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Choice of the Number of Clusters (K-Means on the Golden Partition)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k</w:t>
            </w:r>
          </w:p>
        </w:tc>
        <w:tc>
          <w:tcPr>
            <w:tcW w:type="dxa" w:w="187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Silhouette</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Davies–Bouldin</w:t>
            </w:r>
          </w:p>
        </w:tc>
        <w:tc>
          <w:tcPr>
            <w:tcW w:type="dxa" w:w="187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Inertia</w:t>
            </w:r>
          </w:p>
        </w:tc>
        <w:tc>
          <w:tcPr>
            <w:tcW w:type="dxa" w:w="230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Smallest cluster (%)</w:t>
            </w:r>
          </w:p>
        </w:tc>
      </w:tr>
      <w:tr>
        <w:trPr>
          <w:cantSplit/>
        </w:trPr>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.206</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3.136</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193.1</w:t>
            </w:r>
          </w:p>
        </w:tc>
        <w:tc>
          <w:tcPr>
            <w:tcW w:type="dxa" w:w="230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35.5</w:t>
            </w:r>
          </w:p>
        </w:tc>
      </w:tr>
      <w:tr>
        <w:trPr>
          <w:cantSplit/>
        </w:trPr>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3.244</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184.6</w:t>
            </w:r>
          </w:p>
        </w:tc>
        <w:tc>
          <w:tcPr>
            <w:tcW w:type="dxa" w:w="230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24.1</w:t>
            </w:r>
          </w:p>
        </w:tc>
      </w:tr>
      <w:tr>
        <w:trPr>
          <w:cantSplit/>
        </w:trPr>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.142</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2.997</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178.1</w:t>
            </w:r>
          </w:p>
        </w:tc>
        <w:tc>
          <w:tcPr>
            <w:tcW w:type="dxa" w:w="230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17.7</w:t>
            </w:r>
          </w:p>
        </w:tc>
      </w:tr>
      <w:tr>
        <w:trPr>
          <w:cantSplit/>
        </w:trPr>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.148</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2.950</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173.6</w:t>
            </w:r>
          </w:p>
        </w:tc>
        <w:tc>
          <w:tcPr>
            <w:tcW w:type="dxa" w:w="230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8.7</w:t>
            </w:r>
          </w:p>
        </w:tc>
      </w:tr>
      <w:tr>
        <w:trPr>
          <w:cantSplit/>
        </w:trPr>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.077</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3.118</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169.7</w:t>
            </w:r>
          </w:p>
        </w:tc>
        <w:tc>
          <w:tcPr>
            <w:tcW w:type="dxa" w:w="230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8.4</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golden dialogues; cosine Silhouette.</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E1</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Cluster-Number Diagnostics</w:t>
      </w:r>
    </w:p>
    <w:p>
      <w:pPr>
        <w:keepNext/>
        <w:widowControl/>
        <w:spacing w:line="240" w:lineRule="auto" w:before="0" w:after="0"/>
        <w:ind w:firstLine="0" w:left="0"/>
        <w:jc w:val="center"/>
      </w:pPr>
      <w:r>
        <w:drawing>
          <wp:inline xmlns:a="http://schemas.openxmlformats.org/drawingml/2006/main" xmlns:pic="http://schemas.openxmlformats.org/drawingml/2006/picture">
            <wp:extent cx="5760720" cy="1885327"/>
            <wp:docPr id="3" name="Picture 3"/>
            <wp:cNvGraphicFramePr>
              <a:graphicFrameLocks noChangeAspect="1"/>
            </wp:cNvGraphicFramePr>
            <a:graphic>
              <a:graphicData uri="http://schemas.openxmlformats.org/drawingml/2006/picture">
                <pic:pic>
                  <pic:nvPicPr>
                    <pic:cNvPr id="0" name="fig_rq1_k_selection.png"/>
                    <pic:cNvPicPr/>
                  </pic:nvPicPr>
                  <pic:blipFill>
                    <a:blip r:embed="rId41"/>
                    <a:stretch>
                      <a:fillRect/>
                    </a:stretch>
                  </pic:blipFill>
                  <pic:spPr>
                    <a:xfrm>
                      <a:off x="0" y="0"/>
                      <a:ext cx="5760720" cy="1885327"/>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The dashed line marks the pre-specified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E2</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Silhouette Coefficients by Algorithm</w:t>
      </w:r>
    </w:p>
    <w:p>
      <w:pPr>
        <w:keepNext/>
        <w:widowControl/>
        <w:spacing w:line="240" w:lineRule="auto" w:before="0" w:after="0"/>
        <w:ind w:firstLine="0" w:left="0"/>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ig_rq1_silhouette.png"/>
                    <pic:cNvPicPr/>
                  </pic:nvPicPr>
                  <pic:blipFill>
                    <a:blip r:embed="rId42"/>
                    <a:stretch>
                      <a:fillRect/>
                    </a:stretch>
                  </pic:blipFill>
                  <pic:spPr>
                    <a:xfrm>
                      <a:off x="0" y="0"/>
                      <a:ext cx="5303520" cy="3182112"/>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Each point is one subsample run; triangles mark means. The permutation baseline shows the Silhouette expected with no structure.</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E3</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Pairwise Comparisons of Mean Silhouette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8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Comparison</w:t>
            </w:r>
          </w:p>
        </w:tc>
        <w:tc>
          <w:tcPr>
            <w:tcW w:type="dxa" w:w="158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Mean difference</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95% CI (Tukey)</w:t>
            </w:r>
          </w:p>
        </w:tc>
        <w:tc>
          <w:tcPr>
            <w:tcW w:type="dxa" w:w="129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(Tukey)</w:t>
            </w:r>
          </w:p>
        </w:tc>
        <w:tc>
          <w:tcPr>
            <w:tcW w:type="dxa" w:w="158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(Games–Howell)</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K-Means − Agglomerative</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.029</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[.013, .046]</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HDBSCAN − Agglomerative</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.093</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[.076, .110]</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HDBSCAN − K-Means</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.063</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[.047, .080]</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CI = confidence interval. Games–Howell comparisons do not assume equal variances.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E4</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Archetype Assignment and Centroid Similarity Across Samples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216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Sample</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N</w:t>
            </w:r>
          </w:p>
        </w:tc>
        <w:tc>
          <w:tcPr>
            <w:tcW w:type="dxa" w:w="201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Centroid similarity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Direct Transactional (%)</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Constraint Negotiator (%)</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Guided Explorer (%)</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Frames golden</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933</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.895 (.042)</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25.7</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24.1</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50.2</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Frames held-out</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401</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.894 (.042)</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29.4</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20.2</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50.4</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MultiWOZ 2.2</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1,499</w:t>
            </w:r>
          </w:p>
        </w:tc>
        <w:tc>
          <w:tcPr>
            <w:tcW w:type="dxa" w:w="201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.805 (.037)</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0.9</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15.1</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84.0</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Centroid similarity is the cosine between a dialogue vector and its nearest frozen centroid. Centroids were fitted on the golden partition only.</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E3</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Archetypes in the Frames Embedding Space and Projection of MultiWOZ 2.2</w:t>
      </w:r>
    </w:p>
    <w:p>
      <w:pPr>
        <w:keepNext/>
        <w:widowControl/>
        <w:spacing w:line="240" w:lineRule="auto" w:before="0" w:after="0"/>
        <w:ind w:firstLine="0" w:left="0"/>
        <w:jc w:val="center"/>
      </w:pPr>
      <w:r>
        <w:drawing>
          <wp:inline xmlns:a="http://schemas.openxmlformats.org/drawingml/2006/main" xmlns:pic="http://schemas.openxmlformats.org/drawingml/2006/picture">
            <wp:extent cx="5760720" cy="2513769"/>
            <wp:docPr id="5" name="Picture 5"/>
            <wp:cNvGraphicFramePr>
              <a:graphicFrameLocks noChangeAspect="1"/>
            </wp:cNvGraphicFramePr>
            <a:graphic>
              <a:graphicData uri="http://schemas.openxmlformats.org/drawingml/2006/picture">
                <pic:pic>
                  <pic:nvPicPr>
                    <pic:cNvPr id="0" name="fig_rq1_umap.png"/>
                    <pic:cNvPicPr/>
                  </pic:nvPicPr>
                  <pic:blipFill>
                    <a:blip r:embed="rId43"/>
                    <a:stretch>
                      <a:fillRect/>
                    </a:stretch>
                  </pic:blipFill>
                  <pic:spPr>
                    <a:xfrm>
                      <a:off x="0" y="0"/>
                      <a:ext cx="5760720" cy="2513769"/>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Two-dimensional UMAP projection (McInnes et al., 2018) fitted on the golden partition; MultiWOZ dialogues were transformed into the same projection without refitting.</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E4</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Hybrid Archetype Diagnostics by Conversation Length and Number of Clusters</w:t>
      </w:r>
    </w:p>
    <w:p>
      <w:pPr>
        <w:keepNext/>
        <w:widowControl/>
        <w:spacing w:line="240" w:lineRule="auto" w:before="0" w:after="0"/>
        <w:ind w:firstLine="0" w:left="0"/>
        <w:jc w:val="center"/>
      </w:pPr>
      <w:r>
        <w:drawing>
          <wp:inline xmlns:a="http://schemas.openxmlformats.org/drawingml/2006/main" xmlns:pic="http://schemas.openxmlformats.org/drawingml/2006/picture">
            <wp:extent cx="5760720" cy="4224528"/>
            <wp:docPr id="6" name="Picture 6"/>
            <wp:cNvGraphicFramePr>
              <a:graphicFrameLocks noChangeAspect="1"/>
            </wp:cNvGraphicFramePr>
            <a:graphic>
              <a:graphicData uri="http://schemas.openxmlformats.org/drawingml/2006/picture">
                <pic:pic>
                  <pic:nvPicPr>
                    <pic:cNvPr id="0" name="fig_rq1_truncation_2x2.png"/>
                    <pic:cNvPicPr/>
                  </pic:nvPicPr>
                  <pic:blipFill>
                    <a:blip r:embed="rId44"/>
                    <a:stretch>
                      <a:fillRect/>
                    </a:stretch>
                  </pic:blipFill>
                  <pic:spPr>
                    <a:xfrm>
                      <a:off x="0" y="0"/>
                      <a:ext cx="5760720" cy="4224528"/>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Each line is one number of clusters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The dotted line in Panel A marks the stability threshold of .60. Panel C shows routing κ after five turns; Panel D shows Cramér's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between archetype and the rated outcome of the whole conversation.</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E5</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Ablation of the Refined Archetype Definition (Three Clusters)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337"/>
        <w:gridCol w:w="1337"/>
        <w:gridCol w:w="1337"/>
        <w:gridCol w:w="1337"/>
        <w:gridCol w:w="1337"/>
        <w:gridCol w:w="1337"/>
        <w:gridCol w:w="1337"/>
      </w:tblGrid>
      <w:tr>
        <w:trPr>
          <w:cantSplit/>
          <w:tblHeader/>
        </w:trPr>
        <w:tc>
          <w:tcPr>
            <w:tcW w:type="dxa" w:w="28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Representation</w:t>
            </w:r>
          </w:p>
        </w:tc>
        <w:tc>
          <w:tcPr>
            <w:tcW w:type="dxa" w:w="10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Stability ARI (whole)</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Stability ARI (9 messages)</w:t>
            </w:r>
          </w:p>
        </w:tc>
        <w:tc>
          <w:tcPr>
            <w:tcW w:type="dxa" w:w="10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Core members (%)</w:t>
            </w:r>
          </w:p>
        </w:tc>
        <w:tc>
          <w:tcPr>
            <w:tcW w:type="dxa" w:w="10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Outcome </w:t>
            </w:r>
            <w:r>
              <w:rPr>
                <w:rFonts w:ascii="Times New Roman" w:hAnsi="Times New Roman" w:cs="Times New Roman" w:eastAsia="Times New Roman"/>
                <w:b w:val="0"/>
                <w:i/>
                <w:color w:val="000000"/>
                <w:sz w:val="20"/>
              </w:rPr>
              <w:t>V</w:t>
            </w:r>
          </w:p>
        </w:tc>
        <w:tc>
          <w:tcPr>
            <w:tcW w:type="dxa" w:w="9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Routing κ</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ARI with adopted labels</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Gemini embedding + Gemini behavior profile (adopted)</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.56</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.87</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89.2</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.45</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.24</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1.00</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MiniLM embedding + Gemini behavior profile</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.69</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.85</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87.7</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.40</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.33</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Gemini behavior profile only</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.73</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.85</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97.6</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.35</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.26</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.17</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Gemini embedding only</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.91</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92.0</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.34</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.30</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.45</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MiniLM embedding only</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.68</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.72</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72.1</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.27</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w:t>
            </w:r>
          </w:p>
        </w:tc>
      </w:tr>
      <w:tr>
        <w:trPr>
          <w:cantSplit/>
        </w:trPr>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MiniLM embedding + dialogue-act features</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.76</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88.0</w:t>
            </w:r>
          </w:p>
        </w:tc>
        <w:tc>
          <w:tcPr>
            <w:tcW w:type="dxa" w:w="10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.45</w:t>
            </w:r>
          </w:p>
        </w:tc>
        <w:tc>
          <w:tcPr>
            <w:tcW w:type="dxa" w:w="93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.25</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.16</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Core members, outcome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routing κ, and agreement with the adopted labels refer to the nine-message version. Behavior profile = LLM ratings with goal and tone indicators; dialogue-act features are counted from the Frames annotations without an LLM. Bootstrap stability varies by about .03 between runs, which explains small differences from Table 13. ARI = adjusted Rand index.</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RQ2: Pilot and Experimental Details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E6</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Pilot Exemplar Relevance by Retrieval Strategy</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45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Strategy</w:t>
            </w:r>
          </w:p>
        </w:tc>
        <w:tc>
          <w:tcPr>
            <w:tcW w:type="dxa" w:w="187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 xml:space="preserve">Cosine to prefix </w:t>
            </w:r>
            <w:r>
              <w:rPr>
                <w:rFonts w:ascii="Times New Roman" w:hAnsi="Times New Roman" w:cs="Times New Roman" w:eastAsia="Times New Roman"/>
                <w:b w:val="0"/>
                <w:i/>
                <w:color w:val="000000"/>
                <w:sz w:val="20"/>
              </w:rPr>
              <w:t>M</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SD</w:t>
            </w:r>
          </w:p>
        </w:tc>
        <w:tc>
          <w:tcPr>
            <w:tcW w:type="dxa" w:w="28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Exemplars from target archetype (%)</w:t>
            </w:r>
          </w:p>
        </w:tc>
      </w:tr>
      <w:tr>
        <w:trPr>
          <w:cantSplit/>
        </w:trPr>
        <w:tc>
          <w:tcPr>
            <w:tcW w:type="dxa" w:w="34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Static few-shot (fixed)</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.578</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.057</w:t>
            </w:r>
          </w:p>
        </w:tc>
        <w:tc>
          <w:tcPr>
            <w:tcW w:type="dxa" w:w="28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33.3</w:t>
            </w:r>
          </w:p>
        </w:tc>
      </w:tr>
      <w:tr>
        <w:trPr>
          <w:cantSplit/>
        </w:trPr>
        <w:tc>
          <w:tcPr>
            <w:tcW w:type="dxa" w:w="34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Global k-NN (unclustered)</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.840</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.054</w:t>
            </w:r>
          </w:p>
        </w:tc>
        <w:tc>
          <w:tcPr>
            <w:tcW w:type="dxa" w:w="28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36.4</w:t>
            </w:r>
          </w:p>
        </w:tc>
      </w:tr>
      <w:tr>
        <w:trPr>
          <w:cantSplit/>
        </w:trPr>
        <w:tc>
          <w:tcPr>
            <w:tcW w:type="dxa" w:w="345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(routed sub-index)</w:t>
            </w:r>
          </w:p>
        </w:tc>
        <w:tc>
          <w:tcPr>
            <w:tcW w:type="dxa" w:w="187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.815</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.060</w:t>
            </w:r>
          </w:p>
        </w:tc>
        <w:tc>
          <w:tcPr>
            <w:tcW w:type="dxa" w:w="288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36.4</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 held-out dialogue prefixes; three exemplars per prefix. Relevance is the mean cosine between the prefix and the retrieval keys of the selected exemplars.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E7</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Holm-Adjusted Paired Contrasts of Exemplar Relevance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360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Contrast</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Mean difference</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t</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df</w:t>
            </w:r>
          </w:p>
        </w:tc>
        <w:tc>
          <w:tcPr>
            <w:tcW w:type="dxa" w:w="129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(Holm)</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d</w:t>
            </w:r>
            <w:r>
              <w:rPr>
                <w:rFonts w:ascii="Times New Roman" w:hAnsi="Times New Roman" w:cs="Times New Roman" w:eastAsia="Times New Roman"/>
                <w:b w:val="0"/>
                <w:i/>
                <w:color w:val="000000"/>
                <w:sz w:val="20"/>
                <w:vertAlign w:val="subscript"/>
              </w:rPr>
              <w:t>z</w:t>
            </w:r>
          </w:p>
        </w:tc>
      </w:tr>
      <w:tr>
        <w:trPr>
          <w:cantSplit/>
        </w:trPr>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Global k-NN vs. Static</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.262</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22.00</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3.83</w:t>
            </w:r>
          </w:p>
        </w:tc>
      </w:tr>
      <w:tr>
        <w:trPr>
          <w:cantSplit/>
        </w:trPr>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Static</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.237</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18.18</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3.16</w:t>
            </w:r>
          </w:p>
        </w:tc>
      </w:tr>
      <w:tr>
        <w:trPr>
          <w:cantSplit/>
        </w:trPr>
        <w:tc>
          <w:tcPr>
            <w:tcW w:type="dxa" w:w="360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Global k-NN</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−.024</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−6.93</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−1.21</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Positive differences favor the first-named strategy.</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E5</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RQ2 Pilot: Exemplar Relevance and Style-Metric Validity</w:t>
      </w:r>
    </w:p>
    <w:p>
      <w:pPr>
        <w:keepNext/>
        <w:widowControl/>
        <w:spacing w:line="240" w:lineRule="auto" w:before="0" w:after="0"/>
        <w:ind w:firstLine="0" w:left="0"/>
        <w:jc w:val="center"/>
      </w:pPr>
      <w:r>
        <w:drawing>
          <wp:inline xmlns:a="http://schemas.openxmlformats.org/drawingml/2006/main" xmlns:pic="http://schemas.openxmlformats.org/drawingml/2006/picture">
            <wp:extent cx="5760720" cy="2304288"/>
            <wp:docPr id="7" name="Picture 7"/>
            <wp:cNvGraphicFramePr>
              <a:graphicFrameLocks noChangeAspect="1"/>
            </wp:cNvGraphicFramePr>
            <a:graphic>
              <a:graphicData uri="http://schemas.openxmlformats.org/drawingml/2006/picture">
                <pic:pic>
                  <pic:nvPicPr>
                    <pic:cNvPr id="0" name="fig_rq2_pilot.png"/>
                    <pic:cNvPicPr/>
                  </pic:nvPicPr>
                  <pic:blipFill>
                    <a:blip r:embed="rId45"/>
                    <a:stretch>
                      <a:fillRect/>
                    </a:stretch>
                  </pic:blipFill>
                  <pic:spPr>
                    <a:xfrm>
                      <a:off x="0" y="0"/>
                      <a:ext cx="5760720" cy="2304288"/>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Panel A: lines connect the three strategies for the same prefix. Panel B: cosine similarity of the human agent reply to its own versus the other archetype centroids; error bars show 1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The nearest centroid matched the archetype for 48.5% of replies.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E8</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Holm-Adjusted Paired Contrasts for the RQ2 Outcomes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337"/>
        <w:gridCol w:w="1337"/>
        <w:gridCol w:w="1337"/>
        <w:gridCol w:w="1337"/>
        <w:gridCol w:w="1337"/>
        <w:gridCol w:w="1337"/>
        <w:gridCol w:w="1337"/>
      </w:tblGrid>
      <w:tr>
        <w:trPr>
          <w:cantSplit/>
          <w:tblHeader/>
        </w:trPr>
        <w:tc>
          <w:tcPr>
            <w:tcW w:type="dxa" w:w="216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Outcome</w:t>
            </w:r>
          </w:p>
        </w:tc>
        <w:tc>
          <w:tcPr>
            <w:tcW w:type="dxa" w:w="288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Contrast</w:t>
            </w:r>
          </w:p>
        </w:tc>
        <w:tc>
          <w:tcPr>
            <w:tcW w:type="dxa" w:w="1152"/>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Mean difference</w:t>
            </w:r>
          </w:p>
        </w:tc>
        <w:tc>
          <w:tcPr>
            <w:tcW w:type="dxa" w:w="86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t</w:t>
            </w:r>
          </w:p>
        </w:tc>
        <w:tc>
          <w:tcPr>
            <w:tcW w:type="dxa" w:w="57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df</w:t>
            </w:r>
          </w:p>
        </w:tc>
        <w:tc>
          <w:tcPr>
            <w:tcW w:type="dxa" w:w="1008"/>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(Holm)</w:t>
            </w:r>
          </w:p>
        </w:tc>
        <w:tc>
          <w:tcPr>
            <w:tcW w:type="dxa" w:w="72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color w:val="000000"/>
                <w:sz w:val="20"/>
              </w:rPr>
              <w:t>d</w:t>
            </w:r>
            <w:r>
              <w:rPr>
                <w:rFonts w:ascii="Times New Roman" w:hAnsi="Times New Roman" w:cs="Times New Roman" w:eastAsia="Times New Roman"/>
                <w:b w:val="0"/>
                <w:i/>
                <w:color w:val="000000"/>
                <w:sz w:val="20"/>
                <w:vertAlign w:val="subscript"/>
              </w:rPr>
              <w:t>z</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Style convergence</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Zero-shot</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−.033</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−1.23</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.678</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−0.21</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Style convergence</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Static vs. Zero-shot</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−.028</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−1.20</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.678</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−0.21</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Style convergence</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Static</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−.005</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−0.21</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.836</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−0.04</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Similarity to human reply</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Zero-shot</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.016</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0.59</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&gt; .999</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0.10</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Similarity to human reply</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Static vs. Zero-shot</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.008</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0.26</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&gt; .999</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0.05</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Similarity to human reply</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Static</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.008</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0.25</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&gt; .999</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0.04</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Response length</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Static vs. Zero-shot</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−14.6</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−6.86</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−1.19</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Response length</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Zero-shot</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−12.9</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−5.83</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&lt; .001</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−1.02</w:t>
            </w:r>
          </w:p>
        </w:tc>
      </w:tr>
      <w:tr>
        <w:trPr>
          <w:cantSplit/>
        </w:trPr>
        <w:tc>
          <w:tcPr>
            <w:tcW w:type="dxa" w:w="216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Response length</w:t>
            </w:r>
          </w:p>
        </w:tc>
        <w:tc>
          <w:tcPr>
            <w:tcW w:type="dxa" w:w="2880"/>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Cluster-Adaptive vs. Static</w:t>
            </w:r>
          </w:p>
        </w:tc>
        <w:tc>
          <w:tcPr>
            <w:tcW w:type="dxa" w:w="1152"/>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1.7</w:t>
            </w:r>
          </w:p>
        </w:tc>
        <w:tc>
          <w:tcPr>
            <w:tcW w:type="dxa" w:w="86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1.32</w:t>
            </w:r>
          </w:p>
        </w:tc>
        <w:tc>
          <w:tcPr>
            <w:tcW w:type="dxa" w:w="57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32</w:t>
            </w:r>
          </w:p>
        </w:tc>
        <w:tc>
          <w:tcPr>
            <w:tcW w:type="dxa" w:w="1008"/>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.196</w:t>
            </w:r>
          </w:p>
        </w:tc>
        <w:tc>
          <w:tcPr>
            <w:tcW w:type="dxa" w:w="72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0.23</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Positive differences favor the first-named condition.</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E6</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RQ2 Results: Style Convergence and Response Length by Prompting Condition</w:t>
      </w:r>
    </w:p>
    <w:p>
      <w:pPr>
        <w:keepNext/>
        <w:widowControl/>
        <w:spacing w:line="240" w:lineRule="auto" w:before="0" w:after="0"/>
        <w:ind w:firstLine="0" w:left="0"/>
        <w:jc w:val="center"/>
      </w:pPr>
      <w:r>
        <w:drawing>
          <wp:inline xmlns:a="http://schemas.openxmlformats.org/drawingml/2006/main" xmlns:pic="http://schemas.openxmlformats.org/drawingml/2006/picture">
            <wp:extent cx="5760720" cy="2304288"/>
            <wp:docPr id="8" name="Picture 8"/>
            <wp:cNvGraphicFramePr>
              <a:graphicFrameLocks noChangeAspect="1"/>
            </wp:cNvGraphicFramePr>
            <a:graphic>
              <a:graphicData uri="http://schemas.openxmlformats.org/drawingml/2006/picture">
                <pic:pic>
                  <pic:nvPicPr>
                    <pic:cNvPr id="0" name="fig_rq2_results.png"/>
                    <pic:cNvPicPr/>
                  </pic:nvPicPr>
                  <pic:blipFill>
                    <a:blip r:embed="rId46"/>
                    <a:stretch>
                      <a:fillRect/>
                    </a:stretch>
                  </pic:blipFill>
                  <pic:spPr>
                    <a:xfrm>
                      <a:off x="0" y="0"/>
                      <a:ext cx="5760720" cy="2304288"/>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Lines connect the three conditions for the same dialogue; triangles mark means. The dashed line in Panel B is the mean length of the human agent replies.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RQ3 and RQ4: Groundwork Details</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Table E9</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Corpus Audit of Rule Coverage in Frames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30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Rule</w:t>
            </w:r>
          </w:p>
        </w:tc>
        <w:tc>
          <w:tcPr>
            <w:tcW w:type="dxa" w:w="273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Required slot</w:t>
            </w:r>
          </w:p>
        </w:tc>
        <w:tc>
          <w:tcPr>
            <w:tcW w:type="dxa" w:w="1440"/>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Slot observed (%)</w:t>
            </w:r>
          </w:p>
        </w:tc>
        <w:tc>
          <w:tcPr>
            <w:tcW w:type="dxa" w:w="1584"/>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Dialogues triggering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w:t>
            </w:r>
          </w:p>
        </w:tc>
        <w:tc>
          <w:tcPr>
            <w:tcW w:type="dxa" w:w="1296"/>
            <w:tcBorders>
              <w:bottom w:val="single" w:sz="6" w:space="0" w:color="000000"/>
            </w:tcBorders>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Triggering (%)</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pax capacity</w:t>
            </w:r>
          </w:p>
        </w:tc>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traveler count adults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24.1</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54</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4.05</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budget minimum</w:t>
            </w:r>
          </w:p>
        </w:tc>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budget amount</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65.1</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266</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19.94</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visa window</w:t>
            </w:r>
          </w:p>
        </w:tc>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visa processing window days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0.00</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passport validity</w:t>
            </w:r>
          </w:p>
        </w:tc>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passport expiry months</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0.00</w:t>
            </w:r>
          </w:p>
        </w:tc>
      </w:tr>
      <w:tr>
        <w:trPr>
          <w:cantSplit/>
        </w:trPr>
        <w:tc>
          <w:tcPr>
            <w:tcW w:type="dxa" w:w="2304"/>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discount threshold</w:t>
            </w:r>
          </w:p>
        </w:tc>
        <w:tc>
          <w:tcPr>
            <w:tcW w:type="dxa" w:w="2736"/>
          </w:tcPr>
          <w:p>
            <w:pPr>
              <w:keepNext/>
              <w:widowControl/>
              <w:spacing w:line="240" w:lineRule="auto" w:before="40" w:after="40"/>
              <w:ind w:firstLine="0" w:left="0"/>
              <w:jc w:val="left"/>
            </w:pPr>
            <w:r>
              <w:rPr>
                <w:rFonts w:ascii="Times New Roman" w:hAnsi="Times New Roman" w:cs="Times New Roman" w:eastAsia="Times New Roman"/>
                <w:b w:val="0"/>
                <w:i w:val="0"/>
                <w:color w:val="000000"/>
                <w:sz w:val="20"/>
              </w:rPr>
              <w:t>discount applied percentage</w:t>
            </w:r>
          </w:p>
        </w:tc>
        <w:tc>
          <w:tcPr>
            <w:tcW w:type="dxa" w:w="1440"/>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w:t>
            </w:r>
          </w:p>
        </w:tc>
        <w:tc>
          <w:tcPr>
            <w:tcW w:type="dxa" w:w="1584"/>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w:t>
            </w:r>
          </w:p>
        </w:tc>
        <w:tc>
          <w:tcPr>
            <w:tcW w:type="dxa" w:w="1296"/>
          </w:tcPr>
          <w:p>
            <w:pPr>
              <w:keepNext/>
              <w:widowControl/>
              <w:spacing w:line="240" w:lineRule="auto" w:before="40" w:after="40"/>
              <w:ind w:firstLine="0" w:left="0"/>
              <w:jc w:val="center"/>
            </w:pPr>
            <w:r>
              <w:rPr>
                <w:rFonts w:ascii="Times New Roman" w:hAnsi="Times New Roman" w:cs="Times New Roman" w:eastAsia="Times New Roman"/>
                <w:b w:val="0"/>
                <w:i w:val="0"/>
                <w:color w:val="000000"/>
                <w:sz w:val="20"/>
              </w:rPr>
              <w:t>0.00</w:t>
            </w:r>
          </w:p>
        </w:tc>
      </w:tr>
    </w:tbl>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1,334 Frames dialogues. Only numeric values stated by the user were counted, so the adult and budget percentages are lower than the any-mention rates in Table E1.</w:t>
      </w:r>
    </w:p>
    <w:p>
      <w:pPr>
        <w:keepNext/>
        <w:widowControl/>
        <w:spacing w:line="480" w:lineRule="auto" w:before="240" w:after="0"/>
        <w:ind w:firstLine="0" w:left="0"/>
        <w:jc w:val="left"/>
      </w:pPr>
      <w:r>
        <w:rPr>
          <w:rFonts w:ascii="Times New Roman" w:hAnsi="Times New Roman" w:cs="Times New Roman" w:eastAsia="Times New Roman"/>
          <w:b/>
          <w:i w:val="0"/>
          <w:color w:val="000000"/>
          <w:sz w:val="24"/>
        </w:rPr>
        <w:t>Figure E7</w:t>
      </w:r>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Human Baseline of Turn Economy and Redundant Elicitation by Refined Archetype</w:t>
      </w:r>
    </w:p>
    <w:p>
      <w:pPr>
        <w:keepNext/>
        <w:widowControl/>
        <w:spacing w:line="240" w:lineRule="auto" w:before="0" w:after="0"/>
        <w:ind w:firstLine="0" w:left="0"/>
        <w:jc w:val="center"/>
      </w:pPr>
      <w:r>
        <w:drawing>
          <wp:inline xmlns:a="http://schemas.openxmlformats.org/drawingml/2006/main" xmlns:pic="http://schemas.openxmlformats.org/drawingml/2006/picture">
            <wp:extent cx="5760720" cy="2304288"/>
            <wp:docPr id="9" name="Picture 9"/>
            <wp:cNvGraphicFramePr>
              <a:graphicFrameLocks noChangeAspect="1"/>
            </wp:cNvGraphicFramePr>
            <a:graphic>
              <a:graphicData uri="http://schemas.openxmlformats.org/drawingml/2006/picture">
                <pic:pic>
                  <pic:nvPicPr>
                    <pic:cNvPr id="0" name="fig_rq4_baseline_refined.png"/>
                    <pic:cNvPicPr/>
                  </pic:nvPicPr>
                  <pic:blipFill>
                    <a:blip r:embed="rId47"/>
                    <a:stretch>
                      <a:fillRect/>
                    </a:stretch>
                  </pic:blipFill>
                  <pic:spPr>
                    <a:xfrm>
                      <a:off x="0" y="0"/>
                      <a:ext cx="5760720" cy="2304288"/>
                    </a:xfrm>
                    <a:prstGeom prst="rect"/>
                  </pic:spPr>
                </pic:pic>
              </a:graphicData>
            </a:graphic>
          </wp:inline>
        </w:drawing>
      </w:r>
    </w:p>
    <w:p>
      <w:pPr>
        <w:keepNext w:val="0"/>
        <w:widowControl/>
        <w:spacing w:line="480" w:lineRule="auto" w:before="0" w:after="24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Panel A: triangles mark means. Panel B: error bars show 95% confidence intervals.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ind w:firstLine="0" w:left="0"/>
      <w:jc w:val="right"/>
    </w:pPr>
    <w:r>
      <w:rPr>
        <w:rFonts w:ascii="Times New Roman" w:hAnsi="Times New Roman" w:cs="Times New Roman" w:eastAsia="Times New Roman"/>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eastAsiaTheme="majorEastAsia" w:cstheme="majorBidi"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eastAsiaTheme="majorEastAsia"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eastAsiaTheme="majorEastAsia" w:cstheme="majorBidi"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surnella/QM640-Dialogue-Clustering-Capstone" TargetMode="External"/><Relationship Id="rId11" Type="http://schemas.openxmlformats.org/officeDocument/2006/relationships/hyperlink" Target="https://www.microsoft.com/en-us/research/project/frames-dataset/" TargetMode="External"/><Relationship Id="rId12" Type="http://schemas.openxmlformats.org/officeDocument/2006/relationships/hyperlink" Target="https://github.com/budzianowski/multiwoz"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doi.org/10.18653/v1/2025.sigdial-1.7" TargetMode="External"/><Relationship Id="rId16" Type="http://schemas.openxmlformats.org/officeDocument/2006/relationships/hyperlink" Target="https://doi.org/10.48550/arXiv.2005.14165" TargetMode="External"/><Relationship Id="rId17" Type="http://schemas.openxmlformats.org/officeDocument/2006/relationships/hyperlink" Target="https://doi.org/10.18653/v1/D18-1547" TargetMode="External"/><Relationship Id="rId18" Type="http://schemas.openxmlformats.org/officeDocument/2006/relationships/hyperlink" Target="https://doi.org/10.4324/9780203771587" TargetMode="External"/><Relationship Id="rId19" Type="http://schemas.openxmlformats.org/officeDocument/2006/relationships/hyperlink" Target="https://doi.org/10.1109/TPAMI.1979.4766909" TargetMode="External"/><Relationship Id="rId20" Type="http://schemas.openxmlformats.org/officeDocument/2006/relationships/hyperlink" Target="https://doi.org/10.18653/v1/W17-5526" TargetMode="External"/><Relationship Id="rId21" Type="http://schemas.openxmlformats.org/officeDocument/2006/relationships/hyperlink" Target="https://doi.org/10.3758/BF03193146" TargetMode="External"/><Relationship Id="rId22" Type="http://schemas.openxmlformats.org/officeDocument/2006/relationships/hyperlink" Target="https://doi.org/10.1073/pnas.2305016120" TargetMode="External"/><Relationship Id="rId23" Type="http://schemas.openxmlformats.org/officeDocument/2006/relationships/hyperlink" Target="https://doi.org/10.1007/BF02289823" TargetMode="External"/><Relationship Id="rId24" Type="http://schemas.openxmlformats.org/officeDocument/2006/relationships/hyperlink" Target="https://doi.org/10.1016/j.csda.2006.11.025" TargetMode="External"/><Relationship Id="rId25" Type="http://schemas.openxmlformats.org/officeDocument/2006/relationships/hyperlink" Target="https://doi.org/10.1007/BF01908075" TargetMode="External"/><Relationship Id="rId26" Type="http://schemas.openxmlformats.org/officeDocument/2006/relationships/hyperlink" Target="https://aclanthology.org/2022.lrec-1.619" TargetMode="External"/><Relationship Id="rId27" Type="http://schemas.openxmlformats.org/officeDocument/2006/relationships/hyperlink" Target="https://doi.org/10.1145/3453154" TargetMode="External"/><Relationship Id="rId28" Type="http://schemas.openxmlformats.org/officeDocument/2006/relationships/hyperlink" Target="https://doi.org/10.1109/TBDATA.2019.2921572" TargetMode="External"/><Relationship Id="rId29" Type="http://schemas.openxmlformats.org/officeDocument/2006/relationships/hyperlink" Target="https://doi.org/10.48550/arXiv.2503.07891" TargetMode="External"/><Relationship Id="rId30" Type="http://schemas.openxmlformats.org/officeDocument/2006/relationships/hyperlink" Target="https://doi.org/10.18653/v1/2022.deelio-1.10" TargetMode="External"/><Relationship Id="rId31" Type="http://schemas.openxmlformats.org/officeDocument/2006/relationships/hyperlink" Target="https://doi.org/10.21105/joss.00205" TargetMode="External"/><Relationship Id="rId32" Type="http://schemas.openxmlformats.org/officeDocument/2006/relationships/hyperlink" Target="https://doi.org/10.48550/arXiv.1802.03426" TargetMode="External"/><Relationship Id="rId33" Type="http://schemas.openxmlformats.org/officeDocument/2006/relationships/hyperlink" Target="https://jmlr.org/papers/v12/pedregosa11a.html" TargetMode="External"/><Relationship Id="rId34" Type="http://schemas.openxmlformats.org/officeDocument/2006/relationships/hyperlink" Target="https://doi.org/10.18653/v1/2023.emnlp-demo.40" TargetMode="External"/><Relationship Id="rId35" Type="http://schemas.openxmlformats.org/officeDocument/2006/relationships/hyperlink" Target="https://doi.org/10.18653/v1/D19-1410" TargetMode="External"/><Relationship Id="rId36" Type="http://schemas.openxmlformats.org/officeDocument/2006/relationships/hyperlink" Target="https://doi.org/10.1016/0377-0427(87)90125-7" TargetMode="External"/><Relationship Id="rId37" Type="http://schemas.openxmlformats.org/officeDocument/2006/relationships/hyperlink" Target="https://doi.org/10.25080/Majora-92bf1922-011" TargetMode="External"/><Relationship Id="rId38" Type="http://schemas.openxmlformats.org/officeDocument/2006/relationships/hyperlink" Target="https://doi.org/10.48550/arXiv.2406.12045" TargetMode="External"/><Relationship Id="rId39" Type="http://schemas.openxmlformats.org/officeDocument/2006/relationships/hyperlink" Target="https://doi.org/10.18653/v1/2020.nlp4convai-1.13" TargetMode="External"/><Relationship Id="rId40" Type="http://schemas.openxmlformats.org/officeDocument/2006/relationships/hyperlink" Target="https://openreview.net/forum?id=SkeHuCVFDr" TargetMode="External"/><Relationship Id="rId41" Type="http://schemas.openxmlformats.org/officeDocument/2006/relationships/image" Target="media/image3.png"/><Relationship Id="rId42" Type="http://schemas.openxmlformats.org/officeDocument/2006/relationships/image" Target="media/image4.png"/><Relationship Id="rId43" Type="http://schemas.openxmlformats.org/officeDocument/2006/relationships/image" Target="media/image5.png"/><Relationship Id="rId44" Type="http://schemas.openxmlformats.org/officeDocument/2006/relationships/image" Target="media/image6.png"/><Relationship Id="rId45" Type="http://schemas.openxmlformats.org/officeDocument/2006/relationships/image" Target="media/image7.png"/><Relationship Id="rId46" Type="http://schemas.openxmlformats.org/officeDocument/2006/relationships/image" Target="media/image8.png"/><Relationship Id="rId4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