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Times New Roman" w:hAnsi="Times New Roman"/>
          <w:b/>
          <w:i w:val="0"/>
          <w:color w:val="163126"/>
          <w:sz w:val="44"/>
        </w:rPr>
        <w:t>Структура ВКР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23613F"/>
          <w:sz w:val="28"/>
        </w:rPr>
        <w:t>Визуализация науки на основе метаданных публикаций и журналов</w:t>
      </w:r>
    </w:p>
    <w:p/>
    <w:p>
      <w:pPr>
        <w:spacing w:before="400" w:after="160"/>
      </w:pPr>
      <w:r>
        <w:rPr>
          <w:rFonts w:ascii="Times New Roman" w:hAnsi="Times New Roman"/>
          <w:b/>
          <w:i w:val="0"/>
          <w:color w:val="163126"/>
          <w:sz w:val="36"/>
        </w:rPr>
        <w:t>Введение</w:t>
      </w:r>
    </w:p>
    <w:p>
      <w:pPr>
        <w:spacing w:before="80" w:after="80"/>
      </w:pPr>
      <w:r>
        <w:rPr>
          <w:color w:val="CFE0D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Что анализируется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Объект исследования — </w:t>
      </w:r>
      <w:r>
        <w:rPr>
          <w:rFonts w:ascii="Times New Roman" w:hAnsi="Times New Roman"/>
          <w:b/>
          <w:i w:val="0"/>
          <w:sz w:val="24"/>
        </w:rPr>
        <w:t>метаданные научных публикаций и журналов</w:t>
      </w:r>
      <w:r>
        <w:rPr>
          <w:rFonts w:ascii="Times New Roman" w:hAnsi="Times New Roman"/>
          <w:b w:val="0"/>
          <w:i w:val="0"/>
          <w:sz w:val="24"/>
        </w:rPr>
        <w:t>: названия, авторы, год выхода, аффилиации авторов, темы, ключевые слова и DOI. Данные получены из открытого каталога OpenAlex, который агрегирует информацию о более чем 250 миллионах научных работ.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Метаданные не включают полные тексты статей — анализируются только структурированные описания публикаций, достаточные для выявления связей между участниками научного процесса.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Зачем нужна визуализация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Научные публикации существуют в виде разрозненных записей. Без инструментов анализа сложно ответить на вопросы: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Какие авторы работают в смежных областях?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Из каких стран и организаций приходят исследования по теме?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Как связаны журналы, авторы и тематические направления?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Визуализация решает эту задачу: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Инструмент</w:t>
            </w:r>
          </w:p>
        </w:tc>
        <w:tc>
          <w:tcPr>
            <w:tcW w:type="dxa" w:w="6236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Что показывает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Карта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Географическое распределение аффилиаций авторов — откуда в мире ведутся исследования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Граф связей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Связи между публикациями, авторами, журналами и темами — кто с кем работает и что изучает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Система позволяет перейти от плоского списка статей к структурированному представлению научного ландшафта по выбранной теме.</w:t>
      </w:r>
    </w:p>
    <w:p>
      <w:r>
        <w:br w:type="page"/>
      </w:r>
    </w:p>
    <w:p>
      <w:pPr>
        <w:spacing w:before="400" w:after="160"/>
      </w:pPr>
      <w:r>
        <w:rPr>
          <w:rFonts w:ascii="Times New Roman" w:hAnsi="Times New Roman"/>
          <w:b/>
          <w:i w:val="0"/>
          <w:color w:val="163126"/>
          <w:sz w:val="36"/>
        </w:rPr>
        <w:t>I. Выкачка данных из OpenAlex</w:t>
      </w:r>
    </w:p>
    <w:p>
      <w:pPr>
        <w:spacing w:before="80" w:after="80"/>
      </w:pPr>
      <w:r>
        <w:rPr>
          <w:color w:val="CFE0D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Описание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Данные о публикациях и журналах загружаются из открытого API OpenAlex — бесплатного каталога научных работ.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63126"/>
          <w:sz w:val="24"/>
        </w:rPr>
        <w:t>Схема взаимодействия: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[OpenAlex API] → [scripts/import.py] → [article_data.json] → [openalex_data/]</w:t>
      </w:r>
    </w:p>
    <w:p>
      <w:pPr>
        <w:spacing w:after="80"/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Скрипт загрузки: scripts/import.py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Загружает публикации через эндпоинт </w:t>
      </w:r>
      <w:r>
        <w:rPr>
          <w:rFonts w:ascii="Courier New" w:hAnsi="Courier New"/>
          <w:b w:val="0"/>
          <w:i w:val="0"/>
          <w:color w:val="23613F"/>
          <w:sz w:val="20"/>
        </w:rPr>
        <w:t>/works</w:t>
      </w:r>
      <w:r>
        <w:rPr>
          <w:rFonts w:ascii="Times New Roman" w:hAnsi="Times New Roman"/>
          <w:b w:val="0"/>
          <w:i w:val="0"/>
          <w:sz w:val="24"/>
        </w:rPr>
        <w:t>, постранично (до 200 записей на страницу, до 50 страниц). Для каждой публикации извлекается: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название, год, DOI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журнал (</w:t>
      </w:r>
      <w:r>
        <w:rPr>
          <w:rFonts w:ascii="Courier New" w:hAnsi="Courier New"/>
          <w:b w:val="0"/>
          <w:i w:val="0"/>
          <w:color w:val="23613F"/>
          <w:sz w:val="20"/>
        </w:rPr>
        <w:t>primary_location.source.display_name</w:t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авторы и их аффилиации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темы и ключевые слова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Результат сохраняется в </w:t>
      </w:r>
      <w:r>
        <w:rPr>
          <w:rFonts w:ascii="Courier New" w:hAnsi="Courier New"/>
          <w:b w:val="0"/>
          <w:i w:val="0"/>
          <w:color w:val="23613F"/>
          <w:sz w:val="20"/>
        </w:rPr>
        <w:t>article_data.json</w:t>
      </w:r>
      <w:r>
        <w:rPr>
          <w:rFonts w:ascii="Times New Roman" w:hAnsi="Times New Roman"/>
          <w:b w:val="0"/>
          <w:i w:val="0"/>
          <w:sz w:val="24"/>
        </w:rPr>
        <w:t xml:space="preserve"> (полные данные) и </w:t>
      </w:r>
      <w:r>
        <w:rPr>
          <w:rFonts w:ascii="Courier New" w:hAnsi="Courier New"/>
          <w:b w:val="0"/>
          <w:i w:val="0"/>
          <w:color w:val="23613F"/>
          <w:sz w:val="20"/>
        </w:rPr>
        <w:t>article_summary.txt</w:t>
      </w:r>
      <w:r>
        <w:rPr>
          <w:rFonts w:ascii="Times New Roman" w:hAnsi="Times New Roman"/>
          <w:b w:val="0"/>
          <w:i w:val="0"/>
          <w:sz w:val="24"/>
        </w:rPr>
        <w:t xml:space="preserve"> (текстовая сводка).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Как работает постраничная загрузка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OpenAlex использует </w:t>
      </w:r>
      <w:r>
        <w:rPr>
          <w:rFonts w:ascii="Times New Roman" w:hAnsi="Times New Roman"/>
          <w:b/>
          <w:i w:val="0"/>
          <w:sz w:val="24"/>
        </w:rPr>
        <w:t>курсорную пагинацию</w:t>
      </w:r>
      <w:r>
        <w:rPr>
          <w:rFonts w:ascii="Times New Roman" w:hAnsi="Times New Roman"/>
          <w:b w:val="0"/>
          <w:i w:val="0"/>
          <w:sz w:val="24"/>
        </w:rPr>
        <w:t xml:space="preserve"> — не номера страниц, а токен следующей страницы: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Запрос 1: /works?per-page=200&amp;cursor=*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→ возвращает 200 записей + meta.next_cursor = "abc123"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Запрос 2: /works?per-page=200&amp;cursor=abc123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→ следующие 200 записей + новый cursor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...до 50 страниц или пока cursor не вернёт null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Итого максимум: 200 × 50 = 10 000 публикаций</w:t>
      </w:r>
    </w:p>
    <w:p>
      <w:pPr>
        <w:spacing w:after="80"/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Что извлекается из каждой записи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Поле в JSON</w:t>
            </w:r>
          </w:p>
        </w:tc>
        <w:tc>
          <w:tcPr>
            <w:tcW w:type="dxa" w:w="3969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Что это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display_name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 статьи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publication_year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Год публикации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doi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DOI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primary_location.source.display_name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Журнал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authorships[].author.display_name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Имена авторов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authorships[].institutions[].display_name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Организации авторов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authorships[].institutions[].id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ID организации (для геокодирования)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primary_topic.display_name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Основная тема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topics[].display_name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Все темы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keywords[].keyword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Ключевые слова</w:t>
            </w:r>
          </w:p>
        </w:tc>
      </w:tr>
    </w:tbl>
    <w:p/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Кэширование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Если </w:t>
      </w:r>
      <w:r>
        <w:rPr>
          <w:rFonts w:ascii="Courier New" w:hAnsi="Courier New"/>
          <w:b w:val="0"/>
          <w:i w:val="0"/>
          <w:color w:val="23613F"/>
          <w:sz w:val="20"/>
        </w:rPr>
        <w:t>article_data.json</w:t>
      </w:r>
      <w:r>
        <w:rPr>
          <w:rFonts w:ascii="Times New Roman" w:hAnsi="Times New Roman"/>
          <w:b w:val="0"/>
          <w:i w:val="0"/>
          <w:sz w:val="24"/>
        </w:rPr>
        <w:t xml:space="preserve"> уже существует и при следующем запуске API недоступен (сеть, лимиты) — скрипт автоматически использует сохранённый файл и не завершается с ошибкой.</w:t>
      </w:r>
    </w:p>
    <w:p>
      <w:r>
        <w:br w:type="page"/>
      </w:r>
    </w:p>
    <w:p>
      <w:pPr>
        <w:spacing w:before="400" w:after="160"/>
      </w:pPr>
      <w:r>
        <w:rPr>
          <w:rFonts w:ascii="Times New Roman" w:hAnsi="Times New Roman"/>
          <w:b/>
          <w:i w:val="0"/>
          <w:color w:val="163126"/>
          <w:sz w:val="36"/>
        </w:rPr>
        <w:t>II. База данных</w:t>
      </w:r>
    </w:p>
    <w:p>
      <w:pPr>
        <w:spacing w:before="80" w:after="80"/>
      </w:pPr>
      <w:r>
        <w:rPr>
          <w:color w:val="CFE0D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Описание таблиц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Таблица</w:t>
            </w:r>
          </w:p>
        </w:tc>
        <w:tc>
          <w:tcPr>
            <w:tcW w:type="dxa" w:w="2835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Назначение</w:t>
            </w:r>
          </w:p>
        </w:tc>
        <w:tc>
          <w:tcPr>
            <w:tcW w:type="dxa" w:w="3118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Ключевые поля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journals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Научные журналы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journal_id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PK,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openalex_id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UK,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Публикации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PK,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title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doi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UK,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journal_id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FK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persons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Авторы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person_id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PK,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full_name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orcid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affiliations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Организации авторов с геокоординатами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person_id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FK,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institution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latitude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longitude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publication_authors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Связь публикация ↔ автор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FK,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person_id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FK,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author_position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publication_topics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Темы публикаций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FK,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topic_name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score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publication_keywords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Ключевые слова публикаций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publication_id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FK,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keyword_name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score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</w:tbl>
    <w:p/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Связи между таблицами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Courier New" w:hAnsi="Courier New"/>
          <w:b w:val="0"/>
          <w:i w:val="0"/>
          <w:color w:val="23613F"/>
          <w:sz w:val="20"/>
        </w:rPr>
        <w:t>journals</w:t>
      </w:r>
      <w:r>
        <w:rPr>
          <w:rFonts w:ascii="Times New Roman" w:hAnsi="Times New Roman"/>
          <w:b w:val="0"/>
          <w:i w:val="0"/>
          <w:sz w:val="24"/>
        </w:rPr>
        <w:t xml:space="preserve"> → </w:t>
      </w:r>
      <w:r>
        <w:rPr>
          <w:rFonts w:ascii="Courier New" w:hAnsi="Courier New"/>
          <w:b w:val="0"/>
          <w:i w:val="0"/>
          <w:color w:val="23613F"/>
          <w:sz w:val="20"/>
        </w:rPr>
        <w:t>publications</w:t>
      </w:r>
      <w:r>
        <w:rPr>
          <w:rFonts w:ascii="Times New Roman" w:hAnsi="Times New Roman"/>
          <w:b w:val="0"/>
          <w:i w:val="0"/>
          <w:sz w:val="24"/>
        </w:rPr>
        <w:t>: один журнал содержит много публикаций (1:N)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Courier New" w:hAnsi="Courier New"/>
          <w:b w:val="0"/>
          <w:i w:val="0"/>
          <w:color w:val="23613F"/>
          <w:sz w:val="20"/>
        </w:rPr>
        <w:t>publications</w:t>
      </w:r>
      <w:r>
        <w:rPr>
          <w:rFonts w:ascii="Times New Roman" w:hAnsi="Times New Roman"/>
          <w:b w:val="0"/>
          <w:i w:val="0"/>
          <w:sz w:val="24"/>
        </w:rPr>
        <w:t xml:space="preserve"> ↔ </w:t>
      </w:r>
      <w:r>
        <w:rPr>
          <w:rFonts w:ascii="Courier New" w:hAnsi="Courier New"/>
          <w:b w:val="0"/>
          <w:i w:val="0"/>
          <w:color w:val="23613F"/>
          <w:sz w:val="20"/>
        </w:rPr>
        <w:t>persons</w:t>
      </w:r>
      <w:r>
        <w:rPr>
          <w:rFonts w:ascii="Times New Roman" w:hAnsi="Times New Roman"/>
          <w:b w:val="0"/>
          <w:i w:val="0"/>
          <w:sz w:val="24"/>
        </w:rPr>
        <w:t xml:space="preserve">: многие публикации имеют многих авторов (N:M через </w:t>
      </w:r>
      <w:r>
        <w:rPr>
          <w:rFonts w:ascii="Courier New" w:hAnsi="Courier New"/>
          <w:b w:val="0"/>
          <w:i w:val="0"/>
          <w:color w:val="23613F"/>
          <w:sz w:val="20"/>
        </w:rPr>
        <w:t>publication_authors</w:t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Courier New" w:hAnsi="Courier New"/>
          <w:b w:val="0"/>
          <w:i w:val="0"/>
          <w:color w:val="23613F"/>
          <w:sz w:val="20"/>
        </w:rPr>
        <w:t>persons</w:t>
      </w:r>
      <w:r>
        <w:rPr>
          <w:rFonts w:ascii="Times New Roman" w:hAnsi="Times New Roman"/>
          <w:b w:val="0"/>
          <w:i w:val="0"/>
          <w:sz w:val="24"/>
        </w:rPr>
        <w:t xml:space="preserve"> → </w:t>
      </w:r>
      <w:r>
        <w:rPr>
          <w:rFonts w:ascii="Courier New" w:hAnsi="Courier New"/>
          <w:b w:val="0"/>
          <w:i w:val="0"/>
          <w:color w:val="23613F"/>
          <w:sz w:val="20"/>
        </w:rPr>
        <w:t>affiliations</w:t>
      </w:r>
      <w:r>
        <w:rPr>
          <w:rFonts w:ascii="Times New Roman" w:hAnsi="Times New Roman"/>
          <w:b w:val="0"/>
          <w:i w:val="0"/>
          <w:sz w:val="24"/>
        </w:rPr>
        <w:t>: один автор может иметь несколько аффилиаций (1:N)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Courier New" w:hAnsi="Courier New"/>
          <w:b w:val="0"/>
          <w:i w:val="0"/>
          <w:color w:val="23613F"/>
          <w:sz w:val="20"/>
        </w:rPr>
        <w:t>publications</w:t>
      </w:r>
      <w:r>
        <w:rPr>
          <w:rFonts w:ascii="Times New Roman" w:hAnsi="Times New Roman"/>
          <w:b w:val="0"/>
          <w:i w:val="0"/>
          <w:sz w:val="24"/>
        </w:rPr>
        <w:t xml:space="preserve"> → </w:t>
      </w:r>
      <w:r>
        <w:rPr>
          <w:rFonts w:ascii="Courier New" w:hAnsi="Courier New"/>
          <w:b w:val="0"/>
          <w:i w:val="0"/>
          <w:color w:val="23613F"/>
          <w:sz w:val="20"/>
        </w:rPr>
        <w:t>publication_topics</w:t>
      </w:r>
      <w:r>
        <w:rPr>
          <w:rFonts w:ascii="Times New Roman" w:hAnsi="Times New Roman"/>
          <w:b w:val="0"/>
          <w:i w:val="0"/>
          <w:sz w:val="24"/>
        </w:rPr>
        <w:t>: одна публикация — несколько тем (1:N)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Courier New" w:hAnsi="Courier New"/>
          <w:b w:val="0"/>
          <w:i w:val="0"/>
          <w:color w:val="23613F"/>
          <w:sz w:val="20"/>
        </w:rPr>
        <w:t>publications</w:t>
      </w:r>
      <w:r>
        <w:rPr>
          <w:rFonts w:ascii="Times New Roman" w:hAnsi="Times New Roman"/>
          <w:b w:val="0"/>
          <w:i w:val="0"/>
          <w:sz w:val="24"/>
        </w:rPr>
        <w:t xml:space="preserve"> → </w:t>
      </w:r>
      <w:r>
        <w:rPr>
          <w:rFonts w:ascii="Courier New" w:hAnsi="Courier New"/>
          <w:b w:val="0"/>
          <w:i w:val="0"/>
          <w:color w:val="23613F"/>
          <w:sz w:val="20"/>
        </w:rPr>
        <w:t>publication_keywords</w:t>
      </w:r>
      <w:r>
        <w:rPr>
          <w:rFonts w:ascii="Times New Roman" w:hAnsi="Times New Roman"/>
          <w:b w:val="0"/>
          <w:i w:val="0"/>
          <w:sz w:val="24"/>
        </w:rPr>
        <w:t>: одна публикация — несколько ключевых слов (1:N)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Скрипты создания и загрузки БД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63126"/>
          <w:sz w:val="24"/>
        </w:rPr>
        <w:t>Создание схемы: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createdb -U postgres openalex_db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psql -U postgres -d openalex_db -f database/db.sql</w:t>
      </w:r>
    </w:p>
    <w:p>
      <w:pPr>
        <w:spacing w:after="80"/>
      </w:pPr>
    </w:p>
    <w:p>
      <w:pPr>
        <w:spacing w:before="160" w:after="60"/>
      </w:pPr>
      <w:r>
        <w:rPr>
          <w:rFonts w:ascii="Times New Roman" w:hAnsi="Times New Roman"/>
          <w:b/>
          <w:i w:val="0"/>
          <w:color w:val="163126"/>
          <w:sz w:val="24"/>
        </w:rPr>
        <w:t>Загрузка данных из JSON в PostgreSQL: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python database/setup_pg_database.py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Скрипт </w:t>
      </w:r>
      <w:r>
        <w:rPr>
          <w:rFonts w:ascii="Courier New" w:hAnsi="Courier New"/>
          <w:b w:val="0"/>
          <w:i w:val="0"/>
          <w:color w:val="23613F"/>
          <w:sz w:val="20"/>
        </w:rPr>
        <w:t>database/setup_pg_database.py</w:t>
      </w:r>
      <w:r>
        <w:rPr>
          <w:rFonts w:ascii="Times New Roman" w:hAnsi="Times New Roman"/>
          <w:b w:val="0"/>
          <w:i w:val="0"/>
          <w:sz w:val="24"/>
        </w:rPr>
        <w:t xml:space="preserve"> читает JSON-файлы из </w:t>
      </w:r>
      <w:r>
        <w:rPr>
          <w:rFonts w:ascii="Courier New" w:hAnsi="Courier New"/>
          <w:b w:val="0"/>
          <w:i w:val="0"/>
          <w:color w:val="23613F"/>
          <w:sz w:val="20"/>
        </w:rPr>
        <w:t>openalex_data/</w:t>
      </w:r>
      <w:r>
        <w:rPr>
          <w:rFonts w:ascii="Times New Roman" w:hAnsi="Times New Roman"/>
          <w:b w:val="0"/>
          <w:i w:val="0"/>
          <w:sz w:val="24"/>
        </w:rPr>
        <w:t xml:space="preserve"> и заполняет таблицы БД.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Блок-схема загрузки данных в БД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[article_data.json]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▼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[setup_pg_database.py]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├──► journals            (INSERT OR IGNORE по openalex_id)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├──► publications        (INSERT, journal_id из journals)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├──► persons             (INSERT OR IGNORE по openalex_id)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├──► affiliations        (INSERT для каждой организации автора)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├──► publication_authors (INSERT связи публикация↔автор)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├──► publication_topics  (INSERT тем)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└──► publication_keywords (INSERT ключевых слов)</w:t>
      </w:r>
    </w:p>
    <w:p>
      <w:pPr>
        <w:spacing w:after="80"/>
      </w:pPr>
    </w:p>
    <w:p>
      <w:r>
        <w:br w:type="page"/>
      </w:r>
    </w:p>
    <w:p>
      <w:pPr>
        <w:spacing w:before="400" w:after="160"/>
      </w:pPr>
      <w:r>
        <w:rPr>
          <w:rFonts w:ascii="Times New Roman" w:hAnsi="Times New Roman"/>
          <w:b/>
          <w:i w:val="0"/>
          <w:color w:val="163126"/>
          <w:sz w:val="36"/>
        </w:rPr>
        <w:t>III. Географическая привязка</w:t>
      </w:r>
    </w:p>
    <w:p>
      <w:pPr>
        <w:spacing w:before="80" w:after="80"/>
      </w:pPr>
      <w:r>
        <w:rPr>
          <w:color w:val="CFE0D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Задача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Для каждой аффилиации (организации автора) необходимо получить географические координаты (широта, долгота), чтобы отобразить их на карте.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Проблемы и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Проблема</w:t>
            </w:r>
          </w:p>
        </w:tc>
        <w:tc>
          <w:tcPr>
            <w:tcW w:type="dxa" w:w="2835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Причина</w:t>
            </w:r>
          </w:p>
        </w:tc>
        <w:tc>
          <w:tcPr>
            <w:tcW w:type="dxa" w:w="2835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Решение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Не все аффилиации имеют </w:t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institution_id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OpenAlex не всегда возвращает ID организации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Fallback через Photon по названию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Лимиты API OpenAlex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Не более 10 запросов/сек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Пауза 0.5 сек между батчами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Один автор — несколько организаций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Авторы работают в нескольких местах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Сохраняются все аффилиации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Координаты отсутствуют у части организаций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OpenAlex не всегда имеет geo-данные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Fallback: Photon (OpenStreetMap)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Дублирование координат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Разные записи одной организации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Дедупликация по (place, lat, lon)</w:t>
            </w:r>
          </w:p>
        </w:tc>
      </w:tr>
    </w:tbl>
    <w:p/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Откуда берутся геоданные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63126"/>
          <w:sz w:val="24"/>
        </w:rPr>
        <w:t>Этап 1 — OpenAlex /institutions API (fetch_geo.py)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Для каждой организации с </w:t>
      </w:r>
      <w:r>
        <w:rPr>
          <w:rFonts w:ascii="Courier New" w:hAnsi="Courier New"/>
          <w:b w:val="0"/>
          <w:i w:val="0"/>
          <w:color w:val="23613F"/>
          <w:sz w:val="20"/>
        </w:rPr>
        <w:t>institution_id</w:t>
      </w:r>
      <w:r>
        <w:rPr>
          <w:rFonts w:ascii="Times New Roman" w:hAnsi="Times New Roman"/>
          <w:b w:val="0"/>
          <w:i w:val="0"/>
          <w:sz w:val="24"/>
        </w:rPr>
        <w:t xml:space="preserve"> делается батчевый запрос (до 100 ID за раз):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GET https://api.openalex.org/institutions?filter=ids.openalex:I123|I456|...&amp;select=id,geo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Между батчами — пауза 0.5 секунды. Из ответа берётся </w:t>
      </w:r>
      <w:r>
        <w:rPr>
          <w:rFonts w:ascii="Courier New" w:hAnsi="Courier New"/>
          <w:b w:val="0"/>
          <w:i w:val="0"/>
          <w:color w:val="23613F"/>
          <w:sz w:val="20"/>
        </w:rPr>
        <w:t>geo.latitude</w:t>
      </w:r>
      <w:r>
        <w:rPr>
          <w:rFonts w:ascii="Times New Roman" w:hAnsi="Times New Roman"/>
          <w:b w:val="0"/>
          <w:i w:val="0"/>
          <w:sz w:val="24"/>
        </w:rPr>
        <w:t xml:space="preserve"> и </w:t>
      </w:r>
      <w:r>
        <w:rPr>
          <w:rFonts w:ascii="Courier New" w:hAnsi="Courier New"/>
          <w:b w:val="0"/>
          <w:i w:val="0"/>
          <w:color w:val="23613F"/>
          <w:sz w:val="20"/>
        </w:rPr>
        <w:t>geo.longitude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63126"/>
          <w:sz w:val="24"/>
        </w:rPr>
        <w:t>Этап 2 — Photon/OpenStreetMap (fetch_geo_nominatim.py)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Для аффилиаций без </w:t>
      </w:r>
      <w:r>
        <w:rPr>
          <w:rFonts w:ascii="Courier New" w:hAnsi="Courier New"/>
          <w:b w:val="0"/>
          <w:i w:val="0"/>
          <w:color w:val="23613F"/>
          <w:sz w:val="20"/>
        </w:rPr>
        <w:t>institution_id</w:t>
      </w:r>
      <w:r>
        <w:rPr>
          <w:rFonts w:ascii="Times New Roman" w:hAnsi="Times New Roman"/>
          <w:b w:val="0"/>
          <w:i w:val="0"/>
          <w:sz w:val="24"/>
        </w:rPr>
        <w:t xml:space="preserve"> используется геокодер </w:t>
      </w:r>
      <w:r>
        <w:rPr>
          <w:rFonts w:ascii="Times New Roman" w:hAnsi="Times New Roman"/>
          <w:b/>
          <w:i w:val="0"/>
          <w:sz w:val="24"/>
        </w:rPr>
        <w:t>Photon</w:t>
      </w:r>
      <w:r>
        <w:rPr>
          <w:rFonts w:ascii="Times New Roman" w:hAnsi="Times New Roman"/>
          <w:b w:val="0"/>
          <w:i w:val="0"/>
          <w:sz w:val="24"/>
        </w:rPr>
        <w:t xml:space="preserve"> от Komoot: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GET https://photon.komoot.io/api/?q=&lt;название организации&gt;&amp;limit=1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Скрипт пробует полное название → последние 3 части → последние 2 части — пока не получит координаты. Пауза 0.3 сек.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63126"/>
          <w:sz w:val="24"/>
        </w:rPr>
        <w:t>Приоритет обработки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Скрипт обрабатывает в первую очередь организации, которые разблокируют наибольшее количество публикаций без геоданных.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63126"/>
          <w:sz w:val="24"/>
        </w:rPr>
        <w:t>Кэширование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Файл</w:t>
            </w:r>
          </w:p>
        </w:tc>
        <w:tc>
          <w:tcPr>
            <w:tcW w:type="dxa" w:w="4535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Содержимое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openalex_data/geo_cache.json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Координаты по institution_id из OpenAlex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openalex_data/nominatim_cache.json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Координаты по строке названия из Photon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При повторном запуске скрипты пропускают уже закэшированные записи.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Блок-схема геокодирования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[affiliations в БД]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▼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[Получить уникальные institution_id]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▼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[Загрузить кэш geo_cache.json]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▼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[Для каждого ID не в кэше]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├──► [Запрос к OpenAlex /institutions]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   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     успех ├──► [lat/lon → кэш]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     ошибка└──► [null → кэш (пропустить)]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▼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[Обновить affiliations SET latitude, longitude]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▼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[Для оставшихся без координат → Photon по названию]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│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  ▼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[nominatim_cache.json + обновление БД]</w:t>
      </w:r>
    </w:p>
    <w:p>
      <w:pPr>
        <w:spacing w:after="80"/>
      </w:pPr>
    </w:p>
    <w:p>
      <w:r>
        <w:br w:type="page"/>
      </w:r>
    </w:p>
    <w:p>
      <w:pPr>
        <w:spacing w:before="400" w:after="160"/>
      </w:pPr>
      <w:r>
        <w:rPr>
          <w:rFonts w:ascii="Times New Roman" w:hAnsi="Times New Roman"/>
          <w:b/>
          <w:i w:val="0"/>
          <w:color w:val="163126"/>
          <w:sz w:val="36"/>
        </w:rPr>
        <w:t>IV. Визуализация данных</w:t>
      </w:r>
    </w:p>
    <w:p>
      <w:pPr>
        <w:spacing w:before="80" w:after="80"/>
      </w:pPr>
      <w:r>
        <w:rPr>
          <w:color w:val="CFE0D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Интерфейс: interface/VKR1.html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Раздел</w:t>
            </w:r>
          </w:p>
        </w:tc>
        <w:tc>
          <w:tcPr>
            <w:tcW w:type="dxa" w:w="6236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Содержимое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Карта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Географическое распределение публикаций по аффилиациям авторов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Граф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Граф связей: публикации, авторы, журналы, темы, аффилиации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Список статей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Список публикаций с фильтрацией по году, журналу, автору, аффилиации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Статистика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Счётчики: публикации в базе, на экране, с координатами, институты</w:t>
            </w:r>
          </w:p>
        </w:tc>
      </w:tr>
    </w:tbl>
    <w:p/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Технологии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Plotly</w:t>
      </w:r>
      <w:r>
        <w:rPr>
          <w:rFonts w:ascii="Times New Roman" w:hAnsi="Times New Roman"/>
          <w:b w:val="0"/>
          <w:i w:val="0"/>
          <w:sz w:val="24"/>
        </w:rPr>
        <w:t xml:space="preserve"> — интерактивная карта (scatter_geo на базе OpenStreetMap)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SVG + JavaScript</w:t>
      </w:r>
      <w:r>
        <w:rPr>
          <w:rFonts w:ascii="Times New Roman" w:hAnsi="Times New Roman"/>
          <w:b w:val="0"/>
          <w:i w:val="0"/>
          <w:sz w:val="24"/>
        </w:rPr>
        <w:t xml:space="preserve"> — граф связей (реализован вручную без сторонних библиотек графов)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openalex_server.py</w:t>
      </w:r>
      <w:r>
        <w:rPr>
          <w:rFonts w:ascii="Times New Roman" w:hAnsi="Times New Roman"/>
          <w:b w:val="0"/>
          <w:i w:val="0"/>
          <w:sz w:val="24"/>
        </w:rPr>
        <w:t xml:space="preserve"> — собственный HTTP-сервер + REST API на Python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IndexedDB</w:t>
      </w:r>
      <w:r>
        <w:rPr>
          <w:rFonts w:ascii="Times New Roman" w:hAnsi="Times New Roman"/>
          <w:b w:val="0"/>
          <w:i w:val="0"/>
          <w:sz w:val="24"/>
        </w:rPr>
        <w:t xml:space="preserve"> — хранение данных в браузере на стороне клиента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API сервера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Эндпоинт</w:t>
            </w:r>
          </w:p>
        </w:tc>
        <w:tc>
          <w:tcPr>
            <w:tcW w:type="dxa" w:w="5102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Описание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GET /api/articles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Список публикаций с авторами, темами, аффилиациями (gzip)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GET /api/article/{id}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Детали публикации: abstract, doi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GET /api/stats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Счётчики по таблицам БД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  <w:r>
              <w:rPr>
                <w:rFonts w:ascii="Courier New" w:hAnsi="Courier New"/>
                <w:b w:val="0"/>
                <w:i w:val="0"/>
                <w:color w:val="23613F"/>
                <w:sz w:val="20"/>
              </w:rPr>
              <w:t>GET /api/data-tables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Полные данные всех таблиц + узлы и рёбра графа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Times New Roman" w:hAnsi="Times New Roman"/>
          <w:b/>
          <w:i w:val="0"/>
          <w:color w:val="163126"/>
          <w:sz w:val="36"/>
        </w:rPr>
        <w:t>V. Граф связей</w:t>
      </w:r>
    </w:p>
    <w:p>
      <w:pPr>
        <w:spacing w:before="80" w:after="80"/>
      </w:pPr>
      <w:r>
        <w:rPr>
          <w:color w:val="CFE0D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Принцип построения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Граф строится на стороне браузера — сервер отдаёт данные, клиент сам вычисляет узлы и рёбра и рисует их в SVG без сторонних графовых библиотек.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Типы узлов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Тип</w:t>
            </w:r>
          </w:p>
        </w:tc>
        <w:tc>
          <w:tcPr>
            <w:tcW w:type="dxa" w:w="2268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Цвет</w:t>
            </w:r>
          </w:p>
        </w:tc>
        <w:tc>
          <w:tcPr>
            <w:tcW w:type="dxa" w:w="3969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Что означает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Год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Тёмно-зелёный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Год публикации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Журнал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Светло-зелёный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 журнала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Статья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Белый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Публикация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Автор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Бежевый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Имя автора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Аффилиация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Зелёный (бледный)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Организация автора</w:t>
            </w:r>
          </w:p>
        </w:tc>
      </w:tr>
    </w:tbl>
    <w:p/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Режимы отображения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Режим</w:t>
            </w:r>
          </w:p>
        </w:tc>
        <w:tc>
          <w:tcPr>
            <w:tcW w:type="dxa" w:w="3402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Колонки</w:t>
            </w:r>
          </w:p>
        </w:tc>
        <w:tc>
          <w:tcPr>
            <w:tcW w:type="dxa" w:w="2551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Полный граф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Год → Журнал → Статья → Автор → Аффилиация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Все связи сразу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Годы + журналы + статьи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Год → Журнал → Статья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Хронологическая структура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Авторы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Статья → Автор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Кто написал что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Аффилиации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Статья → Аффилиация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География соавторства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Похожие статьи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Статья — Статья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Связи по сходству (взвешенные)</w:t>
            </w:r>
          </w:p>
        </w:tc>
      </w:tr>
    </w:tbl>
    <w:p/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Алгоритм размещения узлов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Граф использует </w:t>
      </w:r>
      <w:r>
        <w:rPr>
          <w:rFonts w:ascii="Times New Roman" w:hAnsi="Times New Roman"/>
          <w:b/>
          <w:i w:val="0"/>
          <w:sz w:val="24"/>
        </w:rPr>
        <w:t>колоночную раскладку</w:t>
      </w:r>
      <w:r>
        <w:rPr>
          <w:rFonts w:ascii="Times New Roman" w:hAnsi="Times New Roman"/>
          <w:b w:val="0"/>
          <w:i w:val="0"/>
          <w:sz w:val="24"/>
        </w:rPr>
        <w:t>: каждый тип узла помещается в свою вертикальную колонку, позиция по вертикали вычисляется равномерно по количеству узлов. Рёбра — кривые SVG-линии между центрами узлов.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При клике на узел — подсветка и показ деталей в правой панели. Одновременно отображается не более </w:t>
      </w:r>
      <w:r>
        <w:rPr>
          <w:rFonts w:ascii="Times New Roman" w:hAnsi="Times New Roman"/>
          <w:b/>
          <w:i w:val="0"/>
          <w:sz w:val="24"/>
        </w:rPr>
        <w:t>70 статей</w:t>
      </w:r>
      <w:r>
        <w:rPr>
          <w:rFonts w:ascii="Times New Roman" w:hAnsi="Times New Roman"/>
          <w:b w:val="0"/>
          <w:i w:val="0"/>
          <w:sz w:val="24"/>
        </w:rPr>
        <w:t xml:space="preserve"> для сохранения читаемости.</w:t>
      </w:r>
    </w:p>
    <w:p>
      <w:pPr>
        <w:spacing w:before="400" w:after="160"/>
      </w:pPr>
      <w:r>
        <w:rPr>
          <w:rFonts w:ascii="Times New Roman" w:hAnsi="Times New Roman"/>
          <w:b/>
          <w:i w:val="0"/>
          <w:color w:val="163126"/>
          <w:sz w:val="36"/>
        </w:rPr>
        <w:t>VI. Поиск похожих статей</w:t>
      </w:r>
    </w:p>
    <w:p>
      <w:pPr>
        <w:spacing w:before="80" w:after="80"/>
      </w:pPr>
      <w:r>
        <w:rPr>
          <w:color w:val="CFE0D6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Алгоритм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Для каждой пары статей вычисляется </w:t>
      </w:r>
      <w:r>
        <w:rPr>
          <w:rFonts w:ascii="Times New Roman" w:hAnsi="Times New Roman"/>
          <w:b/>
          <w:i w:val="0"/>
          <w:sz w:val="24"/>
        </w:rPr>
        <w:t>взвешенный балл сходства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>score = (количество общих авторов      × 4)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+ (количество общих тем           × 3)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+ (количество общих ключевых слов × 2)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+ (количество общих аффилиаций    × 2)</w:t>
      </w:r>
    </w:p>
    <w:p>
      <w:pPr>
        <w:spacing w:after="0"/>
        <w:ind w:left="504"/>
      </w:pPr>
      <w:r>
        <w:rPr>
          <w:rFonts w:ascii="Courier New" w:hAnsi="Courier New"/>
          <w:b w:val="0"/>
          <w:i w:val="0"/>
          <w:sz w:val="20"/>
        </w:rPr>
        <w:t xml:space="preserve">      + (один и тот же журнал           + 2)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Признак</w:t>
            </w:r>
          </w:p>
        </w:tc>
        <w:tc>
          <w:tcPr>
            <w:tcW w:type="dxa" w:w="850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Вес</w:t>
            </w:r>
          </w:p>
        </w:tc>
        <w:tc>
          <w:tcPr>
            <w:tcW w:type="dxa" w:w="5102"/>
            <w:shd w:fill="ECF7EF" w:val="clear"/>
          </w:tcPr>
          <w:p>
            <w:r>
              <w:rPr>
                <w:rFonts w:ascii="Times New Roman" w:hAnsi="Times New Roman"/>
                <w:b/>
                <w:i w:val="0"/>
                <w:color w:val="163126"/>
                <w:sz w:val="24"/>
              </w:rPr>
              <w:t>Обоснование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Общие авторы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Один и тот же человек пишет связанные работы — наиболее сильный признак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Общие темы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Тематическая близость — второй по важности признак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Общие ключевые слова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Уточняющий признак сходства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Общие аффилиации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Соавторство из одной организации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Один журнал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Публикации выходят в одном издании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 xml:space="preserve">Если </w:t>
      </w:r>
      <w:r>
        <w:rPr>
          <w:rFonts w:ascii="Courier New" w:hAnsi="Courier New"/>
          <w:b w:val="0"/>
          <w:i w:val="0"/>
          <w:color w:val="23613F"/>
          <w:sz w:val="20"/>
        </w:rPr>
        <w:t>score = 0</w:t>
      </w:r>
      <w:r>
        <w:rPr>
          <w:rFonts w:ascii="Times New Roman" w:hAnsi="Times New Roman"/>
          <w:b w:val="0"/>
          <w:i w:val="0"/>
          <w:sz w:val="24"/>
        </w:rPr>
        <w:t xml:space="preserve"> — статьи считаются несвязанными и не отображаются.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Нормализация при сравнении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Перед сравнением строки приводятся к нижнему регистру и обрезаются пробелы (</w:t>
      </w:r>
      <w:r>
        <w:rPr>
          <w:rFonts w:ascii="Courier New" w:hAnsi="Courier New"/>
          <w:b w:val="0"/>
          <w:i w:val="0"/>
          <w:color w:val="23613F"/>
          <w:sz w:val="20"/>
        </w:rPr>
        <w:t>normalizeText</w:t>
      </w:r>
      <w:r>
        <w:rPr>
          <w:rFonts w:ascii="Times New Roman" w:hAnsi="Times New Roman"/>
          <w:b w:val="0"/>
          <w:i w:val="0"/>
          <w:sz w:val="24"/>
        </w:rPr>
        <w:t>), чтобы избежать ложных несовпадений из-за разного регистра символов.</w:t>
      </w:r>
    </w:p>
    <w:p>
      <w:pPr>
        <w:spacing w:before="280" w:after="100"/>
      </w:pPr>
      <w:r>
        <w:rPr>
          <w:rFonts w:ascii="Times New Roman" w:hAnsi="Times New Roman"/>
          <w:b/>
          <w:i w:val="0"/>
          <w:color w:val="23613F"/>
          <w:sz w:val="28"/>
        </w:rPr>
        <w:t>Где используется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Правая панель</w:t>
      </w:r>
      <w:r>
        <w:rPr>
          <w:rFonts w:ascii="Times New Roman" w:hAnsi="Times New Roman"/>
          <w:b w:val="0"/>
          <w:i w:val="0"/>
          <w:sz w:val="24"/>
        </w:rPr>
        <w:t xml:space="preserve"> — при клике на статью показывает список похожих, отсортированный по убыванию балла, с пояснением причин сходства (общие авторы, темы, журнал и т.д.)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Режим графа "Похожие статьи"</w:t>
      </w:r>
      <w:r>
        <w:rPr>
          <w:rFonts w:ascii="Times New Roman" w:hAnsi="Times New Roman"/>
          <w:b w:val="0"/>
          <w:i w:val="0"/>
          <w:sz w:val="24"/>
        </w:rPr>
        <w:t xml:space="preserve"> — рёбра между статьями с числовым весом </w:t>
      </w:r>
      <w:r>
        <w:rPr>
          <w:rFonts w:ascii="Courier New" w:hAnsi="Courier New"/>
          <w:b w:val="0"/>
          <w:i w:val="0"/>
          <w:color w:val="23613F"/>
          <w:sz w:val="20"/>
        </w:rPr>
        <w:t>score</w:t>
      </w:r>
      <w:r>
        <w:rPr>
          <w:rFonts w:ascii="Times New Roman" w:hAnsi="Times New Roman"/>
          <w:b w:val="0"/>
          <w:i w:val="0"/>
          <w:sz w:val="24"/>
        </w:rPr>
        <w:t>, отображаемым как подпись на ребре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2201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