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28"/>
        </w:rPr>
        <w:t>РЕЦЕНЗИЯ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sz w:val="28"/>
        </w:rPr>
        <w:t>на выпускную квалификационную работу</w:t>
      </w:r>
    </w:p>
    <w:p/>
    <w:p>
      <w:pPr>
        <w:spacing w:before="0" w:after="80"/>
        <w:ind w:firstLine="0"/>
        <w:jc w:val="left"/>
      </w:pPr>
      <w:r>
        <w:rPr>
          <w:rFonts w:ascii="Times New Roman" w:hAnsi="Times New Roman"/>
          <w:b/>
          <w:sz w:val="28"/>
        </w:rPr>
        <w:t xml:space="preserve">Студент: </w:t>
      </w:r>
      <w:r>
        <w:rPr>
          <w:rFonts w:ascii="Times New Roman" w:hAnsi="Times New Roman"/>
          <w:sz w:val="28"/>
        </w:rPr>
        <w:t>Сурнова Варвара Сергеевна</w:t>
      </w:r>
    </w:p>
    <w:p>
      <w:pPr>
        <w:spacing w:before="0" w:after="80"/>
        <w:ind w:firstLine="0"/>
        <w:jc w:val="left"/>
      </w:pPr>
      <w:r>
        <w:rPr>
          <w:rFonts w:ascii="Times New Roman" w:hAnsi="Times New Roman"/>
          <w:b/>
          <w:sz w:val="28"/>
        </w:rPr>
        <w:t xml:space="preserve">Группа: </w:t>
      </w:r>
      <w:r>
        <w:rPr>
          <w:rFonts w:ascii="Times New Roman" w:hAnsi="Times New Roman"/>
          <w:sz w:val="28"/>
        </w:rPr>
        <w:t>ИД 30.1/Б-22</w:t>
      </w:r>
    </w:p>
    <w:p>
      <w:pPr>
        <w:spacing w:before="0" w:after="80"/>
        <w:ind w:firstLine="0"/>
        <w:jc w:val="left"/>
      </w:pPr>
      <w:r>
        <w:rPr>
          <w:rFonts w:ascii="Times New Roman" w:hAnsi="Times New Roman"/>
          <w:b/>
          <w:sz w:val="28"/>
        </w:rPr>
        <w:t xml:space="preserve">Направление подготовки: </w:t>
      </w:r>
      <w:r>
        <w:rPr>
          <w:rFonts w:ascii="Times New Roman" w:hAnsi="Times New Roman"/>
          <w:sz w:val="28"/>
        </w:rPr>
        <w:t>38.03.05 Бизнес-информатика</w:t>
      </w:r>
    </w:p>
    <w:p>
      <w:pPr>
        <w:spacing w:before="0" w:after="80"/>
        <w:ind w:firstLine="0"/>
        <w:jc w:val="left"/>
      </w:pPr>
      <w:r>
        <w:rPr>
          <w:rFonts w:ascii="Times New Roman" w:hAnsi="Times New Roman"/>
          <w:b/>
          <w:sz w:val="28"/>
        </w:rPr>
        <w:t xml:space="preserve">Тема ВКР: </w:t>
      </w:r>
      <w:r>
        <w:rPr>
          <w:rFonts w:ascii="Times New Roman" w:hAnsi="Times New Roman"/>
          <w:sz w:val="28"/>
        </w:rPr>
        <w:t>«Визуализация науки на основе метаданных публикаций и журналов»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Рецензируемая работа посвящена разработке веб-приложения для анализа и интерактивной визуализации научных публикаций по их метаданным из открытого каталога OpenAlex. Тема актуальна: при более чем 250 миллионах работ в открытом доступе традиционный поиск по ключевым словам не позволяет исследователю получить представление о географии научных коллабораций, тематических трендах и структуре авторских связей. Автор ставит перед собой практическую цель — устранить этот пробел средствами визуализации метаданных, не прибегая к анализу полных текстов статей.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Работа имеет чёткую практическую направленность: каждая глава соответствует отдельному техническому этапу разработки. В первой главе представлен обзор девяти существующих инструментов — VOSviewer, CiteSpace, Connected Papers, Bibliometrix, Gephi, Lens.org, ResearchRabbit, Inciteful, Litmaps — с развёрнутой сравнительной таблицей. Обзор сделан самостоятельно и служит обоснованием того, почему ни одно из готовых решений не закрывает заявленный набор требований: карта с точными координатами организаций, граф связей с несколькими режимами отображения и алгоритм поиска похожих статей, не опирающийся исключительно на цитирования.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Практическая часть выполнена в полном объёме. Скрипт загрузки данных через cursor pagination собрал 9 994 публикации из OpenAlex API; для хранения спроектирована реляционная база PostgreSQL из семи таблиц с ограничениями целостности и каскадными удалениями. Обращает на себя внимание техническое решение при массовой вставке: использование savepoint-ов позволило корректно обработать конфликты уникальных ключей (ситуации, когда несколько объектов OpenAlex ссылаются на один DOI), не прерывая транзакцию целиком. Геокодирование аффилиаций реализовано двухэтапно: пакетные запросы к OpenAlex Institutions API дали покрытие 78%, а резервный геокодер Photon на основе OpenStreetMap поднял итоговый показатель до 80,8% — выше заявленного порога в 75%.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Технически грамотным выглядит решение по отрисовке графа связей: вместо стандартного force-directed layout автор реализовала собственную колоночную раскладку в SVG без внешних библиотек. Обоснование этого выбора убедительно — при числе узлов свыше 70 физическая симуляция даёт нечитаемую картину, тогда как детерминированная колонка сохраняет читаемость при любом размере набора. Алгоритм поиска похожих статей учитывает пять независимых признаков с обоснованными весами; нормализация строк перед сравнением — разумная деталь, без которой часть совпадений терялась бы из-за разного регистра.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 недостаткам работы следует отнести ограниченное теоретическое обоснование весовых коэффициентов алгоритма сходства: автор указывает, что веса «подобраны эмпирически на реальных данных», однако методика этого подбора и критерии оценки качества результатов в тексте не раскрыты. Отсутствие формальной валидации алгоритма — например, сравнения с экспертными оценками или проверки на контрольной выборке — снижает обоснованность выбранных значений. Кроме того, ограничение графа 70 публикациями, хотя и объяснено соображениями читаемости, не подкреплено анализом альтернативных подходов к масштабированию (кластеризация, иерархическое отображение). Раздел с техническими требованиями мог бы быть дополнен сведениями о тестировании системы на граничных случаях.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Несмотря на недостаточную формализацию методики подбора весовых коэффициентов алгоритма поиска похожих статей, работа в целом производит положительное впечатление: поставленные задачи решены в полном объёме, все количественные критерии качества достигнуты или превышены, а принятые технические решения обоснованы и соответствуют уровню бакалаврской подготовки по направлению «Бизнес-информатика».</w:t>
      </w:r>
    </w:p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Выпускная квалификационная работа Сурновой Варвары Сергеевны на тему «Визуализация науки на основе метаданных публикаций и журналов» соответствует требованиям, предъявляемым к выпускным квалификационным работам по направлению 38.03.05 «Бизнес-информатика», и заслуживает оценки «отлично».</w:t>
      </w:r>
    </w:p>
    <w:p/>
    <w:p/>
    <w:p>
      <w:pPr>
        <w:spacing w:before="0" w:after="80"/>
        <w:ind w:firstLine="0"/>
        <w:jc w:val="left"/>
      </w:pPr>
      <w:r>
        <w:rPr>
          <w:rFonts w:ascii="Times New Roman" w:hAnsi="Times New Roman"/>
          <w:sz w:val="28"/>
        </w:rPr>
        <w:t>Рецензент: _______________________  /________________________/</w:t>
      </w:r>
    </w:p>
    <w:p/>
    <w:p>
      <w:pPr>
        <w:spacing w:before="0" w:after="80"/>
        <w:ind w:firstLine="0"/>
        <w:jc w:val="left"/>
      </w:pPr>
      <w:r>
        <w:rPr>
          <w:rFonts w:ascii="Times New Roman" w:hAnsi="Times New Roman"/>
          <w:sz w:val="28"/>
        </w:rPr>
        <w:t xml:space="preserve">Должность: </w:t>
      </w:r>
    </w:p>
    <w:p>
      <w:pPr>
        <w:spacing w:before="0" w:after="80"/>
        <w:ind w:firstLine="0"/>
        <w:jc w:val="left"/>
      </w:pPr>
      <w:r>
        <w:rPr>
          <w:rFonts w:ascii="Times New Roman" w:hAnsi="Times New Roman"/>
          <w:sz w:val="28"/>
        </w:rPr>
        <w:t xml:space="preserve">Организация: </w:t>
      </w:r>
    </w:p>
    <w:p/>
    <w:p>
      <w:pPr>
        <w:spacing w:before="0" w:after="80"/>
        <w:ind w:firstLine="0"/>
        <w:jc w:val="left"/>
      </w:pPr>
      <w:r>
        <w:rPr>
          <w:rFonts w:ascii="Times New Roman" w:hAnsi="Times New Roman"/>
          <w:sz w:val="28"/>
        </w:rPr>
        <w:t>«____» ________________ 2026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