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доклад-к-защите"/>
    <w:p>
      <w:pPr>
        <w:pStyle w:val="Heading1"/>
      </w:pPr>
      <w:r>
        <w:t xml:space="preserve">Доклад к защите</w:t>
      </w:r>
    </w:p>
    <w:bookmarkStart w:id="20" w:name="введение"/>
    <w:p>
      <w:pPr>
        <w:pStyle w:val="Heading2"/>
      </w:pPr>
      <w:r>
        <w:t xml:space="preserve">Введение</w:t>
      </w:r>
    </w:p>
    <w:p>
      <w:pPr>
        <w:pStyle w:val="FirstParagraph"/>
      </w:pPr>
      <w:r>
        <w:t xml:space="preserve">Уважаемые председатель и члены государственной аттестационной комиссии!</w:t>
      </w:r>
    </w:p>
    <w:p>
      <w:pPr>
        <w:pStyle w:val="BodyText"/>
      </w:pPr>
      <w:r>
        <w:t xml:space="preserve">Вашему вниманию представляется выпускная квалификационная работа на тему «Визуализация науки на основе метаданных публикаций и журналов».</w:t>
      </w:r>
    </w:p>
    <w:p>
      <w:pPr>
        <w:pStyle w:val="BodyText"/>
      </w:pPr>
      <w:r>
        <w:t xml:space="preserve">Современная наука генерирует колоссальные объемы информации. Ежегодно в мире публикуется несколько миллионов научных статей, регистрируются сотни тысяч патентов, защищаются десятки тысяч диссертаций. В российском сегменте только в Российском индексе научного цитирования индексируется более десяти тысяч журналов и содержится информация о миллионах публикаций. Эффективное управление этим информационным потоком становится критически важной задачей как для государственных органов управления наукой, так и для самих научных организаций.</w:t>
      </w:r>
    </w:p>
    <w:p>
      <w:pPr>
        <w:pStyle w:val="BodyText"/>
      </w:pPr>
      <w:r>
        <w:t xml:space="preserve">В условиях реализации национального проекта «Наука и университеты» и стремления России к технологическому суверенитету особую значимость приобретают инструменты, позволяющие оперативно оценивать состояние научных направлений, выявлять точки технологического роста, анализировать эффективность использования бюджетных средств, направленных на науку. Именно здесь на первый план выходят методы визуализации научных данных на основе метаданных публикаций и журналов.</w:t>
      </w:r>
    </w:p>
    <w:bookmarkEnd w:id="20"/>
    <w:bookmarkStart w:id="21" w:name="актуальность-и-практическая-значимость"/>
    <w:p>
      <w:pPr>
        <w:pStyle w:val="Heading2"/>
      </w:pPr>
      <w:r>
        <w:t xml:space="preserve">Актуальность и практическая значимость</w:t>
      </w:r>
    </w:p>
    <w:p>
      <w:pPr>
        <w:pStyle w:val="FirstParagraph"/>
      </w:pPr>
      <w:r>
        <w:t xml:space="preserve">Актуальность темы исследования определяется несколькими ключевыми факторами.</w:t>
      </w:r>
    </w:p>
    <w:p>
      <w:pPr>
        <w:pStyle w:val="BodyText"/>
      </w:pPr>
      <w:r>
        <w:t xml:space="preserve">Во-первых, экспоненциальный рост объемов научной информации требует перехода от традиционных методов анализа к автоматизированным системам обработки больших данных. Традиционные количественные показатели, такие как простой подсчет публикаций, уже не обеспечивают полноты картины научной деятельности.</w:t>
      </w:r>
    </w:p>
    <w:p>
      <w:pPr>
        <w:pStyle w:val="BodyText"/>
      </w:pPr>
      <w:r>
        <w:t xml:space="preserve">Во-вторых, государственная научная политика требует объективных инструментов мониторинга эффективности научных организаций. Министерство науки и высшего образования проводит ежегодную оценку результативности научных институтов, университеты участвуют в мониторинге эффективности, распределение грантового финансирования опирается на наукометрические показатели. Визуализация этих показателей позволяет принимать более обоснованные управленческие решения.</w:t>
      </w:r>
    </w:p>
    <w:p>
      <w:pPr>
        <w:pStyle w:val="BodyText"/>
      </w:pPr>
      <w:r>
        <w:t xml:space="preserve">В-третьих, необходимость импортозамещения в сфере интеллектуальных технологий делает актуальным развитие отечественных инструментов анализа и визуализации научных данных, интегрированных с российскими информационными системами учета результатов интеллектуальной деятельности.</w:t>
      </w:r>
    </w:p>
    <w:p>
      <w:pPr>
        <w:pStyle w:val="BodyText"/>
      </w:pPr>
      <w:r>
        <w:t xml:space="preserve">Практическая значимость работы состоит в том, что разработанные рекомендации могут быть непосредственно применены научными организациями, университетами и коммерческими компаниями для совершенствования систем управления исследованиями и разработками. Результаты исследования создают методологическую основу для построения информационно-аналитических систем поддержки принятия решений в сфере науки.</w:t>
      </w:r>
    </w:p>
    <w:bookmarkEnd w:id="21"/>
    <w:bookmarkStart w:id="22" w:name="цель-и-задачи-исследования"/>
    <w:p>
      <w:pPr>
        <w:pStyle w:val="Heading2"/>
      </w:pPr>
      <w:r>
        <w:t xml:space="preserve">Цель и задачи исследования</w:t>
      </w:r>
    </w:p>
    <w:p>
      <w:pPr>
        <w:pStyle w:val="FirstParagraph"/>
      </w:pPr>
      <w:r>
        <w:t xml:space="preserve">Целью выпускной квалификационной работы является проектирование и обоснование методического подхода к визуализации наукометрических систем на основе анализа метаданных периодических изданий и публикаций для оптимизации процессов управления научной деятельностью в российском сегменте бизнес-информатики.</w:t>
      </w:r>
    </w:p>
    <w:p>
      <w:pPr>
        <w:pStyle w:val="BodyText"/>
      </w:pPr>
      <w:r>
        <w:t xml:space="preserve">Для достижения этой цели в работе решены следующие задачи:</w:t>
      </w:r>
    </w:p>
    <w:p>
      <w:pPr>
        <w:pStyle w:val="BodyText"/>
      </w:pPr>
      <w:r>
        <w:t xml:space="preserve">Первая задача – исследованы теоретические аспекты наукометрического анализа и визуального представления данных. Изучены основы наукометрии как междисциплинарной области, включающей методы количественного анализа научной деятельности, рассмотрены принципы эффективной визуализации многомерных данных.</w:t>
      </w:r>
    </w:p>
    <w:p>
      <w:pPr>
        <w:pStyle w:val="BodyText"/>
      </w:pPr>
      <w:r>
        <w:t xml:space="preserve">Вторая задача – проанализирована российская специфика учета и регистрации результатов интеллектуальной деятельности. Рассмотрены особенности функционирования ключевых национальных информационных систем – ЕГИСУ НИОКТР, РИНЦ, системы аттестации журналов ВАК, ресурсов Роспатента.</w:t>
      </w:r>
    </w:p>
    <w:p>
      <w:pPr>
        <w:pStyle w:val="BodyText"/>
      </w:pPr>
      <w:r>
        <w:t xml:space="preserve">Третья задача – изучены инструменты и технологии обработки больших массивов метаданных научных публикаций, проведен сравнительный анализ существующих систем визуализации науки в российском информационном пространстве.</w:t>
      </w:r>
    </w:p>
    <w:p>
      <w:pPr>
        <w:pStyle w:val="BodyText"/>
      </w:pPr>
      <w:r>
        <w:t xml:space="preserve">Четвертая задача – проведен практический анализ визуальных моделей взаимодействия российских научно-исследовательских институтов на основе данных о совместных публикациях.</w:t>
      </w:r>
    </w:p>
    <w:p>
      <w:pPr>
        <w:pStyle w:val="BodyText"/>
      </w:pPr>
      <w:r>
        <w:t xml:space="preserve">Пятая задача – разработаны рекомендации по интеграции визуальных инструментов в систему управления R&amp;D-проектами.</w:t>
      </w:r>
    </w:p>
    <w:p>
      <w:pPr>
        <w:pStyle w:val="BodyText"/>
      </w:pPr>
      <w:r>
        <w:t xml:space="preserve">Шестая задача – оценена социально-экономическая эффективность внедрения инструментов визуализации метаданных в процессы управления научно-технологическим развитием.</w:t>
      </w:r>
    </w:p>
    <w:bookmarkEnd w:id="22"/>
    <w:bookmarkStart w:id="23" w:name="краткое-содержание-дипломной-работы"/>
    <w:p>
      <w:pPr>
        <w:pStyle w:val="Heading2"/>
      </w:pPr>
      <w:r>
        <w:t xml:space="preserve">Краткое содержание дипломной работы</w:t>
      </w:r>
    </w:p>
    <w:p>
      <w:pPr>
        <w:pStyle w:val="FirstParagraph"/>
      </w:pPr>
      <w:r>
        <w:t xml:space="preserve">Работа состоит из введения, трех глав, заключения и списка использованной литературы, включающего сорок источников.</w:t>
      </w:r>
    </w:p>
    <w:p>
      <w:pPr>
        <w:pStyle w:val="BodyText"/>
      </w:pPr>
      <w:r>
        <w:t xml:space="preserve">В первой главе «Основы визуализации науки на базе метаданных» рассмотрены теоретические аспекты наукометрического анализа. Систематизированы ключевые наукометрические показатели – индексы цитирования, импакт-факторы журналов, индексы Хирша, альтметрики. Проанализированы методы визуализации научных данных, включая сетевой анализ, библиометрические карты, временные визуализации, интерактивные дашборды. Особое внимание уделено российской специфике учета результатов интеллектуальной деятельности. Выявлено, что система учета в России характеризуется множественностью информационных систем, сложной структурой государственного регулирования, стремлением к интеграции в международное пространство при сохранении национальных особенностей.</w:t>
      </w:r>
    </w:p>
    <w:p>
      <w:pPr>
        <w:pStyle w:val="BodyText"/>
      </w:pPr>
      <w:r>
        <w:t xml:space="preserve">Во второй главе «Инструментальная среда и аналитический обзор визуализации научных публикаций в РФ» проведен детальный анализ формирования и обработки метаданных в ключевых отечественных репозиториях. Исследованы технологические аспекты функционирования Научной электронной библиотеки и РИНЦ, включая процедуры нормализации данных, идентификации авторов, расчета наукометрических показателей. Выявлены основные проблемы качества метаданных – неполнота информации, наличие ошибок, несогласованность между системами.</w:t>
      </w:r>
    </w:p>
    <w:p>
      <w:pPr>
        <w:pStyle w:val="BodyText"/>
      </w:pPr>
      <w:r>
        <w:t xml:space="preserve">Проведен практический анализ структуры научных коллабораций в России. Построена визуализация сети взаимодействия ведущих российских научных организаций, включающей МГУ, СПбГУ, НГУ, НИУ ВШЭ, ТГУ и ведущие академические институты. Анализ показал, что Московский государственный университет занимает центральное положение в сети с наибольшим количеством совместных публикаций – более двенадцати тысяч за анализируемый период, и максимальным коэффициентом центральности ноль восемьдесят девять.</w:t>
      </w:r>
    </w:p>
    <w:p>
      <w:pPr>
        <w:pStyle w:val="BodyText"/>
      </w:pPr>
      <w:r>
        <w:t xml:space="preserve">Выявлено, что наибольшая интенсивность научного взаимодействия наблюдается в области физики и астрономии – двадцать две целых три десятых процента от общего числа совместных публикаций. Географический анализ показал значительную концентрацию научной активности в Центральном федеральном округе – тридцать восемь процентов всех совместных публикаций, и Северо-Западном округе – двадцать два процента.</w:t>
      </w:r>
    </w:p>
    <w:p>
      <w:pPr>
        <w:pStyle w:val="BodyText"/>
      </w:pPr>
      <w:r>
        <w:t xml:space="preserve">В третьей главе «Перспективы совершенствования систем визуализации наукометрических показателей» разработаны детальные рекомендации по интеграции визуальных инструментов в систему управления исследованиями и разработками. Определены этапы внедрения – от аудита существующей информационной инфраструктуры до масштабирования системы на всю организацию. Предложена архитектура решения, включающая создание хранилища данных, систему ключевых показателей эффективности, интерактивные интерфейсы визуализации для различных категорий пользователей.</w:t>
      </w:r>
    </w:p>
    <w:p>
      <w:pPr>
        <w:pStyle w:val="BodyText"/>
      </w:pPr>
      <w:r>
        <w:t xml:space="preserve">Проведена оценка экономической эффективности внедрения систем визуализации в коммерческих организациях. Расчеты показывают, что для средней наукоемкой компании с бюджетом на исследования около ста миллионов рублей в год суммарный экономический эффект может составлять тридцать миллионов рублей ежегодно при затратах на внедрение и эксплуатацию системы около пяти миллионов рублей, что обеспечивает чистый эффект в размере двадцати пяти миллионов рублей.</w:t>
      </w:r>
    </w:p>
    <w:bookmarkEnd w:id="23"/>
    <w:bookmarkStart w:id="24" w:name="основные-результаты"/>
    <w:p>
      <w:pPr>
        <w:pStyle w:val="Heading2"/>
      </w:pPr>
      <w:r>
        <w:t xml:space="preserve">Основные результаты</w:t>
      </w:r>
    </w:p>
    <w:p>
      <w:pPr>
        <w:pStyle w:val="FirstParagraph"/>
      </w:pPr>
      <w:r>
        <w:t xml:space="preserve">Ключевые результаты исследования могут быть сформулированы следующим образом.</w:t>
      </w:r>
    </w:p>
    <w:p>
      <w:pPr>
        <w:pStyle w:val="BodyText"/>
      </w:pPr>
      <w:r>
        <w:t xml:space="preserve">Первый результат – систематизированы теоретические подходы к визуализации наукометрических данных с учетом российской специфики. Выявлено, что эффективная визуализация должна сочетать принципы наглядности, информативности, интерактивности и учитывать особенности когнитивного восприятия графической информации.</w:t>
      </w:r>
    </w:p>
    <w:p>
      <w:pPr>
        <w:pStyle w:val="BodyText"/>
      </w:pPr>
      <w:r>
        <w:t xml:space="preserve">Второй результат – проведен комплексный анализ российской системы учета результатов интеллектуальной деятельности. Установлено, что ключевыми элементами этой системы являются ЕГИСУ НИОКТР для учета проектов, РИНЦ для учета публикаций, система ВАК для аттестации журналов, ресурсы Роспатента для учета объектов интеллектуальной собственности. Выявлена недостаточная интеграция между этими системами, что затрудняет комплексный анализ научной деятельности.</w:t>
      </w:r>
    </w:p>
    <w:p>
      <w:pPr>
        <w:pStyle w:val="BodyText"/>
      </w:pPr>
      <w:r>
        <w:t xml:space="preserve">Третий результат – на основе анализа данных РИНЦ построены визуальные модели взаимодействия российских научных организаций. Выявлена структура научных коллабораций с выделением центральных узлов, кластеров взаимодействия, географических и тематических паттернов. Установлено, что за период с две тысячи двадцатого по две тысячи двадцать четвертый год количество совместных публикаций выросло на сорок шесть процентов, средний размер авторского коллектива увеличился на тридцать два процента, доля публикаций с международным соавторством возросла с двадцати четырех до тридцати трех процентов, что свидетельствует об интенсификации кооперационных процессов.</w:t>
      </w:r>
    </w:p>
    <w:p>
      <w:pPr>
        <w:pStyle w:val="BodyText"/>
      </w:pPr>
      <w:r>
        <w:t xml:space="preserve">Четвертый результат – разработаны практические рекомендации по интеграции визуальных инструментов в систему управления R&amp;D-проектами. Определены этапы внедрения, требования к хранилищу данных, система ключевых показателей эффективности, принципы проектирования интерфейсов для различных категорий пользователей. Предложены подходы к использованию предиктивной аналитики и машинного обучения для прогнозирования развития научных направлений.</w:t>
      </w:r>
    </w:p>
    <w:p>
      <w:pPr>
        <w:pStyle w:val="BodyText"/>
      </w:pPr>
      <w:r>
        <w:t xml:space="preserve">Пятый результат – проведена оценка экономической значимости систем визуализации метаданных для бизнес-среды. Показано, что основные компоненты экономического эффекта включают сокращение времени на проведение аналитики, повышение результативности исследований и разработок, снижение рисков инвестиций, ускорение вывода продуктов на рынок, выявление возможностей для продуктивных коллабораций.</w:t>
      </w:r>
    </w:p>
    <w:bookmarkEnd w:id="24"/>
    <w:bookmarkStart w:id="25" w:name="выводы-и-предложения"/>
    <w:p>
      <w:pPr>
        <w:pStyle w:val="Heading2"/>
      </w:pPr>
      <w:r>
        <w:t xml:space="preserve">Выводы и предложения</w:t>
      </w:r>
    </w:p>
    <w:p>
      <w:pPr>
        <w:pStyle w:val="FirstParagraph"/>
      </w:pPr>
      <w:r>
        <w:t xml:space="preserve">На основе проведенного исследования могут быть сформулированы следующие выводы и предложения.</w:t>
      </w:r>
    </w:p>
    <w:p>
      <w:pPr>
        <w:pStyle w:val="BodyText"/>
      </w:pPr>
      <w:r>
        <w:t xml:space="preserve">Первый вывод – визуализация науки на основе метаданных публикаций и журналов представляет собой мощный инструмент для управления научной деятельностью, позволяющий трансформировать большие массивы разрозненной информации в наглядные и легко интерпретируемые формы представления.</w:t>
      </w:r>
    </w:p>
    <w:p>
      <w:pPr>
        <w:pStyle w:val="BodyText"/>
      </w:pPr>
      <w:r>
        <w:t xml:space="preserve">Второй вывод – российская система учета результатов интеллектуальной деятельности, несмотря на наличие развитой информационной инфраструктуры, характеризуется фрагментарностью различных систем и недостаточной их интеграцией, что затрудняет комплексный анализ.</w:t>
      </w:r>
    </w:p>
    <w:p>
      <w:pPr>
        <w:pStyle w:val="BodyText"/>
      </w:pPr>
      <w:r>
        <w:t xml:space="preserve">Третий вывод – структура научных коллабораций в России характеризуется высокой концентрацией взаимодействия вокруг ведущих университетов и академических институтов, значительной географической неравномерностью с доминированием Москвы и Санкт-Петербурга, устойчивой тенденцией к расширению международного сотрудничества.</w:t>
      </w:r>
    </w:p>
    <w:p>
      <w:pPr>
        <w:pStyle w:val="BodyText"/>
      </w:pPr>
      <w:r>
        <w:t xml:space="preserve">Четвертый вывод – внедрение систем визуализации метаданных в коммерческих организациях, занимающихся исследованиями и разработками, обеспечивает значительный экономический эффект, многократно превышающий затраты на создание и эксплуатацию таких систем.</w:t>
      </w:r>
    </w:p>
    <w:p>
      <w:pPr>
        <w:pStyle w:val="BodyText"/>
      </w:pPr>
      <w:r>
        <w:t xml:space="preserve">Пятый вывод – рынок решений в области визуализации и анализа наукометрических данных демонстрирует высокие темпы роста как на глобальном уровне, так и в России, что свидетельствует о возрастающем спросе на такие инструменты.</w:t>
      </w:r>
    </w:p>
    <w:p>
      <w:pPr>
        <w:pStyle w:val="BodyText"/>
      </w:pPr>
      <w:r>
        <w:t xml:space="preserve">На основе полученных результатов могут быть сформулированы следующие практические рекомендации.</w:t>
      </w:r>
    </w:p>
    <w:p>
      <w:pPr>
        <w:pStyle w:val="BodyText"/>
      </w:pPr>
      <w:r>
        <w:t xml:space="preserve">Для государственных органов управления наукой рекомендуется развитие интегрированной национальной платформы научных данных, объединяющей информацию из различных систем учета в единое информационное пространство с развитыми инструментами визуализации и анализа.</w:t>
      </w:r>
    </w:p>
    <w:p>
      <w:pPr>
        <w:pStyle w:val="BodyText"/>
      </w:pPr>
      <w:r>
        <w:t xml:space="preserve">Для научных организаций и университетов рекомендуется внедрение систем визуализации наукометрических показателей в контур управления научной деятельностью, интеграция этих систем с процессами стратегического планирования и мониторинга эффективности.</w:t>
      </w:r>
    </w:p>
    <w:p>
      <w:pPr>
        <w:pStyle w:val="BodyText"/>
      </w:pPr>
      <w:r>
        <w:t xml:space="preserve">Для коммерческих компаний, осуществляющих исследования и разработки, рекомендуется использование систем визуализации научных метаданных для мониторинга технологических трендов, конкурентной разведки, поиска партнеров для коллабораций, оценки инновационного потенциала стартапов.</w:t>
      </w:r>
    </w:p>
    <w:p>
      <w:pPr>
        <w:pStyle w:val="BodyText"/>
      </w:pPr>
      <w:r>
        <w:t xml:space="preserve">В заключение хочу отметить, что визуализация науки на основе метаданных публикаций и журналов представляет собой динамично развивающееся направление на стыке информатики, науковедения и управления, имеющее высокую практическую значимость для российской научной системы. Дальнейшее совершенствование методов и технологий визуализации наукометрических данных будет способствовать повышению эффективности управления наукой, усилению связи между наукой и бизнесом, ускорению инновационного развития России.</w:t>
      </w:r>
    </w:p>
    <w:p>
      <w:pPr>
        <w:pStyle w:val="BodyText"/>
      </w:pPr>
      <w:r>
        <w:t xml:space="preserve">Доклад окончен. Благодарю за внимание и готов ответить на ваши вопросы.</w:t>
      </w:r>
    </w:p>
    <w:bookmarkEnd w:id="25"/>
    <w:bookmarkEnd w:id="26"/>
    <w:sectPr w:rsidR="00523420" w:rsidRPr="00603DE6" w:rsidSect="00DD6A16">
      <w:footerReference r:id="rId9" w:type="even"/>
      <w:footerReference r:id="rId10" w:type="default"/>
      <w:footnotePr>
        <w:numRestart w:val="eachSect"/>
      </w:footnotePr>
      <w:pgSz w:h="15840" w:w="12240"/>
      <w:pgMar w:bottom="1134" w:footer="720" w:gutter="0" w:header="720" w:left="1701" w:right="850"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1556651"/>
      <w:docPartObj>
        <w:docPartGallery w:val="Page Numbers (Bottom of Page)"/>
        <w:docPartUnique/>
      </w:docPartObj>
    </w:sdtPr>
    <w:sdtContent>
      <w:p w14:paraId="0052C21F" w14:textId="1A531E80" w:rsidR="00DD6A16" w:rsidRDefault="00DD6A16" w:rsidP="00070D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CAEE5D" w14:textId="77777777" w:rsidR="00DD6A16" w:rsidRDefault="00DD6A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2742565"/>
      <w:docPartObj>
        <w:docPartGallery w:val="Page Numbers (Bottom of Page)"/>
        <w:docPartUnique/>
      </w:docPartObj>
    </w:sdtPr>
    <w:sdtContent>
      <w:p w14:paraId="5A9CE54E" w14:textId="4181FFE5" w:rsidR="00DD6A16" w:rsidRDefault="00DD6A16" w:rsidP="00070D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6AF535" w14:textId="77777777" w:rsidR="00DD6A16" w:rsidRDefault="00DD6A1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D5CD7F6"/>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1228F59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710071D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05488A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41E5CA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F40150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87CD19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98C664C"/>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E5C5E9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6B41C2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48E4A1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646128260" w:numId="1">
    <w:abstractNumId w:val="10"/>
  </w:num>
  <w:num w16cid:durableId="273220505" w:numId="2">
    <w:abstractNumId w:val="9"/>
  </w:num>
  <w:num w16cid:durableId="446389050" w:numId="3">
    <w:abstractNumId w:val="7"/>
  </w:num>
  <w:num w16cid:durableId="1794058985" w:numId="4">
    <w:abstractNumId w:val="6"/>
  </w:num>
  <w:num w16cid:durableId="1927226379" w:numId="5">
    <w:abstractNumId w:val="5"/>
  </w:num>
  <w:num w16cid:durableId="1941795792" w:numId="6">
    <w:abstractNumId w:val="4"/>
  </w:num>
  <w:num w16cid:durableId="971860458" w:numId="7">
    <w:abstractNumId w:val="8"/>
  </w:num>
  <w:num w16cid:durableId="2123694253" w:numId="8">
    <w:abstractNumId w:val="3"/>
  </w:num>
  <w:num w16cid:durableId="1001353548" w:numId="9">
    <w:abstractNumId w:val="8"/>
  </w:num>
  <w:num w16cid:durableId="1654597827" w:numId="10">
    <w:abstractNumId w:val="8"/>
  </w:num>
  <w:num w16cid:durableId="1502089641" w:numId="11">
    <w:abstractNumId w:val="8"/>
  </w:num>
  <w:num w16cid:durableId="1424691550" w:numId="12">
    <w:abstractNumId w:val="3"/>
  </w:num>
  <w:num w16cid:durableId="373240517" w:numId="13">
    <w:abstractNumId w:val="8"/>
  </w:num>
  <w:num w16cid:durableId="192573084" w:numId="14">
    <w:abstractNumId w:val="3"/>
  </w:num>
  <w:num w16cid:durableId="831333142" w:numId="15">
    <w:abstractNumId w:val="8"/>
  </w:num>
  <w:num w16cid:durableId="242222904" w:numId="16">
    <w:abstractNumId w:val="3"/>
  </w:num>
  <w:num w16cid:durableId="1176338347" w:numId="17">
    <w:abstractNumId w:val="8"/>
  </w:num>
  <w:num w16cid:durableId="850493009" w:numId="18">
    <w:abstractNumId w:val="3"/>
  </w:num>
  <w:num w16cid:durableId="564535322" w:numId="19">
    <w:abstractNumId w:val="2"/>
  </w:num>
  <w:num w16cid:durableId="1711567757" w:numId="20">
    <w:abstractNumId w:val="1"/>
  </w:num>
  <w:num w16cid:durableId="527529469" w:numId="21">
    <w:abstractNumId w:val="2"/>
  </w:num>
  <w:num w16cid:durableId="1625499742" w:numId="22">
    <w:abstractNumId w:val="3"/>
  </w:num>
  <w:num w16cid:durableId="1990208537" w:numId="23">
    <w:abstractNumId w:val="8"/>
  </w:num>
  <w:num w16cid:durableId="1855654966" w:numId="24">
    <w:abstractNumId w:val="3"/>
  </w:num>
  <w:num w16cid:durableId="786123942" w:numId="25">
    <w:abstractNumId w:val="2"/>
  </w:num>
  <w:num w16cid:durableId="1377465255" w:numId="26">
    <w:abstractNumId w:val="1"/>
  </w:num>
  <w:num w16cid:durableId="1336960395" w:numId="27">
    <w:abstractNumId w:val="0"/>
  </w:num>
  <w:num w16cid:durableId="222524070" w:numId="28">
    <w:abstractNumId w:val="1"/>
  </w:num>
  <w:num w16cid:durableId="233319406" w:numId="29">
    <w:abstractNumId w:val="2"/>
  </w:num>
  <w:num w16cid:durableId="164978143" w:numId="30">
    <w:abstractNumId w:val="3"/>
  </w:num>
  <w:num w16cid:durableId="1488399367" w:numId="31">
    <w:abstractNumId w:val="2"/>
  </w:num>
  <w:num w16cid:durableId="2093433550" w:numId="32">
    <w:abstractNumId w:val="1"/>
  </w:num>
  <w:num w16cid:durableId="1754668545" w:numId="33">
    <w:abstractNumId w:val="0"/>
  </w:num>
  <w:num w16cid:durableId="1701397868" w:numId="34">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87"/>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40A75"/>
    <w:pPr>
      <w:spacing w:after="0" w:line="360" w:lineRule="auto"/>
      <w:ind w:firstLine="709"/>
      <w:jc w:val="both"/>
    </w:pPr>
    <w:rPr>
      <w:rFonts w:ascii="Times New Roman" w:hAnsi="Times New Roman"/>
      <w:sz w:val="28"/>
    </w:rPr>
  </w:style>
  <w:style w:styleId="Heading1" w:type="paragraph">
    <w:name w:val="heading 1"/>
    <w:basedOn w:val="Normal"/>
    <w:next w:val="BodyText"/>
    <w:link w:val="Heading1Char"/>
    <w:uiPriority w:val="9"/>
    <w:qFormat/>
    <w:rsid w:val="00A4657E"/>
    <w:pPr>
      <w:keepNext/>
      <w:keepLines/>
      <w:jc w:val="center"/>
      <w:outlineLvl w:val="0"/>
    </w:pPr>
    <w:rPr>
      <w:rFonts w:cstheme="majorBidi" w:eastAsiaTheme="majorEastAsia"/>
      <w:b/>
      <w:color w:themeColor="text1" w:val="000000"/>
      <w:szCs w:val="40"/>
    </w:rPr>
  </w:style>
  <w:style w:styleId="Heading2" w:type="paragraph">
    <w:name w:val="heading 2"/>
    <w:basedOn w:val="Normal"/>
    <w:next w:val="BodyText"/>
    <w:link w:val="Heading2Char"/>
    <w:uiPriority w:val="9"/>
    <w:unhideWhenUsed/>
    <w:qFormat/>
    <w:rsid w:val="00EA2051"/>
    <w:pPr>
      <w:keepNext/>
      <w:keepLines/>
      <w:jc w:val="center"/>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semiHidden/>
    <w:unhideWhenUsed/>
    <w:qFormat/>
    <w:rsid w:val="00C84874"/>
    <w:pPr>
      <w:keepNext/>
      <w:keepLines/>
      <w:jc w:val="center"/>
      <w:outlineLvl w:val="2"/>
    </w:pPr>
    <w:rPr>
      <w:rFonts w:cstheme="majorBidi" w:eastAsiaTheme="majorEastAsia"/>
      <w:b/>
      <w:color w:themeColor="text1" w:val="000000"/>
      <w:szCs w:val="28"/>
    </w:rPr>
  </w:style>
  <w:style w:styleId="Heading4" w:type="paragraph">
    <w:name w:val="heading 4"/>
    <w:basedOn w:val="Normal"/>
    <w:next w:val="BodyText"/>
    <w:link w:val="Heading4Char"/>
    <w:uiPriority w:val="9"/>
    <w:unhideWhenUsed/>
    <w:qFormat/>
    <w:rsid w:val="00271A38"/>
    <w:pPr>
      <w:keepNext/>
      <w:keepLines/>
      <w:jc w:val="center"/>
      <w:outlineLvl w:val="3"/>
    </w:pPr>
    <w:rPr>
      <w:rFonts w:cstheme="majorBidi" w:eastAsiaTheme="majorEastAsia"/>
      <w:b/>
      <w:iCs/>
      <w:color w:themeColor="text1" w:val="000000"/>
    </w:rPr>
  </w:style>
  <w:style w:styleId="Heading5" w:type="paragraph">
    <w:name w:val="heading 5"/>
    <w:basedOn w:val="Normal"/>
    <w:next w:val="BodyText"/>
    <w:link w:val="Heading5Char"/>
    <w:uiPriority w:val="9"/>
    <w:semiHidden/>
    <w:unhideWhenUsed/>
    <w:qFormat/>
    <w:rsid w:val="00C84874"/>
    <w:pPr>
      <w:keepNext/>
      <w:keepLines/>
      <w:jc w:val="center"/>
      <w:outlineLvl w:val="4"/>
    </w:pPr>
    <w:rPr>
      <w:rFonts w:cstheme="majorBidi" w:eastAsiaTheme="majorEastAsia"/>
      <w:b/>
      <w:color w:themeColor="text1" w:val="000000"/>
    </w:rPr>
  </w:style>
  <w:style w:styleId="Heading6" w:type="paragraph">
    <w:name w:val="heading 6"/>
    <w:basedOn w:val="Normal"/>
    <w:next w:val="BodyText"/>
    <w:link w:val="Heading6Char"/>
    <w:uiPriority w:val="9"/>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72C45"/>
  </w:style>
  <w:style w:customStyle="1" w:styleId="FirstParagraph" w:type="paragraph">
    <w:name w:val="First Paragraph"/>
    <w:basedOn w:val="BodyText"/>
    <w:next w:val="BodyText"/>
    <w:autoRedefine/>
    <w:qFormat/>
    <w:rsid w:val="00E15D73"/>
  </w:style>
  <w:style w:customStyle="1" w:styleId="Compact" w:type="paragraph">
    <w:name w:val="Compact"/>
    <w:basedOn w:val="BodyText"/>
    <w:qFormat/>
    <w:rsid w:val="00603DE6"/>
    <w:pPr>
      <w:spacing w:after="36" w:before="36"/>
    </w:pPr>
  </w:style>
  <w:style w:styleId="Title" w:type="paragraph">
    <w:name w:val="Title"/>
    <w:basedOn w:val="Normal"/>
    <w:next w:val="BodyText"/>
    <w:link w:val="TitleChar"/>
    <w:uiPriority w:val="10"/>
    <w:qFormat/>
    <w:rsid w:val="0090083B"/>
    <w:pPr>
      <w:spacing w:after="80"/>
      <w:contextualSpacing/>
      <w:jc w:val="center"/>
    </w:pPr>
    <w:rPr>
      <w:rFonts w:cstheme="majorBidi" w:eastAsiaTheme="majorEastAsia"/>
      <w:b/>
      <w:szCs w:val="56"/>
    </w:rPr>
  </w:style>
  <w:style w:customStyle="1" w:styleId="TitleChar" w:type="character">
    <w:name w:val="Title Char"/>
    <w:basedOn w:val="DefaultParagraphFont"/>
    <w:link w:val="Title"/>
    <w:uiPriority w:val="10"/>
    <w:rsid w:val="0090083B"/>
    <w:rPr>
      <w:rFonts w:ascii="Times New Roman" w:cstheme="majorBidi" w:eastAsiaTheme="majorEastAsia" w:hAnsi="Times New Roman"/>
      <w:b/>
      <w:sz w:val="28"/>
      <w:szCs w:val="56"/>
    </w:rPr>
  </w:style>
  <w:style w:styleId="Subtitle" w:type="paragraph">
    <w:name w:val="Subtitle"/>
    <w:basedOn w:val="Title"/>
    <w:next w:val="BodyText"/>
    <w:link w:val="SubtitleChar"/>
    <w:uiPriority w:val="11"/>
    <w:qFormat/>
    <w:rsid w:val="00A10FD9"/>
    <w:pPr>
      <w:numPr>
        <w:ilvl w:val="1"/>
      </w:numPr>
      <w:ind w:firstLine="709"/>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rsid w:val="00894E33"/>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4657E"/>
    <w:rPr>
      <w:rFonts w:ascii="Times New Roman" w:cstheme="majorBidi" w:eastAsiaTheme="majorEastAsia" w:hAnsi="Times New Roman"/>
      <w:b/>
      <w:color w:themeColor="text1" w:val="000000"/>
      <w:sz w:val="28"/>
      <w:szCs w:val="40"/>
    </w:rPr>
  </w:style>
  <w:style w:customStyle="1" w:styleId="Heading2Char" w:type="character">
    <w:name w:val="Heading 2 Char"/>
    <w:basedOn w:val="DefaultParagraphFont"/>
    <w:link w:val="Heading2"/>
    <w:uiPriority w:val="9"/>
    <w:rsid w:val="00EA2051"/>
    <w:rPr>
      <w:rFonts w:ascii="Times New Roman" w:cstheme="majorBidi" w:eastAsiaTheme="majorEastAsia" w:hAnsi="Times New Roman"/>
      <w:b/>
      <w:color w:themeColor="text1" w:val="000000"/>
      <w:sz w:val="28"/>
      <w:szCs w:val="32"/>
    </w:rPr>
  </w:style>
  <w:style w:customStyle="1" w:styleId="Heading3Char" w:type="character">
    <w:name w:val="Heading 3 Char"/>
    <w:basedOn w:val="DefaultParagraphFont"/>
    <w:link w:val="Heading3"/>
    <w:uiPriority w:val="9"/>
    <w:semiHidden/>
    <w:rsid w:val="00C84874"/>
    <w:rPr>
      <w:rFonts w:ascii="Times New Roman" w:cstheme="majorBidi" w:eastAsiaTheme="majorEastAsia" w:hAnsi="Times New Roman"/>
      <w:b/>
      <w:color w:themeColor="text1" w:val="000000"/>
      <w:sz w:val="28"/>
      <w:szCs w:val="28"/>
    </w:rPr>
  </w:style>
  <w:style w:customStyle="1" w:styleId="Heading4Char" w:type="character">
    <w:name w:val="Heading 4 Char"/>
    <w:basedOn w:val="DefaultParagraphFont"/>
    <w:link w:val="Heading4"/>
    <w:uiPriority w:val="9"/>
    <w:rsid w:val="00271A38"/>
    <w:rPr>
      <w:rFonts w:ascii="Times New Roman" w:cstheme="majorBidi" w:eastAsiaTheme="majorEastAsia" w:hAnsi="Times New Roman"/>
      <w:b/>
      <w:iCs/>
      <w:color w:themeColor="text1" w:val="000000"/>
      <w:sz w:val="28"/>
    </w:rPr>
  </w:style>
  <w:style w:customStyle="1" w:styleId="Heading5Char" w:type="character">
    <w:name w:val="Heading 5 Char"/>
    <w:basedOn w:val="DefaultParagraphFont"/>
    <w:link w:val="Heading5"/>
    <w:uiPriority w:val="9"/>
    <w:semiHidden/>
    <w:rsid w:val="00C84874"/>
    <w:rPr>
      <w:rFonts w:ascii="Times New Roman" w:cstheme="majorBidi" w:eastAsiaTheme="majorEastAsia" w:hAnsi="Times New Roman"/>
      <w:b/>
      <w:color w:themeColor="text1" w:val="000000"/>
      <w:sz w:val="28"/>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unhideWhenUsed/>
    <w:qFormat/>
    <w:rsid w:val="00E657F1"/>
    <w:pPr>
      <w:spacing w:after="0"/>
    </w:pPr>
    <w:rPr>
      <w:rFonts w:ascii="Times New Roman" w:hAnsi="Times New Roman"/>
      <w:sz w:val="20"/>
      <w:szCs w:val="20"/>
      <w:lang w:eastAsia="ru-RU" w:val="ru-RU"/>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cantSplit/>
    </w:tr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rsid w:val="00F30D7B"/>
  </w:style>
  <w:style w:styleId="Caption" w:type="paragraph">
    <w:name w:val="caption"/>
    <w:basedOn w:val="Normal"/>
    <w:link w:val="CaptionChar"/>
    <w:pPr>
      <w:spacing w:after="120"/>
    </w:pPr>
    <w:rPr>
      <w:i/>
    </w:rPr>
  </w:style>
  <w:style w:customStyle="1" w:styleId="TableCaption" w:type="paragraph">
    <w:name w:val="Table Caption"/>
    <w:basedOn w:val="Caption"/>
    <w:rsid w:val="0064798C"/>
    <w:pPr>
      <w:keepNext/>
    </w:pPr>
    <w:rPr>
      <w:i w:val="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rsid w:val="00F30D7B"/>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PlainText" w:type="paragraph">
    <w:name w:val="Plain Text"/>
    <w:basedOn w:val="Normal"/>
    <w:link w:val="PlainTextChar"/>
    <w:rsid w:val="00894E33"/>
    <w:rPr>
      <w:rFonts w:ascii="Consolas" w:cs="Consolas" w:hAnsi="Consolas"/>
      <w:sz w:val="21"/>
      <w:szCs w:val="21"/>
    </w:rPr>
  </w:style>
  <w:style w:customStyle="1" w:styleId="PlainTextChar" w:type="character">
    <w:name w:val="Plain Text Char"/>
    <w:basedOn w:val="DefaultParagraphFont"/>
    <w:link w:val="PlainText"/>
    <w:rsid w:val="00BE1F3D"/>
    <w:rPr>
      <w:rFonts w:ascii="Consolas" w:cs="Consolas" w:hAnsi="Consolas"/>
      <w:sz w:val="21"/>
      <w:szCs w:val="21"/>
    </w:rPr>
  </w:style>
  <w:style w:styleId="List" w:type="paragraph">
    <w:name w:val="List"/>
    <w:basedOn w:val="Normal"/>
    <w:rsid w:val="00A62573"/>
    <w:pPr>
      <w:ind w:hanging="283" w:left="283"/>
      <w:contextualSpacing/>
    </w:pPr>
  </w:style>
  <w:style w:styleId="ListNumber5" w:type="paragraph">
    <w:name w:val="List Number 5"/>
    <w:basedOn w:val="Normal"/>
    <w:rsid w:val="00F30D7B"/>
    <w:pPr>
      <w:numPr>
        <w:numId w:val="34"/>
      </w:numPr>
      <w:contextualSpacing/>
    </w:pPr>
  </w:style>
  <w:style w:customStyle="1" w:styleId="TableText" w:type="paragraph">
    <w:name w:val="Table Text"/>
    <w:basedOn w:val="Compact"/>
    <w:qFormat/>
    <w:rsid w:val="00AC2A3E"/>
    <w:pPr>
      <w:spacing w:after="0" w:before="0"/>
      <w:ind w:firstLine="0"/>
      <w:jc w:val="center"/>
    </w:pPr>
    <w:rPr>
      <w:sz w:val="24"/>
      <w:szCs w:val="20"/>
      <w:lang w:eastAsia="ru-RU" w:val="ru-RU"/>
    </w:rPr>
  </w:style>
  <w:style w:styleId="Header" w:type="paragraph">
    <w:name w:val="header"/>
    <w:basedOn w:val="Normal"/>
    <w:link w:val="HeaderChar"/>
    <w:rsid w:val="00DD6A16"/>
    <w:pPr>
      <w:tabs>
        <w:tab w:pos="4680" w:val="center"/>
        <w:tab w:pos="9360" w:val="right"/>
      </w:tabs>
      <w:spacing w:line="240" w:lineRule="auto"/>
    </w:pPr>
  </w:style>
  <w:style w:customStyle="1" w:styleId="HeaderChar" w:type="character">
    <w:name w:val="Header Char"/>
    <w:basedOn w:val="DefaultParagraphFont"/>
    <w:link w:val="Header"/>
    <w:rsid w:val="00DD6A16"/>
    <w:rPr>
      <w:rFonts w:ascii="Times New Roman" w:hAnsi="Times New Roman"/>
      <w:sz w:val="28"/>
    </w:rPr>
  </w:style>
  <w:style w:styleId="Footer" w:type="paragraph">
    <w:name w:val="footer"/>
    <w:basedOn w:val="Normal"/>
    <w:link w:val="FooterChar"/>
    <w:rsid w:val="00DD6A16"/>
    <w:pPr>
      <w:tabs>
        <w:tab w:pos="4680" w:val="center"/>
        <w:tab w:pos="9360" w:val="right"/>
      </w:tabs>
      <w:spacing w:line="240" w:lineRule="auto"/>
    </w:pPr>
  </w:style>
  <w:style w:customStyle="1" w:styleId="FooterChar" w:type="character">
    <w:name w:val="Footer Char"/>
    <w:basedOn w:val="DefaultParagraphFont"/>
    <w:link w:val="Footer"/>
    <w:rsid w:val="00DD6A16"/>
    <w:rPr>
      <w:rFonts w:ascii="Times New Roman" w:hAnsi="Times New Roman"/>
      <w:sz w:val="28"/>
    </w:rPr>
  </w:style>
  <w:style w:styleId="PageNumber" w:type="character">
    <w:name w:val="page number"/>
    <w:basedOn w:val="DefaultParagraphFont"/>
    <w:rsid w:val="00DD6A16"/>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53</Words>
  <Characters>304</Characters>
  <Application>Microsoft Office Word</Application>
  <DocSecurity>0</DocSecurity>
  <Lines>2</Lines>
  <Paragraphs>1</Paragraphs>
  <ScaleCrop>false</ScaleCrop>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ru-RU</dc:language>
  <cp:keywords/>
  <dcterms:created xsi:type="dcterms:W3CDTF">2026-05-06T12:08:50Z</dcterms:created>
  <dcterms:modified xsi:type="dcterms:W3CDTF">2026-05-06T12:08:50Z</dcterms:modified>
</cp:coreProperties>
</file>

<file path=docProps/custom.xml><?xml version="1.0" encoding="utf-8"?>
<Properties xmlns="http://schemas.openxmlformats.org/officeDocument/2006/custom-properties" xmlns:vt="http://schemas.openxmlformats.org/officeDocument/2006/docPropsVTypes"/>
</file>