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sz w:val="28"/>
        </w:rPr>
        <w:t>РЕЦЕНЗИЯ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sz w:val="28"/>
        </w:rPr>
        <w:t>на выпускную квалификационную работу</w:t>
      </w:r>
    </w:p>
    <w:p/>
    <w:p>
      <w:pPr>
        <w:spacing w:before="0" w:after="8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Студент: </w:t>
      </w:r>
      <w:r>
        <w:rPr>
          <w:rFonts w:ascii="Times New Roman" w:hAnsi="Times New Roman"/>
          <w:sz w:val="28"/>
        </w:rPr>
        <w:t>Сурнова Варвара Сергеевна</w:t>
      </w:r>
    </w:p>
    <w:p>
      <w:pPr>
        <w:spacing w:before="0" w:after="8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Группа: </w:t>
      </w:r>
      <w:r>
        <w:rPr>
          <w:rFonts w:ascii="Times New Roman" w:hAnsi="Times New Roman"/>
          <w:sz w:val="28"/>
        </w:rPr>
        <w:t>ИД 30.1/Б-22</w:t>
      </w:r>
    </w:p>
    <w:p>
      <w:pPr>
        <w:spacing w:before="0" w:after="8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Направление подготовки: </w:t>
      </w:r>
      <w:r>
        <w:rPr>
          <w:rFonts w:ascii="Times New Roman" w:hAnsi="Times New Roman"/>
          <w:sz w:val="28"/>
        </w:rPr>
        <w:t>38.03.05 Бизнес-информатика</w:t>
      </w:r>
    </w:p>
    <w:p>
      <w:pPr>
        <w:spacing w:before="0" w:after="8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Тема ВКР: </w:t>
      </w:r>
      <w:r>
        <w:rPr>
          <w:rFonts w:ascii="Times New Roman" w:hAnsi="Times New Roman"/>
          <w:sz w:val="28"/>
        </w:rPr>
        <w:t>«Визуализация науки на основе метаданных публикаций и журналов»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открытого каталога OpenAlex. Тема выбрана не для галочки: при более чем 250 миллионах работ в открытом доступе обычный поиск по ключевым словам не даёт ответа на вопросы, которые реально интересуют исследователя, — кто с кем сотрудничает, откуда приходят публикации по теме, как менялась тематика за последние годы. Автор предлагает решить это через визуализацию метаданных — без доступа к полным текстам статей.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Перед разработкой был проведён самостоятельный анализ девяти существующих инструментов: VOSviewer, CiteSpace, Connected Papers, Bibliometrix, Gephi, Lens.org, ResearchRabbit, Inciteful, Litmaps. Сравнительная таблица составлена вручную и служит реальным обоснованием того, зачем делать свою систему: ни один из рассмотренных инструментов не совмещает географическую карту с точными координатами организаций, граф связей с несколькими режимами и поиск похожих статей, не завязанный только на цитирования.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Практическая часть выполнена аккуратно. Скрипт загрузки через cursor pagination собрал 9 994 публикации; PostgreSQL-база из семи таблиц спроектирована с ограничениями целостности и CASCADE-удалениями. При массовой вставке применялись savepoint-ы — это позволило корректно пройти ситуации, когда несколько объектов OpenAlex ссылаются на один DOI, не теряя остальные записи. Геокодирование сделано в два приёма: пакетные запросы к OpenAlex Institutions API дали 78%, затем резервный геокодер Photon поднял покрытие до 80,8% — выше заявленного порога 75%. Деталь про порядок координат в GeoJSON [longitude, latitude] вместо привычного [latitude, longitude] упомянута отдельно — это именно та вещь, на которой обычно теряют время.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Для графа выбрана собственная SVG-раскладка по колонкам вместо стандартного force-directed layout. Выбор объяснён: при 70+ узлах физическая симуляция даёт нечитаемую картину, колоночная структура предсказуема при любом числе узлов. Реализовано пять режимов отображения, что позволяет смотреть на один набор данных с разных сторон. Алгоритм поиска похожих статей работает по пяти признакам с разными весами; строки перед сравнением нормализуются — без этого «MIT» и «mit» считались бы разными организациями.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Есть и замечания. Главное из них касается алгоритма сходства: веса признаков названы «подобранными эмпирически», но как именно проводился этот подбор и по какому критерию оценивалось качество результата — в работе не объяснено. Было бы достаточно даже небольшой проверки: показать несколько примеров, где алгоритм выдаёт ожидаемые результаты, и несколько, где ошибается. Ограничение графа в 70 публикаций объяснено читаемостью, но возможные пути обхода этого ограничения в будущем — кластеризация, постраничный обход — в тексте не рассматриваются.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Несмотря на то что методика подбора весовых коэффициентов в тексте должным образом не обоснована, работа в целом выполнена на хорошем техническом уровне: все поставленные задачи решены, количественные критерии качества достигнуты или превышены, а принятые решения — по выбору СУБД, источника данных, способа отрисовки графа — аргументированы и не формальны.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8"/>
        </w:rPr>
        <w:t>Выпускная квалификационная работа Сурновой Варвары Сергеевны соответствует требованиям, предъявляемым к ВКР по направлению 38.03.05 «Бизнес-информатика», и заслуживает оценки «отлично».</w:t>
      </w:r>
    </w:p>
    <w:p/>
    <w:p/>
    <w:p>
      <w:pPr>
        <w:spacing w:before="0" w:after="80"/>
        <w:ind w:firstLine="0"/>
        <w:jc w:val="left"/>
      </w:pPr>
      <w:r>
        <w:rPr>
          <w:rFonts w:ascii="Times New Roman" w:hAnsi="Times New Roman"/>
          <w:sz w:val="28"/>
        </w:rPr>
        <w:t>Рецензент: _______________________  /________________________/</w:t>
      </w:r>
    </w:p>
    <w:p/>
    <w:p>
      <w:pPr>
        <w:spacing w:before="0" w:after="80"/>
        <w:ind w:firstLine="0"/>
        <w:jc w:val="left"/>
      </w:pPr>
      <w:r>
        <w:rPr>
          <w:rFonts w:ascii="Times New Roman" w:hAnsi="Times New Roman"/>
          <w:sz w:val="28"/>
        </w:rPr>
        <w:t xml:space="preserve">Должность: </w:t>
      </w:r>
    </w:p>
    <w:p>
      <w:pPr>
        <w:spacing w:before="0" w:after="80"/>
        <w:ind w:firstLine="0"/>
        <w:jc w:val="left"/>
      </w:pPr>
      <w:r>
        <w:rPr>
          <w:rFonts w:ascii="Times New Roman" w:hAnsi="Times New Roman"/>
          <w:sz w:val="28"/>
        </w:rPr>
        <w:t xml:space="preserve">Организация: </w:t>
      </w:r>
    </w:p>
    <w:p/>
    <w:p>
      <w:pPr>
        <w:spacing w:before="0" w:after="80"/>
        <w:ind w:firstLine="0"/>
        <w:jc w:val="left"/>
      </w:pPr>
      <w:r>
        <w:rPr>
          <w:rFonts w:ascii="Times New Roman" w:hAnsi="Times New Roman"/>
          <w:sz w:val="28"/>
        </w:rPr>
        <w:t>«____» ________________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