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ind w:firstLine="0"/>
        <w:jc w:val="center"/>
      </w:pPr>
      <w:r>
        <w:rPr>
          <w:rFonts w:ascii="Times New Roman" w:hAnsi="Times New Roman"/>
          <w:b w:val="0"/>
          <w:sz w:val="28"/>
        </w:rPr>
        <w:t>Московский университет имени С. Ю. Витте</w:t>
      </w:r>
    </w:p>
    <w:p>
      <w:pPr>
        <w:spacing w:before="0" w:after="800"/>
        <w:ind w:firstLine="0"/>
        <w:jc w:val="center"/>
      </w:pPr>
      <w:r>
        <w:rPr>
          <w:rFonts w:ascii="Times New Roman" w:hAnsi="Times New Roman"/>
          <w:b w:val="0"/>
          <w:sz w:val="28"/>
        </w:rPr>
        <w:t>Кафедра информационных технологий</w:t>
      </w:r>
    </w:p>
    <w:p>
      <w:pPr>
        <w:spacing w:before="0" w:after="40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0" w:after="800"/>
        <w:ind w:firstLine="0"/>
        <w:jc w:val="center"/>
      </w:pPr>
      <w:r>
        <w:rPr>
          <w:rFonts w:ascii="Times New Roman" w:hAnsi="Times New Roman"/>
          <w:b w:val="0"/>
          <w:sz w:val="28"/>
        </w:rPr>
        <w:t>по направлению 38.03.05 «Бизнес-информатика»</w:t>
      </w:r>
    </w:p>
    <w:p>
      <w:pPr>
        <w:spacing w:before="0" w:after="120"/>
        <w:ind w:firstLine="0"/>
        <w:jc w:val="center"/>
      </w:pPr>
      <w:r>
        <w:rPr>
          <w:rFonts w:ascii="Times New Roman" w:hAnsi="Times New Roman"/>
          <w:b w:val="0"/>
          <w:sz w:val="28"/>
        </w:rPr>
        <w:t>на тему:</w:t>
      </w:r>
    </w:p>
    <w:p>
      <w:pPr>
        <w:spacing w:before="0" w:after="1200"/>
        <w:ind w:firstLine="0"/>
        <w:jc w:val="center"/>
      </w:pPr>
      <w:r>
        <w:rPr>
          <w:rFonts w:ascii="Times New Roman" w:hAnsi="Times New Roman"/>
          <w:b/>
          <w:sz w:val="32"/>
        </w:rPr>
        <w:t>«Визуализация науки на основе метаданных</w:t>
        <w:br/>
        <w:t>публикаций и журналов»</w:t>
      </w:r>
    </w:p>
    <w:p>
      <w:pPr>
        <w:spacing w:after="80"/>
        <w:ind w:firstLine="0" w:left="4535"/>
      </w:pPr>
      <w:r>
        <w:rPr>
          <w:rFonts w:ascii="Times New Roman" w:hAnsi="Times New Roman"/>
          <w:b/>
          <w:sz w:val="28"/>
        </w:rPr>
        <w:t xml:space="preserve">Студент: </w:t>
      </w:r>
      <w:r>
        <w:rPr>
          <w:rFonts w:ascii="Times New Roman" w:hAnsi="Times New Roman"/>
          <w:sz w:val="28"/>
        </w:rPr>
        <w:t>Сурнова Варвара Сергеевна</w:t>
      </w:r>
    </w:p>
    <w:p>
      <w:pPr>
        <w:spacing w:after="80"/>
        <w:ind w:firstLine="0" w:left="4535"/>
      </w:pPr>
      <w:r>
        <w:rPr>
          <w:rFonts w:ascii="Times New Roman" w:hAnsi="Times New Roman"/>
          <w:b/>
          <w:sz w:val="28"/>
        </w:rPr>
        <w:t xml:space="preserve">Группа: </w:t>
      </w:r>
      <w:r>
        <w:rPr>
          <w:rFonts w:ascii="Times New Roman" w:hAnsi="Times New Roman"/>
          <w:sz w:val="28"/>
        </w:rPr>
        <w:t>ИД 30.1/Б-22</w:t>
      </w:r>
    </w:p>
    <w:p/>
    <w:p>
      <w:pPr>
        <w:spacing w:after="80"/>
        <w:ind w:firstLine="0" w:left="4535"/>
      </w:pPr>
      <w:r>
        <w:rPr>
          <w:rFonts w:ascii="Times New Roman" w:hAnsi="Times New Roman"/>
          <w:b/>
          <w:sz w:val="28"/>
        </w:rPr>
        <w:t xml:space="preserve">Научный руководитель: </w:t>
      </w:r>
      <w:r>
        <w:rPr>
          <w:rFonts w:ascii="Times New Roman" w:hAnsi="Times New Roman"/>
          <w:sz w:val="28"/>
        </w:rPr>
        <w:t>Атаева Ольга Муратовна</w:t>
      </w:r>
    </w:p>
    <w:p>
      <w:pPr>
        <w:spacing w:before="1200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Москва — 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 [1],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[18].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[2]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[3]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[4]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[5]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[2] и CiteSpace [3]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[4]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II. ТРЕБОВАНИЯ К СИСТЕМЕ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III. АРХИТЕКТУРА СИСТЕМЫ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Python</w:t>
      </w:r>
      <w:r>
        <w:rPr>
          <w:rFonts w:ascii="Times New Roman" w:hAnsi="Times New Roman"/>
          <w:b w:val="0"/>
          <w:i w:val="0"/>
          <w:sz w:val="28"/>
        </w:rPr>
        <w:t xml:space="preserve"> выбран для серверной части и скриптов. Стандартная библиотека содержит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[15] для работы с PostgreSQL и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PostgreSQL</w:t>
      </w:r>
      <w:r>
        <w:rPr>
          <w:rFonts w:ascii="Times New Roman" w:hAnsi="Times New Roman"/>
          <w:b w:val="0"/>
          <w:i w:val="0"/>
          <w:sz w:val="28"/>
        </w:rPr>
        <w:t xml:space="preserve"> [10]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Plotly</w:t>
      </w:r>
      <w:r>
        <w:rPr>
          <w:rFonts w:ascii="Times New Roman" w:hAnsi="Times New Roman"/>
          <w:b w:val="0"/>
          <w:i w:val="0"/>
          <w:sz w:val="28"/>
        </w:rPr>
        <w:t xml:space="preserve"> [11] выбран для отображения географической карты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</w:t>
      </w:r>
      <w:r>
        <w:rPr>
          <w:rFonts w:ascii="Times New Roman" w:hAnsi="Times New Roman"/>
          <w:b/>
          <w:i w:val="0"/>
          <w:sz w:val="28"/>
        </w:rPr>
        <w:t>графа связей</w:t>
      </w:r>
      <w:r>
        <w:rPr>
          <w:rFonts w:ascii="Times New Roman" w:hAnsi="Times New Roman"/>
          <w:b w:val="0"/>
          <w:i w:val="0"/>
          <w:sz w:val="28"/>
        </w:rPr>
        <w:t xml:space="preserve"> выбрана ручная отрисовка в SVG [16]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OpenAlex</w:t>
      </w:r>
      <w:r>
        <w:rPr>
          <w:rFonts w:ascii="Times New Roman" w:hAnsi="Times New Roman"/>
          <w:b w:val="0"/>
          <w:i w:val="0"/>
          <w:sz w:val="28"/>
        </w:rPr>
        <w:t xml:space="preserve"> [1]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[12]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[17]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IV. ЗАГРУЗКА ДАННЫХ ИЗ OPENALEX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[1]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4.2. Скрипт загрузки: 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V. БАЗА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[10]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5.2.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p>
      <w:pPr>
        <w:spacing w:after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8142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291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5.3.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МБ. Для потокового чтения без загрузки всего файла в память используется библиотека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5.4.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[13]: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[17], если клиент передаёт заголовок </w:t>
      </w:r>
      <w:r>
        <w:rPr>
          <w:rFonts w:ascii="Courier New" w:hAnsi="Courier New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 xml:space="preserve">. Это решение появилось после того, как при работе с большим JSON-ответом браузер начал прерывать соединение с ошибкой </w:t>
      </w:r>
      <w:r>
        <w:rPr>
          <w:rFonts w:ascii="Courier New" w:hAnsi="Courier New"/>
          <w:sz w:val="24"/>
        </w:rPr>
        <w:t>ConnectionAbortedError</w:t>
      </w:r>
      <w:r>
        <w:rPr>
          <w:rFonts w:ascii="Times New Roman" w:hAnsi="Times New Roman"/>
          <w:b w:val="0"/>
          <w:i w:val="0"/>
          <w:sz w:val="28"/>
        </w:rPr>
        <w:t>. Сжатие сократило объём передаваемых данных в 5–10 раз.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VI. ГЕОГРАФИЧЕСКАЯ ПРИВЯЗКА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6.1.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для них используется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6.2. Этап 1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собирает все уникальные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 через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[1]. OpenAlex возвращает JSON с полями </w:t>
      </w:r>
      <w:r>
        <w:rPr>
          <w:rFonts w:ascii="Courier New" w:hAnsi="Courier New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выбирается по приоритету: сначала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6.3. Этап 2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используется геокодер Photon [12]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VII. ВИЗУАЛИЗАЦИЯ И ИНТЕРФЕЙС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[11]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 [16]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 [1].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[10]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[13] с gzip-сжатием [17] ответов. Геокодирование аффилиаций двумя методами — через OpenAlex Institutions API и через Photon [12] — дало итоговое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[11] с поддержкой тёмной и светлой темы, граф связей с пятью режимами отображения в SVG [16]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[2] и Gephi [5], переход на серверный рендеринг графа для поддержки наборов свыше 10 000 публикаций.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СПИСОК ИСПОЛЬЗОВАННЫХ ИСТОЧНИКОВ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RFC 1952 — GZIP file format specification version 4.3. URL: https://www.rfc-editor.org/rfc/rfc1952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Б. Схема базы данных (SQL)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